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5A28" w:rsidR="00D55A28" w:rsidRDefault="00530396" w14:paraId="037155E4" w14:textId="3A6869AA">
      <w:pPr>
        <w:rPr>
          <w:rFonts w:ascii="Calibri" w:hAnsi="Calibri" w:cs="Calibri"/>
        </w:rPr>
      </w:pPr>
      <w:r w:rsidRPr="00D55A28">
        <w:rPr>
          <w:rFonts w:ascii="Calibri" w:hAnsi="Calibri" w:cs="Calibri"/>
        </w:rPr>
        <w:t>25</w:t>
      </w:r>
      <w:r w:rsidRPr="00D55A28" w:rsidR="00D55A28">
        <w:rPr>
          <w:rFonts w:ascii="Calibri" w:hAnsi="Calibri" w:cs="Calibri"/>
        </w:rPr>
        <w:t xml:space="preserve"> </w:t>
      </w:r>
      <w:r w:rsidRPr="00D55A28">
        <w:rPr>
          <w:rFonts w:ascii="Calibri" w:hAnsi="Calibri" w:cs="Calibri"/>
        </w:rPr>
        <w:t>295</w:t>
      </w:r>
      <w:r w:rsidRPr="00D55A28" w:rsidR="00D55A28">
        <w:rPr>
          <w:rFonts w:ascii="Calibri" w:hAnsi="Calibri" w:cs="Calibri"/>
        </w:rPr>
        <w:tab/>
      </w:r>
      <w:r w:rsidRPr="00D55A28" w:rsidR="00D55A28">
        <w:rPr>
          <w:rFonts w:ascii="Calibri" w:hAnsi="Calibri" w:cs="Calibri"/>
        </w:rPr>
        <w:tab/>
        <w:t>Infectieziektenbestrijding</w:t>
      </w:r>
    </w:p>
    <w:p w:rsidRPr="00D55A28" w:rsidR="00D55A28" w:rsidP="00D55A28" w:rsidRDefault="00D55A28" w14:paraId="6C155A3C" w14:textId="77777777">
      <w:pPr>
        <w:ind w:left="1416" w:hanging="1416"/>
        <w:rPr>
          <w:rFonts w:ascii="Calibri" w:hAnsi="Calibri" w:cs="Calibri"/>
        </w:rPr>
      </w:pPr>
      <w:r w:rsidRPr="00D55A28">
        <w:rPr>
          <w:rFonts w:ascii="Calibri" w:hAnsi="Calibri" w:cs="Calibri"/>
        </w:rPr>
        <w:t xml:space="preserve">Nr. </w:t>
      </w:r>
      <w:r w:rsidRPr="00D55A28" w:rsidR="00530396">
        <w:rPr>
          <w:rFonts w:ascii="Calibri" w:hAnsi="Calibri" w:cs="Calibri"/>
        </w:rPr>
        <w:t>2229</w:t>
      </w:r>
      <w:r w:rsidRPr="00D55A28">
        <w:rPr>
          <w:rFonts w:ascii="Calibri" w:hAnsi="Calibri" w:cs="Calibri"/>
        </w:rPr>
        <w:tab/>
        <w:t>Brief van de staatssecretaris van Volksgezondheid, Welzijn en Sport</w:t>
      </w:r>
    </w:p>
    <w:p w:rsidRPr="00D55A28" w:rsidR="00D55A28" w:rsidP="00D55A28" w:rsidRDefault="00D55A28" w14:paraId="4ABCDECE" w14:textId="77777777">
      <w:pPr>
        <w:spacing w:line="240" w:lineRule="atLeast"/>
        <w:rPr>
          <w:rFonts w:ascii="Calibri" w:hAnsi="Calibri" w:cs="Calibri"/>
        </w:rPr>
      </w:pPr>
      <w:r w:rsidRPr="00D55A28">
        <w:rPr>
          <w:rFonts w:ascii="Calibri" w:hAnsi="Calibri" w:cs="Calibri"/>
        </w:rPr>
        <w:t>Aan de Voorzitter van de Tweede Kamer der Staten-Generaal</w:t>
      </w:r>
    </w:p>
    <w:p w:rsidRPr="00D55A28" w:rsidR="00530396" w:rsidP="00D55A28" w:rsidRDefault="00D55A28" w14:paraId="2229C296" w14:textId="70F511A7">
      <w:pPr>
        <w:spacing w:line="240" w:lineRule="atLeast"/>
        <w:rPr>
          <w:rFonts w:ascii="Calibri" w:hAnsi="Calibri" w:cs="Calibri"/>
        </w:rPr>
      </w:pPr>
      <w:r w:rsidRPr="00D55A28">
        <w:rPr>
          <w:rFonts w:ascii="Calibri" w:hAnsi="Calibri" w:cs="Calibri"/>
        </w:rPr>
        <w:t>Den Haag, 12 mei 2025</w:t>
      </w:r>
      <w:r w:rsidRPr="00D55A28" w:rsidR="00530396">
        <w:rPr>
          <w:rFonts w:ascii="Calibri" w:hAnsi="Calibri" w:cs="Calibri"/>
        </w:rPr>
        <w:br/>
      </w:r>
      <w:r w:rsidRPr="00D55A28" w:rsidR="00530396">
        <w:rPr>
          <w:rFonts w:ascii="Calibri" w:hAnsi="Calibri" w:cs="Calibri"/>
        </w:rPr>
        <w:br/>
        <w:t>Op 27 maart 2025 heeft de Gezondheidsraad (GR) twee adviezen gepubliceerd. Het eerste advies 'COVID-19-vaccinatie in 2025' betreft een actualisatie van het advies 'Structureel vaccinatieprogramma tegen COVID-19', d.d. 28 juni 2023.</w:t>
      </w:r>
    </w:p>
    <w:p w:rsidRPr="00D55A28" w:rsidR="00530396" w:rsidP="00530396" w:rsidRDefault="00530396" w14:paraId="371AC710" w14:textId="77777777">
      <w:pPr>
        <w:spacing w:after="0" w:line="240" w:lineRule="atLeast"/>
        <w:rPr>
          <w:rFonts w:ascii="Calibri" w:hAnsi="Calibri" w:cs="Calibri"/>
        </w:rPr>
      </w:pPr>
      <w:r w:rsidRPr="00D55A28">
        <w:rPr>
          <w:rFonts w:ascii="Calibri" w:hAnsi="Calibri" w:cs="Calibri"/>
        </w:rPr>
        <w:t xml:space="preserve">Het tweede advies is ‘RSV-vaccinatie voor ouderen’. In deze brief informeer ik uw Kamer over beide adviezen en mijn reactie daarop. </w:t>
      </w:r>
    </w:p>
    <w:p w:rsidRPr="00D55A28" w:rsidR="00530396" w:rsidP="00530396" w:rsidRDefault="00530396" w14:paraId="19539119" w14:textId="77777777">
      <w:pPr>
        <w:pStyle w:val="StandaardSlotzin"/>
        <w:rPr>
          <w:rFonts w:ascii="Calibri" w:hAnsi="Calibri" w:cs="Calibri"/>
          <w:b/>
          <w:bCs/>
          <w:sz w:val="22"/>
          <w:szCs w:val="22"/>
        </w:rPr>
      </w:pPr>
      <w:r w:rsidRPr="00D55A28">
        <w:rPr>
          <w:rFonts w:ascii="Calibri" w:hAnsi="Calibri" w:cs="Calibri"/>
          <w:b/>
          <w:bCs/>
          <w:sz w:val="22"/>
          <w:szCs w:val="22"/>
        </w:rPr>
        <w:t>COVID-19-vaccinatie</w:t>
      </w:r>
    </w:p>
    <w:p w:rsidRPr="00D55A28" w:rsidR="00530396" w:rsidP="00530396" w:rsidRDefault="00530396" w14:paraId="35F22F38" w14:textId="77777777">
      <w:pPr>
        <w:spacing w:after="0"/>
        <w:rPr>
          <w:rFonts w:ascii="Calibri" w:hAnsi="Calibri" w:cs="Calibri"/>
        </w:rPr>
      </w:pPr>
      <w:r w:rsidRPr="00D55A28">
        <w:rPr>
          <w:rFonts w:ascii="Calibri" w:hAnsi="Calibri" w:cs="Calibri"/>
        </w:rPr>
        <w:t xml:space="preserve">Op 24 oktober 2024 heeft VWS de Gezondheidsraad gevraagd of het advies 'Structureel vaccinatieprogramma tegen COVID-19' van 28 juni 2023 geactualiseerd dient te worden. Dit is in lijn met de in dit advies opgenomen aanbeveling om het programma jaarlijks te evalueren. Daarbij is de Gezondheidsraad specifiek gevraagd of de COVID-19-vaccinatie in 2025 aan dezelfde doelgroepen als in 2024 zou moeten worden aangeboden. </w:t>
      </w:r>
    </w:p>
    <w:p w:rsidRPr="00D55A28" w:rsidR="00530396" w:rsidP="00530396" w:rsidRDefault="00530396" w14:paraId="270A4798" w14:textId="77777777">
      <w:pPr>
        <w:pStyle w:val="StandaardSlotzin"/>
        <w:rPr>
          <w:rFonts w:ascii="Calibri" w:hAnsi="Calibri" w:cs="Calibri"/>
          <w:i/>
          <w:iCs/>
          <w:sz w:val="22"/>
          <w:szCs w:val="22"/>
        </w:rPr>
      </w:pPr>
      <w:r w:rsidRPr="00D55A28">
        <w:rPr>
          <w:rFonts w:ascii="Calibri" w:hAnsi="Calibri" w:cs="Calibri"/>
          <w:i/>
          <w:iCs/>
          <w:sz w:val="22"/>
          <w:szCs w:val="22"/>
        </w:rPr>
        <w:t xml:space="preserve">Samenvatting advies </w:t>
      </w:r>
    </w:p>
    <w:p w:rsidRPr="00D55A28" w:rsidR="00530396" w:rsidP="00530396" w:rsidRDefault="00530396" w14:paraId="50695A4D" w14:textId="77777777">
      <w:pPr>
        <w:pStyle w:val="VWSNtb-inspringen"/>
        <w:numPr>
          <w:ilvl w:val="0"/>
          <w:numId w:val="0"/>
        </w:numPr>
        <w:rPr>
          <w:rFonts w:ascii="Calibri" w:hAnsi="Calibri" w:cs="Calibri"/>
          <w:sz w:val="22"/>
          <w:szCs w:val="22"/>
        </w:rPr>
      </w:pPr>
      <w:r w:rsidRPr="00D55A28">
        <w:rPr>
          <w:rFonts w:ascii="Calibri" w:hAnsi="Calibri" w:cs="Calibri"/>
          <w:sz w:val="22"/>
          <w:szCs w:val="22"/>
        </w:rPr>
        <w:t>De GR adviseert voor komend najaar een COVID-19-vaccinatie voor de volgende groepen:</w:t>
      </w:r>
    </w:p>
    <w:p w:rsidRPr="00D55A28" w:rsidR="00530396" w:rsidP="00530396" w:rsidRDefault="00530396" w14:paraId="74BA0BC5" w14:textId="77777777">
      <w:pPr>
        <w:pStyle w:val="Lijstalinea"/>
        <w:numPr>
          <w:ilvl w:val="0"/>
          <w:numId w:val="2"/>
        </w:numPr>
        <w:autoSpaceDN w:val="0"/>
        <w:spacing w:after="0" w:line="240" w:lineRule="exact"/>
        <w:rPr>
          <w:rFonts w:ascii="Calibri" w:hAnsi="Calibri" w:cs="Calibri"/>
        </w:rPr>
      </w:pPr>
      <w:r w:rsidRPr="00D55A28">
        <w:rPr>
          <w:rFonts w:ascii="Calibri" w:hAnsi="Calibri" w:cs="Calibri"/>
        </w:rPr>
        <w:t>Mensen van 60 jaar en ouder;</w:t>
      </w:r>
    </w:p>
    <w:p w:rsidRPr="00D55A28" w:rsidR="00530396" w:rsidP="00530396" w:rsidRDefault="00530396" w14:paraId="20626F91" w14:textId="77777777">
      <w:pPr>
        <w:pStyle w:val="Lijstalinea"/>
        <w:numPr>
          <w:ilvl w:val="0"/>
          <w:numId w:val="2"/>
        </w:numPr>
        <w:autoSpaceDN w:val="0"/>
        <w:spacing w:after="0" w:line="240" w:lineRule="exact"/>
        <w:rPr>
          <w:rFonts w:ascii="Calibri" w:hAnsi="Calibri" w:cs="Calibri"/>
        </w:rPr>
      </w:pPr>
      <w:r w:rsidRPr="00D55A28">
        <w:rPr>
          <w:rFonts w:ascii="Calibri" w:hAnsi="Calibri" w:cs="Calibri"/>
        </w:rPr>
        <w:t>Volwassenen en kinderen uit medische hoog-risicogroepen (bijvoorbeeld mensen met een ernstige afweerstoornis en bewoners van instellingen met langdurige zorg);</w:t>
      </w:r>
    </w:p>
    <w:p w:rsidRPr="00D55A28" w:rsidR="00530396" w:rsidP="00530396" w:rsidRDefault="00530396" w14:paraId="7B5ECFD6" w14:textId="77777777">
      <w:pPr>
        <w:pStyle w:val="Lijstalinea"/>
        <w:numPr>
          <w:ilvl w:val="0"/>
          <w:numId w:val="2"/>
        </w:numPr>
        <w:autoSpaceDN w:val="0"/>
        <w:spacing w:after="0" w:line="240" w:lineRule="exact"/>
        <w:rPr>
          <w:rFonts w:ascii="Calibri" w:hAnsi="Calibri" w:cs="Calibri"/>
        </w:rPr>
      </w:pPr>
      <w:r w:rsidRPr="00D55A28">
        <w:rPr>
          <w:rFonts w:ascii="Calibri" w:hAnsi="Calibri" w:cs="Calibri"/>
        </w:rPr>
        <w:t>Volwassenen van 50 jaar en ouder uit medische risicogroepen die jaarlijks een uitnodiging krijgen voor de griepprik;</w:t>
      </w:r>
    </w:p>
    <w:p w:rsidRPr="00D55A28" w:rsidR="00530396" w:rsidP="00530396" w:rsidRDefault="00530396" w14:paraId="7F582D7D" w14:textId="77777777">
      <w:pPr>
        <w:pStyle w:val="Lijstalinea"/>
        <w:numPr>
          <w:ilvl w:val="0"/>
          <w:numId w:val="2"/>
        </w:numPr>
        <w:autoSpaceDN w:val="0"/>
        <w:spacing w:after="0" w:line="240" w:lineRule="exact"/>
        <w:rPr>
          <w:rFonts w:ascii="Calibri" w:hAnsi="Calibri" w:cs="Calibri"/>
        </w:rPr>
      </w:pPr>
      <w:r w:rsidRPr="00D55A28">
        <w:rPr>
          <w:rFonts w:ascii="Calibri" w:hAnsi="Calibri" w:cs="Calibri"/>
        </w:rPr>
        <w:t>Zorgmedewerkers die direct contact hebben met kwetsbare patiënten.</w:t>
      </w:r>
    </w:p>
    <w:p w:rsidRPr="00D55A28" w:rsidR="00530396" w:rsidP="00530396" w:rsidRDefault="00530396" w14:paraId="74D61236" w14:textId="77777777">
      <w:pPr>
        <w:pStyle w:val="Lijstalinea"/>
        <w:spacing w:after="0"/>
        <w:rPr>
          <w:rFonts w:ascii="Calibri" w:hAnsi="Calibri" w:cs="Calibri"/>
        </w:rPr>
      </w:pPr>
    </w:p>
    <w:p w:rsidRPr="00D55A28" w:rsidR="00530396" w:rsidP="00530396" w:rsidRDefault="00530396" w14:paraId="5385A0EB" w14:textId="77777777">
      <w:pPr>
        <w:spacing w:after="0"/>
        <w:rPr>
          <w:rFonts w:ascii="Calibri" w:hAnsi="Calibri" w:cs="Calibri"/>
        </w:rPr>
      </w:pPr>
      <w:r w:rsidRPr="00D55A28">
        <w:rPr>
          <w:rFonts w:ascii="Calibri" w:hAnsi="Calibri" w:cs="Calibri"/>
        </w:rPr>
        <w:t xml:space="preserve">Dit zijn dezelfde doelgroepen als in 2024, met uitzondering van volwassenen van 18 t/m 49 jaar uit de medische risicogroep die jaarlijks een uitnodiging krijgen voor de griepprik. Voor deze groep vervalt het advies om een coronavaccinatie te halen in het najaar. De GR benoemt dat de ziektelast de afgelopen jaren minder is geworden en afgelopen winter laag was. Ook is het risico op ernstige ziekte en sterfte als gevolg van COVID-19 bij mensen tussen de 18 t/m 49 jaar uit de medische risicogroep lager dan bij mensen met een medisch risico vanaf 50 jaar. Als gevolg stelt de GR dat voor de groep mensen 18 t/m 49 jaar in de huidige situatie de toegevoegde waarde van vaccinatie te beperkt is. De GR geeft verder aan dat er altijd individuele situaties kunnen bestaan waarin besloten kan worden om een vaccinatie aan te bieden aan personen buiten de gespecificeerde doelgroepen. </w:t>
      </w:r>
    </w:p>
    <w:p w:rsidRPr="00D55A28" w:rsidR="00530396" w:rsidP="00530396" w:rsidRDefault="00530396" w14:paraId="487B4896" w14:textId="77777777">
      <w:pPr>
        <w:spacing w:after="0"/>
        <w:rPr>
          <w:rFonts w:ascii="Calibri" w:hAnsi="Calibri" w:cs="Calibri"/>
        </w:rPr>
      </w:pPr>
    </w:p>
    <w:p w:rsidRPr="00D55A28" w:rsidR="00530396" w:rsidP="00530396" w:rsidRDefault="00530396" w14:paraId="3C9C8DF1" w14:textId="77777777">
      <w:pPr>
        <w:spacing w:after="0"/>
        <w:rPr>
          <w:rFonts w:ascii="Calibri" w:hAnsi="Calibri" w:cs="Calibri"/>
        </w:rPr>
      </w:pPr>
      <w:r w:rsidRPr="00D55A28">
        <w:rPr>
          <w:rFonts w:ascii="Calibri" w:hAnsi="Calibri" w:cs="Calibri"/>
        </w:rPr>
        <w:t xml:space="preserve">Verder blijft het GR-advies om de vaccinatie in het (vroege) najaar aan te bieden en te vaccineren met het meest recent beschikbare vaccin ongewijzigd. </w:t>
      </w:r>
    </w:p>
    <w:p w:rsidRPr="00D55A28" w:rsidR="00530396" w:rsidP="00530396" w:rsidRDefault="00530396" w14:paraId="5CFE1C28" w14:textId="77777777">
      <w:pPr>
        <w:spacing w:after="0"/>
        <w:rPr>
          <w:rFonts w:ascii="Calibri" w:hAnsi="Calibri" w:cs="Calibri"/>
        </w:rPr>
      </w:pPr>
      <w:r w:rsidRPr="00D55A28">
        <w:rPr>
          <w:rFonts w:ascii="Calibri" w:hAnsi="Calibri" w:cs="Calibri"/>
        </w:rPr>
        <w:lastRenderedPageBreak/>
        <w:t xml:space="preserve">Tot slot geeft de GR aan dat er belemmeringen worden ervaren op het gebied van gegevensverzameling en -uitwisseling die ertoe leiden dat er onvoldoende zicht is op de resultaten en effectiviteit van het vaccinatieprogramma en raadt aan om deze belemmeringen zoveel mogelijk weg te nemen. </w:t>
      </w:r>
    </w:p>
    <w:p w:rsidRPr="00D55A28" w:rsidR="00530396" w:rsidP="00530396" w:rsidRDefault="00530396" w14:paraId="1B8B20EC" w14:textId="77777777">
      <w:pPr>
        <w:pStyle w:val="StandaardSlotzin"/>
        <w:rPr>
          <w:rFonts w:ascii="Calibri" w:hAnsi="Calibri" w:cs="Calibri"/>
          <w:i/>
          <w:iCs/>
          <w:sz w:val="22"/>
          <w:szCs w:val="22"/>
        </w:rPr>
      </w:pPr>
      <w:r w:rsidRPr="00D55A28">
        <w:rPr>
          <w:rFonts w:ascii="Calibri" w:hAnsi="Calibri" w:cs="Calibri"/>
          <w:i/>
          <w:iCs/>
          <w:sz w:val="22"/>
          <w:szCs w:val="22"/>
        </w:rPr>
        <w:t xml:space="preserve">Besluit </w:t>
      </w:r>
    </w:p>
    <w:p w:rsidRPr="00D55A28" w:rsidR="00530396" w:rsidP="00530396" w:rsidRDefault="00530396" w14:paraId="437AB0E9" w14:textId="77777777">
      <w:pPr>
        <w:spacing w:after="0"/>
        <w:rPr>
          <w:rFonts w:ascii="Calibri" w:hAnsi="Calibri" w:cs="Calibri"/>
        </w:rPr>
      </w:pPr>
      <w:r w:rsidRPr="00D55A28">
        <w:rPr>
          <w:rFonts w:ascii="Calibri" w:hAnsi="Calibri" w:cs="Calibri"/>
        </w:rPr>
        <w:t>Ik heb besloten om het geactualiseerde advies over COVID-19-vaccinatie over te nemen. In navolging van dit advies, zullen de komende najaarsronde de eerder genoemde doelgroepen in aanmerking komen voor een COVID-19-vaccinatie:</w:t>
      </w:r>
    </w:p>
    <w:p w:rsidRPr="00D55A28" w:rsidR="00530396" w:rsidP="00530396" w:rsidRDefault="00530396" w14:paraId="54E1B6CE" w14:textId="77777777">
      <w:pPr>
        <w:pStyle w:val="StandaardSlotzin"/>
        <w:numPr>
          <w:ilvl w:val="0"/>
          <w:numId w:val="2"/>
        </w:numPr>
        <w:spacing w:before="0"/>
        <w:rPr>
          <w:rFonts w:ascii="Calibri" w:hAnsi="Calibri" w:cs="Calibri"/>
          <w:sz w:val="22"/>
          <w:szCs w:val="22"/>
        </w:rPr>
      </w:pPr>
      <w:r w:rsidRPr="00D55A28">
        <w:rPr>
          <w:rFonts w:ascii="Calibri" w:hAnsi="Calibri" w:cs="Calibri"/>
          <w:sz w:val="22"/>
          <w:szCs w:val="22"/>
        </w:rPr>
        <w:t>Mensen van 60 jaar en ouder;</w:t>
      </w:r>
    </w:p>
    <w:p w:rsidRPr="00D55A28" w:rsidR="00530396" w:rsidP="00530396" w:rsidRDefault="00530396" w14:paraId="722EE6B5" w14:textId="77777777">
      <w:pPr>
        <w:pStyle w:val="Lijstalinea"/>
        <w:numPr>
          <w:ilvl w:val="0"/>
          <w:numId w:val="2"/>
        </w:numPr>
        <w:autoSpaceDN w:val="0"/>
        <w:spacing w:after="0" w:line="240" w:lineRule="exact"/>
        <w:rPr>
          <w:rFonts w:ascii="Calibri" w:hAnsi="Calibri" w:cs="Calibri"/>
        </w:rPr>
      </w:pPr>
      <w:r w:rsidRPr="00D55A28">
        <w:rPr>
          <w:rFonts w:ascii="Calibri" w:hAnsi="Calibri" w:cs="Calibri"/>
        </w:rPr>
        <w:t>Volwassenen en kinderen uit medische hoog-risicogroepen (bijvoorbeeld mensen met een ernstige afweerstoornis en bewoners van instellingen met langdurige zorg);</w:t>
      </w:r>
    </w:p>
    <w:p w:rsidRPr="00D55A28" w:rsidR="00530396" w:rsidP="00530396" w:rsidRDefault="00530396" w14:paraId="0C55A0D9" w14:textId="77777777">
      <w:pPr>
        <w:pStyle w:val="Lijstalinea"/>
        <w:numPr>
          <w:ilvl w:val="0"/>
          <w:numId w:val="2"/>
        </w:numPr>
        <w:autoSpaceDN w:val="0"/>
        <w:spacing w:after="0" w:line="240" w:lineRule="exact"/>
        <w:rPr>
          <w:rFonts w:ascii="Calibri" w:hAnsi="Calibri" w:cs="Calibri"/>
        </w:rPr>
      </w:pPr>
      <w:r w:rsidRPr="00D55A28">
        <w:rPr>
          <w:rFonts w:ascii="Calibri" w:hAnsi="Calibri" w:cs="Calibri"/>
        </w:rPr>
        <w:t>Volwassenen van 50 jaar en ouder uit medische risicogroepen die jaarlijks een uitnodiging krijgen voor de griepprik;</w:t>
      </w:r>
    </w:p>
    <w:p w:rsidRPr="00D55A28" w:rsidR="00530396" w:rsidP="00530396" w:rsidRDefault="00530396" w14:paraId="4C08584F" w14:textId="77777777">
      <w:pPr>
        <w:pStyle w:val="Lijstalinea"/>
        <w:widowControl w:val="0"/>
        <w:numPr>
          <w:ilvl w:val="0"/>
          <w:numId w:val="2"/>
        </w:numPr>
        <w:suppressAutoHyphens/>
        <w:autoSpaceDN w:val="0"/>
        <w:spacing w:after="0" w:line="240" w:lineRule="exact"/>
        <w:rPr>
          <w:rFonts w:ascii="Calibri" w:hAnsi="Calibri" w:cs="Calibri"/>
        </w:rPr>
      </w:pPr>
      <w:r w:rsidRPr="00D55A28">
        <w:rPr>
          <w:rFonts w:ascii="Calibri" w:hAnsi="Calibri" w:cs="Calibri"/>
        </w:rPr>
        <w:t xml:space="preserve">Zorgmedewerkers die direct contact hebben met kwetsbare patiënten </w:t>
      </w:r>
    </w:p>
    <w:p w:rsidRPr="00D55A28" w:rsidR="00530396" w:rsidP="00530396" w:rsidRDefault="00530396" w14:paraId="7730A05E" w14:textId="77777777">
      <w:pPr>
        <w:spacing w:after="0"/>
        <w:rPr>
          <w:rFonts w:ascii="Calibri" w:hAnsi="Calibri" w:cs="Calibri"/>
        </w:rPr>
      </w:pPr>
      <w:r w:rsidRPr="00D55A28">
        <w:rPr>
          <w:rFonts w:ascii="Calibri" w:hAnsi="Calibri" w:cs="Calibri"/>
        </w:rPr>
        <w:t xml:space="preserve">In specifieke situaties komen mensen die niet tot de bovenvermelde doelgroepen behoren, maar bijvoorbeeld vanwege een kwetsbaar gezinslid of op advies van een behandelend arts een COVID-19-vaccinatie willen ontvangen, ook in aanmerking voor een COVID-19-vaccinatie in de najaarsronde. </w:t>
      </w:r>
    </w:p>
    <w:p w:rsidRPr="00D55A28" w:rsidR="00530396" w:rsidP="00530396" w:rsidRDefault="00530396" w14:paraId="1F8535E7" w14:textId="77777777">
      <w:pPr>
        <w:pStyle w:val="StandaardSlotzin"/>
        <w:rPr>
          <w:rFonts w:ascii="Calibri" w:hAnsi="Calibri" w:cs="Calibri"/>
          <w:sz w:val="22"/>
          <w:szCs w:val="22"/>
          <w:u w:val="single"/>
        </w:rPr>
      </w:pPr>
      <w:r w:rsidRPr="00D55A28">
        <w:rPr>
          <w:rFonts w:ascii="Calibri" w:hAnsi="Calibri" w:cs="Calibri"/>
          <w:sz w:val="22"/>
          <w:szCs w:val="22"/>
          <w:u w:val="single"/>
        </w:rPr>
        <w:t xml:space="preserve">Aanbod buiten najaarsronde </w:t>
      </w:r>
    </w:p>
    <w:p w:rsidRPr="00D55A28" w:rsidR="00530396" w:rsidP="00530396" w:rsidRDefault="00530396" w14:paraId="5471AD38" w14:textId="77777777">
      <w:pPr>
        <w:pStyle w:val="StandaardSlotzin"/>
        <w:spacing w:before="0"/>
        <w:rPr>
          <w:rFonts w:ascii="Calibri" w:hAnsi="Calibri" w:cs="Calibri"/>
          <w:sz w:val="22"/>
          <w:szCs w:val="22"/>
        </w:rPr>
      </w:pPr>
      <w:r w:rsidRPr="00D55A28">
        <w:rPr>
          <w:rFonts w:ascii="Calibri" w:hAnsi="Calibri" w:cs="Calibri"/>
          <w:sz w:val="22"/>
          <w:szCs w:val="22"/>
        </w:rPr>
        <w:t xml:space="preserve">Voor mensen die op individuele basis worden doorverwezen door hun behandelend arts, blijft de mogelijkheid bestaan het gehele jaar door een COVID-19-vaccinatie te halen. </w:t>
      </w:r>
    </w:p>
    <w:p w:rsidRPr="00D55A28" w:rsidR="00530396" w:rsidP="00530396" w:rsidRDefault="00530396" w14:paraId="280F1011" w14:textId="77777777">
      <w:pPr>
        <w:pStyle w:val="StandaardSlotzin"/>
        <w:rPr>
          <w:rFonts w:ascii="Calibri" w:hAnsi="Calibri" w:cs="Calibri"/>
          <w:sz w:val="22"/>
          <w:szCs w:val="22"/>
          <w:u w:val="single"/>
        </w:rPr>
      </w:pPr>
      <w:r w:rsidRPr="00D55A28">
        <w:rPr>
          <w:rFonts w:ascii="Calibri" w:hAnsi="Calibri" w:cs="Calibri"/>
          <w:sz w:val="22"/>
          <w:szCs w:val="22"/>
          <w:u w:val="single"/>
        </w:rPr>
        <w:t xml:space="preserve">Uitvoering najaarsronde en vaccinkeuze </w:t>
      </w:r>
    </w:p>
    <w:p w:rsidRPr="00D55A28" w:rsidR="00530396" w:rsidP="00530396" w:rsidRDefault="00530396" w14:paraId="64E82408" w14:textId="77777777">
      <w:pPr>
        <w:pStyle w:val="StandaardSlotzin"/>
        <w:spacing w:before="0"/>
        <w:rPr>
          <w:rFonts w:ascii="Calibri" w:hAnsi="Calibri" w:cs="Calibri"/>
          <w:sz w:val="22"/>
          <w:szCs w:val="22"/>
        </w:rPr>
      </w:pPr>
      <w:r w:rsidRPr="00D55A28">
        <w:rPr>
          <w:rFonts w:ascii="Calibri" w:hAnsi="Calibri" w:cs="Calibri"/>
          <w:sz w:val="22"/>
          <w:szCs w:val="22"/>
        </w:rPr>
        <w:t>Ik heb het RIVM, GGD’en en GGD GHOR Nederland gevraagd voorbereidingen te treffen voor de uitvoering van de najaarsronde 2025 en hierbij de geleerde lessen uit de eerdere rondes te betrekken. Voor Caribisch Nederland (Bonaire, Sint Eustatius, Saba) geldt dezelfde aanpak als in Nederland. De uitvoering van de najaarsronde en de start- en einddatum, zullen vergelijkbaar zijn met 2024. Op dit moment is het nog niet bekend of vaccins worden aangepast naar aanleiding van nieuwe (omikron)varianten van het SARS-CoV-2-virus. Hierover zal onder andere de Wereldgezondheidsorganisatie (WHO) en het Europees Medicijn Agentschap (EMA) nog een advies uitbrengen. Het streven is om bij de najaarsronde gebruik te maken van de op dat moment meest recente vaccins in lijn met de verkregen adviezen van de WHO en de EMA.</w:t>
      </w:r>
    </w:p>
    <w:p w:rsidRPr="00D55A28" w:rsidR="00530396" w:rsidP="00530396" w:rsidRDefault="00530396" w14:paraId="38BB282A" w14:textId="77777777">
      <w:pPr>
        <w:spacing w:after="0"/>
        <w:rPr>
          <w:rFonts w:ascii="Calibri" w:hAnsi="Calibri" w:cs="Calibri"/>
        </w:rPr>
      </w:pPr>
    </w:p>
    <w:p w:rsidRPr="00D55A28" w:rsidR="00530396" w:rsidP="00530396" w:rsidRDefault="00530396" w14:paraId="7F00A440" w14:textId="77777777">
      <w:pPr>
        <w:spacing w:after="0"/>
        <w:rPr>
          <w:rFonts w:ascii="Calibri" w:hAnsi="Calibri" w:cs="Calibri"/>
          <w:u w:val="single"/>
        </w:rPr>
      </w:pPr>
      <w:r w:rsidRPr="00D55A28">
        <w:rPr>
          <w:rFonts w:ascii="Calibri" w:hAnsi="Calibri" w:cs="Calibri"/>
          <w:u w:val="single"/>
        </w:rPr>
        <w:t>Gegevensverzameling en -uitwisseling</w:t>
      </w:r>
    </w:p>
    <w:p w:rsidRPr="00D55A28" w:rsidR="00530396" w:rsidP="00530396" w:rsidRDefault="00530396" w14:paraId="56AA3903" w14:textId="77777777">
      <w:pPr>
        <w:spacing w:after="0"/>
        <w:rPr>
          <w:rFonts w:ascii="Calibri" w:hAnsi="Calibri" w:cs="Calibri"/>
        </w:rPr>
      </w:pPr>
      <w:r w:rsidRPr="00D55A28">
        <w:rPr>
          <w:rFonts w:ascii="Calibri" w:hAnsi="Calibri" w:cs="Calibri"/>
        </w:rPr>
        <w:t>In het advies wordt gesproken over het belang van de gegevensverzameling en -uitwisseling tussen verschillende (uitvoerende) organisaties. Dit aandachtspunt wordt door de minister van Volksgezondheid, Welzijn en Sport meegenomen in de wijziging van de Wet publieke gezondheid (3</w:t>
      </w:r>
      <w:r w:rsidRPr="00D55A28">
        <w:rPr>
          <w:rFonts w:ascii="Calibri" w:hAnsi="Calibri" w:cs="Calibri"/>
          <w:vertAlign w:val="superscript"/>
        </w:rPr>
        <w:t>e</w:t>
      </w:r>
      <w:r w:rsidRPr="00D55A28">
        <w:rPr>
          <w:rFonts w:ascii="Calibri" w:hAnsi="Calibri" w:cs="Calibri"/>
        </w:rPr>
        <w:t xml:space="preserve"> tranche wijziging Wpg).</w:t>
      </w:r>
    </w:p>
    <w:p w:rsidRPr="00D55A28" w:rsidR="00530396" w:rsidP="00530396" w:rsidRDefault="00530396" w14:paraId="5B5A1B67" w14:textId="77777777">
      <w:pPr>
        <w:spacing w:after="0"/>
        <w:rPr>
          <w:rFonts w:ascii="Calibri" w:hAnsi="Calibri" w:cs="Calibri"/>
        </w:rPr>
      </w:pPr>
    </w:p>
    <w:p w:rsidRPr="00D55A28" w:rsidR="00530396" w:rsidP="00530396" w:rsidRDefault="00530396" w14:paraId="2ADA2D2A" w14:textId="77777777">
      <w:pPr>
        <w:spacing w:after="0" w:line="240" w:lineRule="auto"/>
        <w:rPr>
          <w:rFonts w:ascii="Calibri" w:hAnsi="Calibri" w:cs="Calibri"/>
          <w:i/>
          <w:iCs/>
        </w:rPr>
      </w:pPr>
      <w:r w:rsidRPr="00D55A28">
        <w:rPr>
          <w:rFonts w:ascii="Calibri" w:hAnsi="Calibri" w:cs="Calibri"/>
          <w:i/>
          <w:iCs/>
        </w:rPr>
        <w:br w:type="page"/>
      </w:r>
    </w:p>
    <w:p w:rsidRPr="00D55A28" w:rsidR="00530396" w:rsidP="00530396" w:rsidRDefault="00530396" w14:paraId="0F036992" w14:textId="77777777">
      <w:pPr>
        <w:spacing w:after="0"/>
        <w:rPr>
          <w:rFonts w:ascii="Calibri" w:hAnsi="Calibri" w:cs="Calibri"/>
          <w:u w:val="single"/>
        </w:rPr>
      </w:pPr>
      <w:r w:rsidRPr="00D55A28">
        <w:rPr>
          <w:rFonts w:ascii="Calibri" w:hAnsi="Calibri" w:cs="Calibri"/>
          <w:u w:val="single"/>
        </w:rPr>
        <w:lastRenderedPageBreak/>
        <w:t>Programmatische vaccinatiezorg voor volwassenen</w:t>
      </w:r>
    </w:p>
    <w:p w:rsidRPr="00D55A28" w:rsidR="00530396" w:rsidP="00530396" w:rsidRDefault="00530396" w14:paraId="10F5BA31" w14:textId="77777777">
      <w:pPr>
        <w:spacing w:after="0"/>
        <w:rPr>
          <w:rFonts w:ascii="Calibri" w:hAnsi="Calibri" w:cs="Calibri"/>
        </w:rPr>
      </w:pPr>
      <w:r w:rsidRPr="00D55A28">
        <w:rPr>
          <w:rFonts w:ascii="Calibri" w:hAnsi="Calibri" w:cs="Calibri"/>
        </w:rPr>
        <w:t>Voor de huidige programmatische vaccinatiezorg voor volwassenen ben ik in samenwerking met het RIVM aan het verkennen hoe deze zorg zo kan worden uitgevoerd dat het zo toegankelijk mogelijk voor burgers en doelmatig is. Hierbij worden ook de resultaten van de uitvoeringstoets</w:t>
      </w:r>
      <w:r w:rsidRPr="00D55A28">
        <w:rPr>
          <w:rStyle w:val="Voetnootmarkering"/>
          <w:rFonts w:ascii="Calibri" w:hAnsi="Calibri" w:cs="Calibri"/>
        </w:rPr>
        <w:footnoteReference w:id="1"/>
      </w:r>
      <w:r w:rsidRPr="00D55A28">
        <w:rPr>
          <w:rFonts w:ascii="Calibri" w:hAnsi="Calibri" w:cs="Calibri"/>
        </w:rPr>
        <w:t xml:space="preserve"> meegenomen. Daarbij zullen de verschillende uitvoerende partijen betrokken worden om te zorgen dat er aansluiting is bij wat in de praktijk mogelijk is.</w:t>
      </w:r>
      <w:r w:rsidRPr="00D55A28">
        <w:rPr>
          <w:rFonts w:ascii="Calibri" w:hAnsi="Calibri" w:cs="Calibri"/>
          <w:color w:val="FF0000"/>
        </w:rPr>
        <w:t xml:space="preserve"> </w:t>
      </w:r>
      <w:r w:rsidRPr="00D55A28">
        <w:rPr>
          <w:rFonts w:ascii="Calibri" w:hAnsi="Calibri" w:cs="Calibri"/>
        </w:rPr>
        <w:t>In deze verkenning worden verschillende uitvoeringsmogelijkheden onderzocht. De resultaten van dit onderzoek zullen worden meegenomen in de besluitvorming over de vaccinatiezorg.</w:t>
      </w:r>
    </w:p>
    <w:p w:rsidRPr="00D55A28" w:rsidR="00530396" w:rsidP="00530396" w:rsidRDefault="00530396" w14:paraId="3DF4AD76" w14:textId="77777777">
      <w:pPr>
        <w:spacing w:after="0"/>
        <w:rPr>
          <w:rFonts w:ascii="Calibri" w:hAnsi="Calibri" w:cs="Calibri"/>
        </w:rPr>
      </w:pPr>
    </w:p>
    <w:p w:rsidRPr="00D55A28" w:rsidR="00530396" w:rsidP="00530396" w:rsidRDefault="00530396" w14:paraId="6EAF6287" w14:textId="77777777">
      <w:pPr>
        <w:spacing w:after="0"/>
        <w:rPr>
          <w:rFonts w:ascii="Calibri" w:hAnsi="Calibri" w:cs="Calibri"/>
          <w:b/>
          <w:bCs/>
        </w:rPr>
      </w:pPr>
      <w:r w:rsidRPr="00D55A28">
        <w:rPr>
          <w:rFonts w:ascii="Calibri" w:hAnsi="Calibri" w:cs="Calibri"/>
          <w:b/>
          <w:bCs/>
        </w:rPr>
        <w:t>RSV-vaccinatie voor ouderen</w:t>
      </w:r>
    </w:p>
    <w:p w:rsidRPr="00D55A28" w:rsidR="00530396" w:rsidP="00530396" w:rsidRDefault="00530396" w14:paraId="5963CD00" w14:textId="77777777">
      <w:pPr>
        <w:spacing w:after="0"/>
        <w:rPr>
          <w:rFonts w:ascii="Calibri" w:hAnsi="Calibri" w:cs="Calibri"/>
        </w:rPr>
      </w:pPr>
      <w:r w:rsidRPr="00D55A28">
        <w:rPr>
          <w:rFonts w:ascii="Calibri" w:hAnsi="Calibri" w:cs="Calibri"/>
        </w:rPr>
        <w:t>Vanaf mei 2023 heeft het Europees Medicijnagentschap (EMA) drie vaccins tegen het respirator syncytieel virus (RSV) goedgekeurd voor mensen vanaf 50 en vanaf 60 jaar. Naar aanleiding daarvan heeft VWS de GR gevraagd of het wenselijk is vaccinatie tegen RSV programmatisch aan te bieden aan ouderen.</w:t>
      </w:r>
    </w:p>
    <w:p w:rsidRPr="00D55A28" w:rsidR="00530396" w:rsidP="00530396" w:rsidRDefault="00530396" w14:paraId="64BC71DB" w14:textId="77777777">
      <w:pPr>
        <w:spacing w:after="0"/>
        <w:rPr>
          <w:rFonts w:ascii="Calibri" w:hAnsi="Calibri" w:cs="Calibri"/>
        </w:rPr>
      </w:pPr>
    </w:p>
    <w:p w:rsidRPr="00D55A28" w:rsidR="00530396" w:rsidP="00530396" w:rsidRDefault="00530396" w14:paraId="2C68DE3D" w14:textId="77777777">
      <w:pPr>
        <w:spacing w:after="0"/>
        <w:rPr>
          <w:rFonts w:ascii="Calibri" w:hAnsi="Calibri" w:cs="Calibri"/>
          <w:i/>
          <w:iCs/>
        </w:rPr>
      </w:pPr>
      <w:r w:rsidRPr="00D55A28">
        <w:rPr>
          <w:rFonts w:ascii="Calibri" w:hAnsi="Calibri" w:cs="Calibri"/>
          <w:i/>
          <w:iCs/>
        </w:rPr>
        <w:t>Samenvatting advies</w:t>
      </w:r>
    </w:p>
    <w:p w:rsidRPr="00D55A28" w:rsidR="00530396" w:rsidP="00530396" w:rsidRDefault="00530396" w14:paraId="4E22916B" w14:textId="77777777">
      <w:pPr>
        <w:spacing w:after="0"/>
        <w:rPr>
          <w:rFonts w:ascii="Calibri" w:hAnsi="Calibri" w:cs="Calibri"/>
        </w:rPr>
      </w:pPr>
      <w:r w:rsidRPr="00D55A28">
        <w:rPr>
          <w:rFonts w:ascii="Calibri" w:hAnsi="Calibri" w:cs="Calibri"/>
        </w:rPr>
        <w:t>De GR concludeert dat vaccinatie ouderen kan beschermen tegen ernstige ziekte door RSV. De GR staat daarom in principe positief tegenover een aanbod van RSV-vaccinatie voor 75-plussers en voor medische risicogroepen en bewoners van instellingen voor langdurige zorg van 60 tot 75 jaar, maar geeft daarbij aan dat definitieve besluitvorming over de invoering van een programma pas kan plaatsvinden als de verwachte beschermingsduur van de vaccinatie en de timing van eventuele herhaalvaccinaties bekend is. De GR geeft tevens aan dat de kosteneffectiviteitsratio van vaccinatie voor mensen van 75 jaar en ouder ver boven de referentiewaarde voor preventieve interventies ligt en daarmee niet passend is bij een programmatisch vaccinatieaanbod. De kosteneffectiviteitsratio van vaccinatie voor medische risicogroepen is onbekend, maar ligt waarschijnlijk niet in de buurt van de referentiewaarde voor preventieve interventies.</w:t>
      </w:r>
    </w:p>
    <w:p w:rsidRPr="00D55A28" w:rsidR="00530396" w:rsidP="00530396" w:rsidRDefault="00530396" w14:paraId="1F3185BF" w14:textId="77777777">
      <w:pPr>
        <w:spacing w:after="0"/>
        <w:rPr>
          <w:rFonts w:ascii="Calibri" w:hAnsi="Calibri" w:cs="Calibri"/>
          <w:b/>
          <w:bCs/>
        </w:rPr>
      </w:pPr>
    </w:p>
    <w:p w:rsidRPr="00D55A28" w:rsidR="00530396" w:rsidP="00530396" w:rsidRDefault="00530396" w14:paraId="49E4BBFD" w14:textId="77777777">
      <w:pPr>
        <w:spacing w:after="0"/>
        <w:rPr>
          <w:rFonts w:ascii="Calibri" w:hAnsi="Calibri" w:cs="Calibri"/>
          <w:i/>
          <w:iCs/>
        </w:rPr>
      </w:pPr>
      <w:r w:rsidRPr="00D55A28">
        <w:rPr>
          <w:rFonts w:ascii="Calibri" w:hAnsi="Calibri" w:cs="Calibri"/>
          <w:i/>
          <w:iCs/>
        </w:rPr>
        <w:t>Besluit</w:t>
      </w:r>
    </w:p>
    <w:p w:rsidRPr="00D55A28" w:rsidR="00530396" w:rsidP="00530396" w:rsidRDefault="00530396" w14:paraId="670CBD50" w14:textId="77777777">
      <w:pPr>
        <w:spacing w:after="0"/>
        <w:rPr>
          <w:rFonts w:ascii="Calibri" w:hAnsi="Calibri" w:cs="Calibri"/>
        </w:rPr>
      </w:pPr>
      <w:r w:rsidRPr="00D55A28">
        <w:rPr>
          <w:rFonts w:ascii="Calibri" w:hAnsi="Calibri" w:cs="Calibri"/>
        </w:rPr>
        <w:t>Ik heb besloten om het advies van de GR over te nemen en vooralsnog geen programmatische vaccinatiecampagne RSV voor ouderen op te starten. Hiervoor dient eerst meer duidelijkheid te bestaan over de verwachte beschermingsduur en de frequentie van eventuele herhaalvaccinaties. Deze inzichten zullen een preciezer beeld geven van de mogelijke vaccinatiestrategie en de kosteneffectiviteitsratio’s van de verschillende vaccins. Zodra zich relevante ontwikkelingen voordoen, zal ik de GR opnieuw om advies vragen.</w:t>
      </w:r>
    </w:p>
    <w:p w:rsidRPr="00D55A28" w:rsidR="00530396" w:rsidP="00530396" w:rsidRDefault="00530396" w14:paraId="6EC78F2F" w14:textId="77777777">
      <w:pPr>
        <w:spacing w:after="0"/>
        <w:rPr>
          <w:rFonts w:ascii="Calibri" w:hAnsi="Calibri" w:cs="Calibri"/>
        </w:rPr>
      </w:pPr>
    </w:p>
    <w:p w:rsidRPr="00D55A28" w:rsidR="00D55A28" w:rsidP="00D55A28" w:rsidRDefault="00D55A28" w14:paraId="468CDB6C" w14:textId="28D1A56E">
      <w:pPr>
        <w:pStyle w:val="Geenafstand"/>
        <w:rPr>
          <w:rFonts w:ascii="Calibri" w:hAnsi="Calibri" w:cs="Calibri"/>
        </w:rPr>
      </w:pPr>
      <w:r w:rsidRPr="00D55A28">
        <w:rPr>
          <w:rFonts w:ascii="Calibri" w:hAnsi="Calibri" w:cs="Calibri"/>
        </w:rPr>
        <w:t>De staatssecretaris van Volksgezondheid, Welzijn en Sport,</w:t>
      </w:r>
    </w:p>
    <w:p w:rsidRPr="00D55A28" w:rsidR="00530396" w:rsidP="00D55A28" w:rsidRDefault="00530396" w14:paraId="75BB6B5A" w14:textId="5B6ABC96">
      <w:pPr>
        <w:pStyle w:val="Geenafstand"/>
        <w:rPr>
          <w:rFonts w:ascii="Calibri" w:hAnsi="Calibri" w:cs="Calibri"/>
        </w:rPr>
      </w:pPr>
      <w:r w:rsidRPr="00D55A28">
        <w:rPr>
          <w:rFonts w:ascii="Calibri" w:hAnsi="Calibri" w:cs="Calibri"/>
        </w:rPr>
        <w:t>V</w:t>
      </w:r>
      <w:r w:rsidRPr="00D55A28" w:rsidR="00D55A28">
        <w:rPr>
          <w:rFonts w:ascii="Calibri" w:hAnsi="Calibri" w:cs="Calibri"/>
        </w:rPr>
        <w:t xml:space="preserve">.P.G. </w:t>
      </w:r>
      <w:r w:rsidRPr="00D55A28">
        <w:rPr>
          <w:rFonts w:ascii="Calibri" w:hAnsi="Calibri" w:cs="Calibri"/>
        </w:rPr>
        <w:t>Karremans</w:t>
      </w:r>
    </w:p>
    <w:p w:rsidRPr="00D55A28" w:rsidR="00F80165" w:rsidP="00530396" w:rsidRDefault="00F80165" w14:paraId="039BEC7B" w14:textId="77777777">
      <w:pPr>
        <w:spacing w:after="0"/>
        <w:rPr>
          <w:rFonts w:ascii="Calibri" w:hAnsi="Calibri" w:cs="Calibri"/>
        </w:rPr>
      </w:pPr>
    </w:p>
    <w:sectPr w:rsidRPr="00D55A28" w:rsidR="00F80165" w:rsidSect="0053039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295F7" w14:textId="77777777" w:rsidR="00530396" w:rsidRDefault="00530396" w:rsidP="00530396">
      <w:pPr>
        <w:spacing w:after="0" w:line="240" w:lineRule="auto"/>
      </w:pPr>
      <w:r>
        <w:separator/>
      </w:r>
    </w:p>
  </w:endnote>
  <w:endnote w:type="continuationSeparator" w:id="0">
    <w:p w14:paraId="5C1ED463" w14:textId="77777777" w:rsidR="00530396" w:rsidRDefault="00530396" w:rsidP="0053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8FD7" w14:textId="77777777" w:rsidR="00530396" w:rsidRPr="00530396" w:rsidRDefault="00530396" w:rsidP="005303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DC87" w14:textId="77777777" w:rsidR="00530396" w:rsidRPr="00530396" w:rsidRDefault="00530396" w:rsidP="005303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A698" w14:textId="77777777" w:rsidR="00530396" w:rsidRPr="00530396" w:rsidRDefault="00530396" w:rsidP="005303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EA74" w14:textId="77777777" w:rsidR="00530396" w:rsidRDefault="00530396" w:rsidP="00530396">
      <w:pPr>
        <w:spacing w:after="0" w:line="240" w:lineRule="auto"/>
      </w:pPr>
      <w:r>
        <w:separator/>
      </w:r>
    </w:p>
  </w:footnote>
  <w:footnote w:type="continuationSeparator" w:id="0">
    <w:p w14:paraId="19F7E5A0" w14:textId="77777777" w:rsidR="00530396" w:rsidRDefault="00530396" w:rsidP="00530396">
      <w:pPr>
        <w:spacing w:after="0" w:line="240" w:lineRule="auto"/>
      </w:pPr>
      <w:r>
        <w:continuationSeparator/>
      </w:r>
    </w:p>
  </w:footnote>
  <w:footnote w:id="1">
    <w:p w14:paraId="73C1BA33" w14:textId="77777777" w:rsidR="00530396" w:rsidRPr="00D55A28" w:rsidRDefault="00530396" w:rsidP="00530396">
      <w:pPr>
        <w:pStyle w:val="Voetnoottekst"/>
        <w:rPr>
          <w:rFonts w:ascii="Calibri" w:hAnsi="Calibri" w:cs="Calibri"/>
        </w:rPr>
      </w:pPr>
      <w:r w:rsidRPr="00D55A28">
        <w:rPr>
          <w:rStyle w:val="Voetnootmarkering"/>
          <w:rFonts w:ascii="Calibri" w:hAnsi="Calibri" w:cs="Calibri"/>
        </w:rPr>
        <w:footnoteRef/>
      </w:r>
      <w:r w:rsidRPr="00D55A28">
        <w:rPr>
          <w:rFonts w:ascii="Calibri" w:hAnsi="Calibri" w:cs="Calibri"/>
        </w:rPr>
        <w:t xml:space="preserve"> Kamerstuk Vergaderjaar 2023–2024, 32 793, nr. 778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390F" w14:textId="77777777" w:rsidR="00530396" w:rsidRPr="00530396" w:rsidRDefault="00530396" w:rsidP="005303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EC32" w14:textId="77777777" w:rsidR="00530396" w:rsidRPr="00530396" w:rsidRDefault="00530396" w:rsidP="005303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08CE" w14:textId="77777777" w:rsidR="00530396" w:rsidRPr="00530396" w:rsidRDefault="00530396" w:rsidP="005303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29D87"/>
    <w:multiLevelType w:val="multilevel"/>
    <w:tmpl w:val="CBC174E5"/>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F00DF2"/>
    <w:multiLevelType w:val="hybridMultilevel"/>
    <w:tmpl w:val="FA5E6E90"/>
    <w:lvl w:ilvl="0" w:tplc="CDD0589E">
      <w:numFmt w:val="bullet"/>
      <w:lvlText w:val="-"/>
      <w:lvlJc w:val="left"/>
      <w:pPr>
        <w:ind w:left="728" w:hanging="360"/>
      </w:pPr>
      <w:rPr>
        <w:rFonts w:ascii="Verdana" w:eastAsia="DejaVu Sans" w:hAnsi="Verdana" w:cs="Lohit Hindi" w:hint="default"/>
      </w:rPr>
    </w:lvl>
    <w:lvl w:ilvl="1" w:tplc="04130003">
      <w:start w:val="1"/>
      <w:numFmt w:val="bullet"/>
      <w:lvlText w:val="o"/>
      <w:lvlJc w:val="left"/>
      <w:pPr>
        <w:ind w:left="1448" w:hanging="360"/>
      </w:pPr>
      <w:rPr>
        <w:rFonts w:ascii="Courier New" w:hAnsi="Courier New" w:cs="Courier New" w:hint="default"/>
      </w:rPr>
    </w:lvl>
    <w:lvl w:ilvl="2" w:tplc="04130005">
      <w:start w:val="1"/>
      <w:numFmt w:val="bullet"/>
      <w:lvlText w:val=""/>
      <w:lvlJc w:val="left"/>
      <w:pPr>
        <w:ind w:left="2168" w:hanging="360"/>
      </w:pPr>
      <w:rPr>
        <w:rFonts w:ascii="Wingdings" w:hAnsi="Wingdings" w:hint="default"/>
      </w:rPr>
    </w:lvl>
    <w:lvl w:ilvl="3" w:tplc="04130001">
      <w:start w:val="1"/>
      <w:numFmt w:val="bullet"/>
      <w:lvlText w:val=""/>
      <w:lvlJc w:val="left"/>
      <w:pPr>
        <w:ind w:left="2888" w:hanging="360"/>
      </w:pPr>
      <w:rPr>
        <w:rFonts w:ascii="Symbol" w:hAnsi="Symbol" w:hint="default"/>
      </w:rPr>
    </w:lvl>
    <w:lvl w:ilvl="4" w:tplc="04130003">
      <w:start w:val="1"/>
      <w:numFmt w:val="bullet"/>
      <w:lvlText w:val="o"/>
      <w:lvlJc w:val="left"/>
      <w:pPr>
        <w:ind w:left="3608" w:hanging="360"/>
      </w:pPr>
      <w:rPr>
        <w:rFonts w:ascii="Courier New" w:hAnsi="Courier New" w:cs="Courier New" w:hint="default"/>
      </w:rPr>
    </w:lvl>
    <w:lvl w:ilvl="5" w:tplc="04130005">
      <w:start w:val="1"/>
      <w:numFmt w:val="bullet"/>
      <w:lvlText w:val=""/>
      <w:lvlJc w:val="left"/>
      <w:pPr>
        <w:ind w:left="4328" w:hanging="360"/>
      </w:pPr>
      <w:rPr>
        <w:rFonts w:ascii="Wingdings" w:hAnsi="Wingdings" w:hint="default"/>
      </w:rPr>
    </w:lvl>
    <w:lvl w:ilvl="6" w:tplc="04130001">
      <w:start w:val="1"/>
      <w:numFmt w:val="bullet"/>
      <w:lvlText w:val=""/>
      <w:lvlJc w:val="left"/>
      <w:pPr>
        <w:ind w:left="5048" w:hanging="360"/>
      </w:pPr>
      <w:rPr>
        <w:rFonts w:ascii="Symbol" w:hAnsi="Symbol" w:hint="default"/>
      </w:rPr>
    </w:lvl>
    <w:lvl w:ilvl="7" w:tplc="04130003">
      <w:start w:val="1"/>
      <w:numFmt w:val="bullet"/>
      <w:lvlText w:val="o"/>
      <w:lvlJc w:val="left"/>
      <w:pPr>
        <w:ind w:left="5768" w:hanging="360"/>
      </w:pPr>
      <w:rPr>
        <w:rFonts w:ascii="Courier New" w:hAnsi="Courier New" w:cs="Courier New" w:hint="default"/>
      </w:rPr>
    </w:lvl>
    <w:lvl w:ilvl="8" w:tplc="04130005">
      <w:start w:val="1"/>
      <w:numFmt w:val="bullet"/>
      <w:lvlText w:val=""/>
      <w:lvlJc w:val="left"/>
      <w:pPr>
        <w:ind w:left="6488" w:hanging="360"/>
      </w:pPr>
      <w:rPr>
        <w:rFonts w:ascii="Wingdings" w:hAnsi="Wingdings" w:hint="default"/>
      </w:rPr>
    </w:lvl>
  </w:abstractNum>
  <w:num w:numId="1" w16cid:durableId="518206694">
    <w:abstractNumId w:val="0"/>
  </w:num>
  <w:num w:numId="2" w16cid:durableId="18163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96"/>
    <w:rsid w:val="00530396"/>
    <w:rsid w:val="00684465"/>
    <w:rsid w:val="00771EC7"/>
    <w:rsid w:val="00D55A2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E271"/>
  <w15:chartTrackingRefBased/>
  <w15:docId w15:val="{A7852F31-34B3-4E78-B908-990D8EBD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0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0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03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03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03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03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03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03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03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3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03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03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03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03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03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03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03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0396"/>
    <w:rPr>
      <w:rFonts w:eastAsiaTheme="majorEastAsia" w:cstheme="majorBidi"/>
      <w:color w:val="272727" w:themeColor="text1" w:themeTint="D8"/>
    </w:rPr>
  </w:style>
  <w:style w:type="paragraph" w:styleId="Titel">
    <w:name w:val="Title"/>
    <w:basedOn w:val="Standaard"/>
    <w:next w:val="Standaard"/>
    <w:link w:val="TitelChar"/>
    <w:uiPriority w:val="10"/>
    <w:qFormat/>
    <w:rsid w:val="00530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3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3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3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03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396"/>
    <w:rPr>
      <w:i/>
      <w:iCs/>
      <w:color w:val="404040" w:themeColor="text1" w:themeTint="BF"/>
    </w:rPr>
  </w:style>
  <w:style w:type="paragraph" w:styleId="Lijstalinea">
    <w:name w:val="List Paragraph"/>
    <w:basedOn w:val="Standaard"/>
    <w:uiPriority w:val="34"/>
    <w:qFormat/>
    <w:rsid w:val="00530396"/>
    <w:pPr>
      <w:ind w:left="720"/>
      <w:contextualSpacing/>
    </w:pPr>
  </w:style>
  <w:style w:type="character" w:styleId="Intensievebenadrukking">
    <w:name w:val="Intense Emphasis"/>
    <w:basedOn w:val="Standaardalinea-lettertype"/>
    <w:uiPriority w:val="21"/>
    <w:qFormat/>
    <w:rsid w:val="00530396"/>
    <w:rPr>
      <w:i/>
      <w:iCs/>
      <w:color w:val="0F4761" w:themeColor="accent1" w:themeShade="BF"/>
    </w:rPr>
  </w:style>
  <w:style w:type="paragraph" w:styleId="Duidelijkcitaat">
    <w:name w:val="Intense Quote"/>
    <w:basedOn w:val="Standaard"/>
    <w:next w:val="Standaard"/>
    <w:link w:val="DuidelijkcitaatChar"/>
    <w:uiPriority w:val="30"/>
    <w:qFormat/>
    <w:rsid w:val="00530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0396"/>
    <w:rPr>
      <w:i/>
      <w:iCs/>
      <w:color w:val="0F4761" w:themeColor="accent1" w:themeShade="BF"/>
    </w:rPr>
  </w:style>
  <w:style w:type="character" w:styleId="Intensieveverwijzing">
    <w:name w:val="Intense Reference"/>
    <w:basedOn w:val="Standaardalinea-lettertype"/>
    <w:uiPriority w:val="32"/>
    <w:qFormat/>
    <w:rsid w:val="00530396"/>
    <w:rPr>
      <w:b/>
      <w:bCs/>
      <w:smallCaps/>
      <w:color w:val="0F4761" w:themeColor="accent1" w:themeShade="BF"/>
      <w:spacing w:val="5"/>
    </w:rPr>
  </w:style>
  <w:style w:type="paragraph" w:customStyle="1" w:styleId="MarginlessContainer">
    <w:name w:val="Marginless Container"/>
    <w:hidden/>
    <w:rsid w:val="0053039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53039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
    <w:name w:val="VWS Ntb"/>
    <w:basedOn w:val="Standaard"/>
    <w:next w:val="Standaard"/>
    <w:rsid w:val="00530396"/>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530396"/>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530396"/>
    <w:pPr>
      <w:numPr>
        <w:numId w:val="1"/>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3039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3039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30396"/>
    <w:rPr>
      <w:vertAlign w:val="superscript"/>
    </w:rPr>
  </w:style>
  <w:style w:type="paragraph" w:styleId="Koptekst">
    <w:name w:val="header"/>
    <w:basedOn w:val="Standaard"/>
    <w:link w:val="KoptekstChar"/>
    <w:uiPriority w:val="99"/>
    <w:unhideWhenUsed/>
    <w:rsid w:val="005303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0396"/>
  </w:style>
  <w:style w:type="paragraph" w:styleId="Voettekst">
    <w:name w:val="footer"/>
    <w:basedOn w:val="Standaard"/>
    <w:link w:val="VoettekstChar"/>
    <w:uiPriority w:val="99"/>
    <w:unhideWhenUsed/>
    <w:rsid w:val="005303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0396"/>
  </w:style>
  <w:style w:type="paragraph" w:styleId="Geenafstand">
    <w:name w:val="No Spacing"/>
    <w:uiPriority w:val="1"/>
    <w:qFormat/>
    <w:rsid w:val="00D55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1172</ap:Words>
  <ap:Characters>6449</ap:Characters>
  <ap:DocSecurity>0</ap:DocSecurity>
  <ap:Lines>53</ap:Lines>
  <ap:Paragraphs>15</ap:Paragraphs>
  <ap:ScaleCrop>false</ap:ScaleCrop>
  <ap:LinksUpToDate>false</ap:LinksUpToDate>
  <ap:CharactersWithSpaces>7606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2025-05-13T09:49:00.0000000Z</dcterms:created>
  <dcterms:modified xsi:type="dcterms:W3CDTF">2025-05-13T09:49:00.0000000Z</dcterms:modified>
  <version/>
  <category/>
</coreProperties>
</file>