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4A0" w:firstRow="1" w:lastRow="0" w:firstColumn="1" w:lastColumn="0" w:noHBand="0" w:noVBand="1"/>
      </w:tblPr>
      <w:tblGrid>
        <w:gridCol w:w="2718"/>
        <w:gridCol w:w="1989"/>
        <w:gridCol w:w="2467"/>
        <w:gridCol w:w="1570"/>
        <w:gridCol w:w="2555"/>
        <w:gridCol w:w="2695"/>
      </w:tblGrid>
      <w:tr w:rsidRPr="009538F9" w:rsidR="009538F9" w:rsidTr="009538F9" w14:paraId="7516E99F" w14:textId="77777777">
        <w:trPr>
          <w:trHeight w:val="285"/>
        </w:trPr>
        <w:tc>
          <w:tcPr>
            <w:tcW w:w="2972" w:type="dxa"/>
            <w:tcBorders>
              <w:top w:val="single" w:color="auto" w:sz="4" w:space="0"/>
              <w:left w:val="single" w:color="auto" w:sz="4" w:space="0"/>
              <w:bottom w:val="single" w:color="auto" w:sz="4" w:space="0"/>
              <w:right w:val="single" w:color="auto" w:sz="4" w:space="0"/>
            </w:tcBorders>
            <w:shd w:val="clear" w:color="auto" w:fill="auto"/>
            <w:noWrap/>
            <w:hideMark/>
          </w:tcPr>
          <w:p w:rsidRPr="009538F9" w:rsidR="009538F9" w:rsidP="009538F9" w:rsidRDefault="009538F9" w14:paraId="57C92F23" w14:textId="77777777">
            <w:pPr>
              <w:spacing w:after="0" w:line="240" w:lineRule="auto"/>
              <w:rPr>
                <w:rFonts w:ascii="Verdana" w:hAnsi="Verdana" w:eastAsia="Times New Roman" w:cs="Arial"/>
                <w:b/>
                <w:bCs/>
                <w:kern w:val="0"/>
                <w:sz w:val="22"/>
                <w:szCs w:val="22"/>
                <w:lang w:eastAsia="nl-NL"/>
                <w14:ligatures w14:val="none"/>
              </w:rPr>
            </w:pPr>
            <w:bookmarkStart w:name="RANGE!A1:F44" w:id="0"/>
            <w:r w:rsidRPr="009538F9">
              <w:rPr>
                <w:rFonts w:ascii="Verdana" w:hAnsi="Verdana" w:eastAsia="Times New Roman" w:cs="Arial"/>
                <w:b/>
                <w:bCs/>
                <w:kern w:val="0"/>
                <w:sz w:val="22"/>
                <w:szCs w:val="22"/>
                <w:lang w:eastAsia="nl-NL"/>
                <w14:ligatures w14:val="none"/>
              </w:rPr>
              <w:t>Kwartaalrapportage JenV eerste kwartaal 2025</w:t>
            </w:r>
            <w:bookmarkEnd w:id="0"/>
          </w:p>
        </w:tc>
        <w:tc>
          <w:tcPr>
            <w:tcW w:w="2023" w:type="dxa"/>
            <w:tcBorders>
              <w:top w:val="single" w:color="auto" w:sz="4" w:space="0"/>
              <w:left w:val="nil"/>
              <w:bottom w:val="single" w:color="auto" w:sz="4" w:space="0"/>
              <w:right w:val="single" w:color="auto" w:sz="4" w:space="0"/>
            </w:tcBorders>
            <w:shd w:val="clear" w:color="auto" w:fill="auto"/>
            <w:noWrap/>
            <w:hideMark/>
          </w:tcPr>
          <w:p w:rsidRPr="009538F9" w:rsidR="009538F9" w:rsidP="009538F9" w:rsidRDefault="009538F9" w14:paraId="5C222C3A"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2390" w:type="dxa"/>
            <w:tcBorders>
              <w:top w:val="single" w:color="auto" w:sz="4" w:space="0"/>
              <w:left w:val="nil"/>
              <w:bottom w:val="single" w:color="auto" w:sz="4" w:space="0"/>
              <w:right w:val="single" w:color="auto" w:sz="4" w:space="0"/>
            </w:tcBorders>
            <w:shd w:val="clear" w:color="auto" w:fill="auto"/>
            <w:noWrap/>
            <w:hideMark/>
          </w:tcPr>
          <w:p w:rsidRPr="009538F9" w:rsidR="009538F9" w:rsidP="009538F9" w:rsidRDefault="009538F9" w14:paraId="26079719"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single" w:color="auto" w:sz="4" w:space="0"/>
              <w:left w:val="nil"/>
              <w:bottom w:val="single" w:color="auto" w:sz="4" w:space="0"/>
              <w:right w:val="single" w:color="auto" w:sz="4" w:space="0"/>
            </w:tcBorders>
            <w:shd w:val="clear" w:color="auto" w:fill="auto"/>
            <w:noWrap/>
            <w:hideMark/>
          </w:tcPr>
          <w:p w:rsidRPr="009538F9" w:rsidR="009538F9" w:rsidP="009538F9" w:rsidRDefault="009538F9" w14:paraId="0C3C4E63"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single" w:color="auto" w:sz="4" w:space="0"/>
              <w:left w:val="nil"/>
              <w:bottom w:val="single" w:color="auto" w:sz="4" w:space="0"/>
              <w:right w:val="single" w:color="auto" w:sz="4" w:space="0"/>
            </w:tcBorders>
            <w:shd w:val="clear" w:color="auto" w:fill="auto"/>
            <w:noWrap/>
            <w:hideMark/>
          </w:tcPr>
          <w:p w:rsidRPr="009538F9" w:rsidR="009538F9" w:rsidP="009538F9" w:rsidRDefault="009538F9" w14:paraId="0097D734"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single" w:color="auto" w:sz="4" w:space="0"/>
              <w:left w:val="nil"/>
              <w:bottom w:val="single" w:color="auto" w:sz="4" w:space="0"/>
              <w:right w:val="single" w:color="auto" w:sz="4" w:space="0"/>
            </w:tcBorders>
            <w:shd w:val="clear" w:color="auto" w:fill="auto"/>
            <w:noWrap/>
            <w:hideMark/>
          </w:tcPr>
          <w:p w:rsidRPr="009538F9" w:rsidR="009538F9" w:rsidP="009538F9" w:rsidRDefault="009538F9" w14:paraId="5C2791F2"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r>
      <w:tr w:rsidRPr="009538F9" w:rsidR="009538F9" w:rsidTr="009538F9" w14:paraId="2332B8C9" w14:textId="77777777">
        <w:trPr>
          <w:trHeight w:val="285"/>
        </w:trPr>
        <w:tc>
          <w:tcPr>
            <w:tcW w:w="2972" w:type="dxa"/>
            <w:tcBorders>
              <w:top w:val="nil"/>
              <w:left w:val="single" w:color="auto" w:sz="4" w:space="0"/>
              <w:bottom w:val="single" w:color="auto" w:sz="4" w:space="0"/>
              <w:right w:val="single" w:color="auto" w:sz="4" w:space="0"/>
            </w:tcBorders>
            <w:shd w:val="clear" w:color="auto" w:fill="auto"/>
            <w:noWrap/>
            <w:hideMark/>
          </w:tcPr>
          <w:p w:rsidRPr="009538F9" w:rsidR="009538F9" w:rsidP="009538F9" w:rsidRDefault="009538F9" w14:paraId="0B0D75F8"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2023" w:type="dxa"/>
            <w:tcBorders>
              <w:top w:val="nil"/>
              <w:left w:val="nil"/>
              <w:bottom w:val="single" w:color="auto" w:sz="4" w:space="0"/>
              <w:right w:val="single" w:color="auto" w:sz="4" w:space="0"/>
            </w:tcBorders>
            <w:shd w:val="clear" w:color="auto" w:fill="auto"/>
            <w:noWrap/>
            <w:hideMark/>
          </w:tcPr>
          <w:p w:rsidRPr="009538F9" w:rsidR="009538F9" w:rsidP="009538F9" w:rsidRDefault="009538F9" w14:paraId="1E7372A7"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2390" w:type="dxa"/>
            <w:tcBorders>
              <w:top w:val="nil"/>
              <w:left w:val="nil"/>
              <w:bottom w:val="single" w:color="auto" w:sz="4" w:space="0"/>
              <w:right w:val="single" w:color="auto" w:sz="4" w:space="0"/>
            </w:tcBorders>
            <w:shd w:val="clear" w:color="auto" w:fill="auto"/>
            <w:noWrap/>
            <w:hideMark/>
          </w:tcPr>
          <w:p w:rsidRPr="009538F9" w:rsidR="009538F9" w:rsidP="009538F9" w:rsidRDefault="009538F9" w14:paraId="4E02360D"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single" w:color="auto" w:sz="4" w:space="0"/>
            </w:tcBorders>
            <w:shd w:val="clear" w:color="auto" w:fill="auto"/>
            <w:noWrap/>
            <w:hideMark/>
          </w:tcPr>
          <w:p w:rsidRPr="009538F9" w:rsidR="009538F9" w:rsidP="009538F9" w:rsidRDefault="009538F9" w14:paraId="45E07234" w14:textId="77777777">
            <w:pPr>
              <w:spacing w:after="0" w:line="240" w:lineRule="auto"/>
              <w:rPr>
                <w:rFonts w:ascii="Verdana" w:hAnsi="Verdana" w:eastAsia="Times New Roman" w:cs="Arial"/>
                <w:b/>
                <w:bCs/>
                <w:kern w:val="0"/>
                <w:sz w:val="22"/>
                <w:szCs w:val="22"/>
                <w:lang w:eastAsia="nl-NL"/>
                <w14:ligatures w14:val="none"/>
              </w:rPr>
            </w:pPr>
            <w:r w:rsidRPr="009538F9">
              <w:rPr>
                <w:rFonts w:ascii="Verdana" w:hAnsi="Verdana" w:eastAsia="Times New Roman" w:cs="Arial"/>
                <w:b/>
                <w:bCs/>
                <w:kern w:val="0"/>
                <w:sz w:val="22"/>
                <w:szCs w:val="22"/>
                <w:lang w:eastAsia="nl-NL"/>
                <w14:ligatures w14:val="none"/>
              </w:rPr>
              <w:t> </w:t>
            </w:r>
          </w:p>
        </w:tc>
        <w:tc>
          <w:tcPr>
            <w:tcW w:w="0" w:type="auto"/>
            <w:gridSpan w:val="2"/>
            <w:tcBorders>
              <w:top w:val="single" w:color="auto" w:sz="4" w:space="0"/>
              <w:left w:val="nil"/>
              <w:bottom w:val="single" w:color="auto" w:sz="4" w:space="0"/>
              <w:right w:val="single" w:color="000000" w:sz="4" w:space="0"/>
            </w:tcBorders>
            <w:shd w:val="clear" w:color="auto" w:fill="auto"/>
            <w:noWrap/>
            <w:hideMark/>
          </w:tcPr>
          <w:p w:rsidRPr="009538F9" w:rsidR="009538F9" w:rsidP="009538F9" w:rsidRDefault="009538F9" w14:paraId="4E8A1ACB" w14:textId="77777777">
            <w:pPr>
              <w:spacing w:after="0" w:line="240" w:lineRule="auto"/>
              <w:rPr>
                <w:rFonts w:ascii="Verdana" w:hAnsi="Verdana" w:eastAsia="Times New Roman" w:cs="Arial"/>
                <w:b/>
                <w:bCs/>
                <w:kern w:val="0"/>
                <w:sz w:val="22"/>
                <w:szCs w:val="22"/>
                <w:lang w:eastAsia="nl-NL"/>
                <w14:ligatures w14:val="none"/>
              </w:rPr>
            </w:pPr>
            <w:r w:rsidRPr="009538F9">
              <w:rPr>
                <w:rFonts w:ascii="Verdana" w:hAnsi="Verdana" w:eastAsia="Times New Roman" w:cs="Arial"/>
                <w:b/>
                <w:bCs/>
                <w:kern w:val="0"/>
                <w:sz w:val="22"/>
                <w:szCs w:val="22"/>
                <w:lang w:eastAsia="nl-NL"/>
                <w14:ligatures w14:val="none"/>
              </w:rPr>
              <w:t> </w:t>
            </w:r>
          </w:p>
        </w:tc>
      </w:tr>
      <w:tr w:rsidRPr="009538F9" w:rsidR="009538F9" w:rsidTr="009538F9" w14:paraId="6E7728A4" w14:textId="77777777">
        <w:trPr>
          <w:trHeight w:val="285"/>
        </w:trPr>
        <w:tc>
          <w:tcPr>
            <w:tcW w:w="2972" w:type="dxa"/>
            <w:tcBorders>
              <w:top w:val="nil"/>
              <w:left w:val="single" w:color="auto" w:sz="4" w:space="0"/>
              <w:bottom w:val="single" w:color="auto" w:sz="4" w:space="0"/>
              <w:right w:val="single" w:color="auto" w:sz="4" w:space="0"/>
            </w:tcBorders>
            <w:shd w:val="clear" w:color="auto" w:fill="auto"/>
            <w:noWrap/>
            <w:hideMark/>
          </w:tcPr>
          <w:p w:rsidRPr="009538F9" w:rsidR="009538F9" w:rsidP="009538F9" w:rsidRDefault="009538F9" w14:paraId="6BE7C518"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2023" w:type="dxa"/>
            <w:tcBorders>
              <w:top w:val="nil"/>
              <w:left w:val="nil"/>
              <w:bottom w:val="single" w:color="auto" w:sz="4" w:space="0"/>
              <w:right w:val="single" w:color="auto" w:sz="4" w:space="0"/>
            </w:tcBorders>
            <w:shd w:val="clear" w:color="auto" w:fill="auto"/>
            <w:noWrap/>
            <w:hideMark/>
          </w:tcPr>
          <w:p w:rsidRPr="009538F9" w:rsidR="009538F9" w:rsidP="009538F9" w:rsidRDefault="009538F9" w14:paraId="35810DE6"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2390" w:type="dxa"/>
            <w:tcBorders>
              <w:top w:val="nil"/>
              <w:left w:val="nil"/>
              <w:bottom w:val="single" w:color="auto" w:sz="4" w:space="0"/>
              <w:right w:val="single" w:color="auto" w:sz="4" w:space="0"/>
            </w:tcBorders>
            <w:shd w:val="clear" w:color="auto" w:fill="auto"/>
            <w:noWrap/>
            <w:hideMark/>
          </w:tcPr>
          <w:p w:rsidRPr="009538F9" w:rsidR="009538F9" w:rsidP="009538F9" w:rsidRDefault="009538F9" w14:paraId="32FF04DA"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single" w:color="auto" w:sz="4" w:space="0"/>
            </w:tcBorders>
            <w:shd w:val="clear" w:color="auto" w:fill="auto"/>
            <w:noWrap/>
            <w:hideMark/>
          </w:tcPr>
          <w:p w:rsidRPr="009538F9" w:rsidR="009538F9" w:rsidP="009538F9" w:rsidRDefault="009538F9" w14:paraId="7C69DFEE"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gridSpan w:val="2"/>
            <w:tcBorders>
              <w:top w:val="single" w:color="auto" w:sz="4" w:space="0"/>
              <w:left w:val="nil"/>
              <w:bottom w:val="single" w:color="auto" w:sz="4" w:space="0"/>
              <w:right w:val="single" w:color="000000" w:sz="4" w:space="0"/>
            </w:tcBorders>
            <w:shd w:val="clear" w:color="auto" w:fill="auto"/>
            <w:noWrap/>
            <w:hideMark/>
          </w:tcPr>
          <w:p w:rsidRPr="009538F9" w:rsidR="009538F9" w:rsidP="009538F9" w:rsidRDefault="009538F9" w14:paraId="04C0AB45"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r>
      <w:tr w:rsidRPr="009538F9" w:rsidR="009538F9" w:rsidTr="009538F9" w14:paraId="4AB9BCEA" w14:textId="77777777">
        <w:trPr>
          <w:trHeight w:val="285"/>
        </w:trPr>
        <w:tc>
          <w:tcPr>
            <w:tcW w:w="2972" w:type="dxa"/>
            <w:tcBorders>
              <w:top w:val="nil"/>
              <w:left w:val="single" w:color="auto" w:sz="4" w:space="0"/>
              <w:bottom w:val="single" w:color="auto" w:sz="4" w:space="0"/>
              <w:right w:val="single" w:color="auto" w:sz="4" w:space="0"/>
            </w:tcBorders>
            <w:shd w:val="clear" w:color="000000" w:fill="FFFF00"/>
            <w:noWrap/>
            <w:hideMark/>
          </w:tcPr>
          <w:p w:rsidRPr="009538F9" w:rsidR="009538F9" w:rsidP="009538F9" w:rsidRDefault="009538F9" w14:paraId="6C5F0CB8"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2023" w:type="dxa"/>
            <w:tcBorders>
              <w:top w:val="nil"/>
              <w:left w:val="nil"/>
              <w:bottom w:val="single" w:color="auto" w:sz="4" w:space="0"/>
              <w:right w:val="single" w:color="auto" w:sz="4" w:space="0"/>
            </w:tcBorders>
            <w:shd w:val="clear" w:color="auto" w:fill="auto"/>
            <w:noWrap/>
            <w:hideMark/>
          </w:tcPr>
          <w:p w:rsidRPr="009538F9" w:rsidR="009538F9" w:rsidP="009538F9" w:rsidRDefault="009538F9" w14:paraId="1577D37A"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Voornemen</w:t>
            </w:r>
          </w:p>
        </w:tc>
        <w:tc>
          <w:tcPr>
            <w:tcW w:w="2390" w:type="dxa"/>
            <w:tcBorders>
              <w:top w:val="nil"/>
              <w:left w:val="nil"/>
              <w:bottom w:val="single" w:color="auto" w:sz="4" w:space="0"/>
              <w:right w:val="single" w:color="auto" w:sz="4" w:space="0"/>
            </w:tcBorders>
            <w:shd w:val="clear" w:color="auto" w:fill="auto"/>
            <w:noWrap/>
            <w:hideMark/>
          </w:tcPr>
          <w:p w:rsidRPr="009538F9" w:rsidR="009538F9" w:rsidP="009538F9" w:rsidRDefault="009538F9" w14:paraId="30F8A0B3"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single" w:color="auto" w:sz="4" w:space="0"/>
            </w:tcBorders>
            <w:shd w:val="clear" w:color="auto" w:fill="auto"/>
            <w:noWrap/>
            <w:hideMark/>
          </w:tcPr>
          <w:p w:rsidRPr="009538F9" w:rsidR="009538F9" w:rsidP="009538F9" w:rsidRDefault="009538F9" w14:paraId="4D39C167"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nil"/>
            </w:tcBorders>
            <w:shd w:val="clear" w:color="auto" w:fill="auto"/>
            <w:noWrap/>
            <w:hideMark/>
          </w:tcPr>
          <w:p w:rsidRPr="009538F9" w:rsidR="009538F9" w:rsidP="009538F9" w:rsidRDefault="009538F9" w14:paraId="3BBD661C"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single" w:color="auto" w:sz="4" w:space="0"/>
            </w:tcBorders>
            <w:shd w:val="clear" w:color="auto" w:fill="auto"/>
            <w:noWrap/>
            <w:hideMark/>
          </w:tcPr>
          <w:p w:rsidRPr="009538F9" w:rsidR="009538F9" w:rsidP="009538F9" w:rsidRDefault="009538F9" w14:paraId="6C0303E8"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r>
      <w:tr w:rsidRPr="009538F9" w:rsidR="009538F9" w:rsidTr="009538F9" w14:paraId="4A039A1B" w14:textId="77777777">
        <w:trPr>
          <w:trHeight w:val="285"/>
        </w:trPr>
        <w:tc>
          <w:tcPr>
            <w:tcW w:w="2972" w:type="dxa"/>
            <w:tcBorders>
              <w:top w:val="nil"/>
              <w:left w:val="single" w:color="auto" w:sz="4" w:space="0"/>
              <w:bottom w:val="single" w:color="auto" w:sz="4" w:space="0"/>
              <w:right w:val="single" w:color="auto" w:sz="4" w:space="0"/>
            </w:tcBorders>
            <w:shd w:val="clear" w:color="000000" w:fill="FFC000"/>
            <w:noWrap/>
            <w:hideMark/>
          </w:tcPr>
          <w:p w:rsidRPr="009538F9" w:rsidR="009538F9" w:rsidP="009538F9" w:rsidRDefault="009538F9" w14:paraId="52912A8F"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2023" w:type="dxa"/>
            <w:tcBorders>
              <w:top w:val="nil"/>
              <w:left w:val="nil"/>
              <w:bottom w:val="single" w:color="auto" w:sz="4" w:space="0"/>
              <w:right w:val="single" w:color="auto" w:sz="4" w:space="0"/>
            </w:tcBorders>
            <w:shd w:val="clear" w:color="auto" w:fill="auto"/>
            <w:noWrap/>
            <w:hideMark/>
          </w:tcPr>
          <w:p w:rsidRPr="009538F9" w:rsidR="009538F9" w:rsidP="009538F9" w:rsidRDefault="009538F9" w14:paraId="261A89B7"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Voorstel verschenen</w:t>
            </w:r>
          </w:p>
        </w:tc>
        <w:tc>
          <w:tcPr>
            <w:tcW w:w="2390" w:type="dxa"/>
            <w:tcBorders>
              <w:top w:val="nil"/>
              <w:left w:val="nil"/>
              <w:bottom w:val="single" w:color="auto" w:sz="4" w:space="0"/>
              <w:right w:val="single" w:color="auto" w:sz="4" w:space="0"/>
            </w:tcBorders>
            <w:shd w:val="clear" w:color="auto" w:fill="auto"/>
            <w:noWrap/>
            <w:hideMark/>
          </w:tcPr>
          <w:p w:rsidRPr="009538F9" w:rsidR="009538F9" w:rsidP="009538F9" w:rsidRDefault="009538F9" w14:paraId="6321FC2F"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single" w:color="auto" w:sz="4" w:space="0"/>
            </w:tcBorders>
            <w:shd w:val="clear" w:color="auto" w:fill="auto"/>
            <w:noWrap/>
            <w:hideMark/>
          </w:tcPr>
          <w:p w:rsidRPr="009538F9" w:rsidR="009538F9" w:rsidP="009538F9" w:rsidRDefault="009538F9" w14:paraId="29D47496"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single" w:color="auto" w:sz="4" w:space="0"/>
            </w:tcBorders>
            <w:shd w:val="clear" w:color="auto" w:fill="auto"/>
            <w:noWrap/>
            <w:hideMark/>
          </w:tcPr>
          <w:p w:rsidRPr="009538F9" w:rsidR="009538F9" w:rsidP="009538F9" w:rsidRDefault="009538F9" w14:paraId="56896C57"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single" w:color="auto" w:sz="4" w:space="0"/>
            </w:tcBorders>
            <w:shd w:val="clear" w:color="auto" w:fill="auto"/>
            <w:noWrap/>
            <w:hideMark/>
          </w:tcPr>
          <w:p w:rsidRPr="009538F9" w:rsidR="009538F9" w:rsidP="009538F9" w:rsidRDefault="009538F9" w14:paraId="710E3B3D"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r>
      <w:tr w:rsidRPr="009538F9" w:rsidR="009538F9" w:rsidTr="009538F9" w14:paraId="06F08CE1" w14:textId="77777777">
        <w:trPr>
          <w:trHeight w:val="285"/>
        </w:trPr>
        <w:tc>
          <w:tcPr>
            <w:tcW w:w="2972" w:type="dxa"/>
            <w:tcBorders>
              <w:top w:val="nil"/>
              <w:left w:val="single" w:color="auto" w:sz="4" w:space="0"/>
              <w:bottom w:val="single" w:color="auto" w:sz="4" w:space="0"/>
              <w:right w:val="single" w:color="auto" w:sz="4" w:space="0"/>
            </w:tcBorders>
            <w:shd w:val="clear" w:color="000000" w:fill="FF99CC"/>
            <w:noWrap/>
            <w:hideMark/>
          </w:tcPr>
          <w:p w:rsidRPr="009538F9" w:rsidR="009538F9" w:rsidP="009538F9" w:rsidRDefault="009538F9" w14:paraId="073BDCE5"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2023" w:type="dxa"/>
            <w:tcBorders>
              <w:top w:val="nil"/>
              <w:left w:val="nil"/>
              <w:bottom w:val="single" w:color="auto" w:sz="4" w:space="0"/>
              <w:right w:val="single" w:color="auto" w:sz="4" w:space="0"/>
            </w:tcBorders>
            <w:shd w:val="clear" w:color="auto" w:fill="auto"/>
            <w:noWrap/>
            <w:hideMark/>
          </w:tcPr>
          <w:p w:rsidRPr="009538F9" w:rsidR="009538F9" w:rsidP="009538F9" w:rsidRDefault="009538F9" w14:paraId="1E9603ED"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Voorstel in behandeling</w:t>
            </w:r>
          </w:p>
        </w:tc>
        <w:tc>
          <w:tcPr>
            <w:tcW w:w="2390" w:type="dxa"/>
            <w:tcBorders>
              <w:top w:val="nil"/>
              <w:left w:val="nil"/>
              <w:bottom w:val="single" w:color="auto" w:sz="4" w:space="0"/>
              <w:right w:val="single" w:color="auto" w:sz="4" w:space="0"/>
            </w:tcBorders>
            <w:shd w:val="clear" w:color="auto" w:fill="auto"/>
            <w:noWrap/>
            <w:hideMark/>
          </w:tcPr>
          <w:p w:rsidRPr="009538F9" w:rsidR="009538F9" w:rsidP="009538F9" w:rsidRDefault="009538F9" w14:paraId="7C21608E"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single" w:color="auto" w:sz="4" w:space="0"/>
            </w:tcBorders>
            <w:shd w:val="clear" w:color="auto" w:fill="auto"/>
            <w:noWrap/>
            <w:hideMark/>
          </w:tcPr>
          <w:p w:rsidRPr="009538F9" w:rsidR="009538F9" w:rsidP="009538F9" w:rsidRDefault="009538F9" w14:paraId="2782100A"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gridSpan w:val="2"/>
            <w:tcBorders>
              <w:top w:val="single" w:color="auto" w:sz="4" w:space="0"/>
              <w:left w:val="nil"/>
              <w:bottom w:val="single" w:color="auto" w:sz="4" w:space="0"/>
              <w:right w:val="single" w:color="000000" w:sz="4" w:space="0"/>
            </w:tcBorders>
            <w:shd w:val="clear" w:color="auto" w:fill="auto"/>
            <w:noWrap/>
            <w:hideMark/>
          </w:tcPr>
          <w:p w:rsidRPr="009538F9" w:rsidR="009538F9" w:rsidP="009538F9" w:rsidRDefault="009538F9" w14:paraId="43AE0B33"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r>
      <w:tr w:rsidRPr="009538F9" w:rsidR="009538F9" w:rsidTr="009538F9" w14:paraId="11074B34" w14:textId="77777777">
        <w:trPr>
          <w:trHeight w:val="285"/>
        </w:trPr>
        <w:tc>
          <w:tcPr>
            <w:tcW w:w="2972" w:type="dxa"/>
            <w:tcBorders>
              <w:top w:val="nil"/>
              <w:left w:val="single" w:color="auto" w:sz="4" w:space="0"/>
              <w:bottom w:val="single" w:color="auto" w:sz="4" w:space="0"/>
              <w:right w:val="single" w:color="auto" w:sz="4" w:space="0"/>
            </w:tcBorders>
            <w:shd w:val="clear" w:color="auto" w:fill="auto"/>
            <w:noWrap/>
            <w:hideMark/>
          </w:tcPr>
          <w:p w:rsidRPr="009538F9" w:rsidR="009538F9" w:rsidP="009538F9" w:rsidRDefault="009538F9" w14:paraId="5559560D"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2023" w:type="dxa"/>
            <w:tcBorders>
              <w:top w:val="nil"/>
              <w:left w:val="nil"/>
              <w:bottom w:val="single" w:color="auto" w:sz="4" w:space="0"/>
              <w:right w:val="single" w:color="auto" w:sz="4" w:space="0"/>
            </w:tcBorders>
            <w:shd w:val="clear" w:color="auto" w:fill="auto"/>
            <w:noWrap/>
            <w:hideMark/>
          </w:tcPr>
          <w:p w:rsidRPr="009538F9" w:rsidR="009538F9" w:rsidP="009538F9" w:rsidRDefault="009538F9" w14:paraId="5F47010B"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2390" w:type="dxa"/>
            <w:tcBorders>
              <w:top w:val="nil"/>
              <w:left w:val="nil"/>
              <w:bottom w:val="single" w:color="auto" w:sz="4" w:space="0"/>
              <w:right w:val="single" w:color="auto" w:sz="4" w:space="0"/>
            </w:tcBorders>
            <w:shd w:val="clear" w:color="auto" w:fill="auto"/>
            <w:noWrap/>
            <w:hideMark/>
          </w:tcPr>
          <w:p w:rsidRPr="009538F9" w:rsidR="009538F9" w:rsidP="009538F9" w:rsidRDefault="009538F9" w14:paraId="41FFF869"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single" w:color="auto" w:sz="4" w:space="0"/>
            </w:tcBorders>
            <w:shd w:val="clear" w:color="auto" w:fill="auto"/>
            <w:noWrap/>
            <w:hideMark/>
          </w:tcPr>
          <w:p w:rsidRPr="009538F9" w:rsidR="009538F9" w:rsidP="009538F9" w:rsidRDefault="009538F9" w14:paraId="13E99FD3"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single" w:color="auto" w:sz="4" w:space="0"/>
            </w:tcBorders>
            <w:shd w:val="clear" w:color="auto" w:fill="auto"/>
            <w:noWrap/>
            <w:hideMark/>
          </w:tcPr>
          <w:p w:rsidRPr="009538F9" w:rsidR="009538F9" w:rsidP="009538F9" w:rsidRDefault="009538F9" w14:paraId="04A526AA"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single" w:color="auto" w:sz="4" w:space="0"/>
            </w:tcBorders>
            <w:shd w:val="clear" w:color="auto" w:fill="auto"/>
            <w:noWrap/>
            <w:hideMark/>
          </w:tcPr>
          <w:p w:rsidRPr="009538F9" w:rsidR="009538F9" w:rsidP="009538F9" w:rsidRDefault="009538F9" w14:paraId="4EC90666"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r>
      <w:tr w:rsidRPr="009538F9" w:rsidR="009538F9" w:rsidTr="009538F9" w14:paraId="58592509" w14:textId="77777777">
        <w:trPr>
          <w:trHeight w:val="285"/>
        </w:trPr>
        <w:tc>
          <w:tcPr>
            <w:tcW w:w="2972" w:type="dxa"/>
            <w:tcBorders>
              <w:top w:val="nil"/>
              <w:left w:val="single" w:color="auto" w:sz="4" w:space="0"/>
              <w:bottom w:val="single" w:color="auto" w:sz="4" w:space="0"/>
              <w:right w:val="single" w:color="auto" w:sz="4" w:space="0"/>
            </w:tcBorders>
            <w:shd w:val="clear" w:color="auto" w:fill="auto"/>
            <w:noWrap/>
            <w:hideMark/>
          </w:tcPr>
          <w:p w:rsidRPr="009538F9" w:rsidR="009538F9" w:rsidP="009538F9" w:rsidRDefault="009538F9" w14:paraId="5FDCBCB1"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2023" w:type="dxa"/>
            <w:tcBorders>
              <w:top w:val="nil"/>
              <w:left w:val="nil"/>
              <w:bottom w:val="single" w:color="auto" w:sz="4" w:space="0"/>
              <w:right w:val="single" w:color="auto" w:sz="4" w:space="0"/>
            </w:tcBorders>
            <w:shd w:val="clear" w:color="auto" w:fill="auto"/>
            <w:noWrap/>
            <w:hideMark/>
          </w:tcPr>
          <w:p w:rsidRPr="009538F9" w:rsidR="009538F9" w:rsidP="009538F9" w:rsidRDefault="009538F9" w14:paraId="323FB1FC"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2390" w:type="dxa"/>
            <w:tcBorders>
              <w:top w:val="nil"/>
              <w:left w:val="nil"/>
              <w:bottom w:val="single" w:color="auto" w:sz="4" w:space="0"/>
              <w:right w:val="single" w:color="auto" w:sz="4" w:space="0"/>
            </w:tcBorders>
            <w:shd w:val="clear" w:color="auto" w:fill="auto"/>
            <w:noWrap/>
            <w:hideMark/>
          </w:tcPr>
          <w:p w:rsidRPr="009538F9" w:rsidR="009538F9" w:rsidP="009538F9" w:rsidRDefault="009538F9" w14:paraId="509BE8A9"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single" w:color="auto" w:sz="4" w:space="0"/>
            </w:tcBorders>
            <w:shd w:val="clear" w:color="auto" w:fill="auto"/>
            <w:noWrap/>
            <w:hideMark/>
          </w:tcPr>
          <w:p w:rsidRPr="009538F9" w:rsidR="009538F9" w:rsidP="009538F9" w:rsidRDefault="009538F9" w14:paraId="08398C9D"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single" w:color="auto" w:sz="4" w:space="0"/>
            </w:tcBorders>
            <w:shd w:val="clear" w:color="auto" w:fill="auto"/>
            <w:noWrap/>
            <w:hideMark/>
          </w:tcPr>
          <w:p w:rsidRPr="009538F9" w:rsidR="009538F9" w:rsidP="009538F9" w:rsidRDefault="009538F9" w14:paraId="22D4281F"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single" w:color="auto" w:sz="4" w:space="0"/>
            </w:tcBorders>
            <w:shd w:val="clear" w:color="auto" w:fill="auto"/>
            <w:noWrap/>
            <w:hideMark/>
          </w:tcPr>
          <w:p w:rsidRPr="009538F9" w:rsidR="009538F9" w:rsidP="009538F9" w:rsidRDefault="009538F9" w14:paraId="4013F2DF"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r>
      <w:tr w:rsidRPr="009538F9" w:rsidR="009538F9" w:rsidTr="009538F9" w14:paraId="19F55CF9" w14:textId="77777777">
        <w:trPr>
          <w:trHeight w:val="285"/>
        </w:trPr>
        <w:tc>
          <w:tcPr>
            <w:tcW w:w="2972" w:type="dxa"/>
            <w:tcBorders>
              <w:top w:val="nil"/>
              <w:left w:val="single" w:color="auto" w:sz="4" w:space="0"/>
              <w:bottom w:val="single" w:color="auto" w:sz="4" w:space="0"/>
              <w:right w:val="single" w:color="auto" w:sz="4" w:space="0"/>
            </w:tcBorders>
            <w:shd w:val="clear" w:color="auto" w:fill="auto"/>
            <w:noWrap/>
            <w:hideMark/>
          </w:tcPr>
          <w:p w:rsidRPr="009538F9" w:rsidR="009538F9" w:rsidP="009538F9" w:rsidRDefault="009538F9" w14:paraId="6EEEA3CE" w14:textId="77777777">
            <w:pPr>
              <w:spacing w:after="0" w:line="240" w:lineRule="auto"/>
              <w:rPr>
                <w:rFonts w:ascii="Verdana" w:hAnsi="Verdana" w:eastAsia="Times New Roman" w:cs="Arial"/>
                <w:b/>
                <w:bCs/>
                <w:kern w:val="0"/>
                <w:sz w:val="18"/>
                <w:szCs w:val="18"/>
                <w:lang w:eastAsia="nl-NL"/>
                <w14:ligatures w14:val="none"/>
              </w:rPr>
            </w:pPr>
            <w:r w:rsidRPr="009538F9">
              <w:rPr>
                <w:rFonts w:ascii="Verdana" w:hAnsi="Verdana" w:eastAsia="Times New Roman" w:cs="Arial"/>
                <w:b/>
                <w:bCs/>
                <w:kern w:val="0"/>
                <w:sz w:val="18"/>
                <w:szCs w:val="18"/>
                <w:lang w:eastAsia="nl-NL"/>
                <w14:ligatures w14:val="none"/>
              </w:rPr>
              <w:t>I. Lopende voorstellen</w:t>
            </w:r>
          </w:p>
        </w:tc>
        <w:tc>
          <w:tcPr>
            <w:tcW w:w="2023" w:type="dxa"/>
            <w:tcBorders>
              <w:top w:val="nil"/>
              <w:left w:val="nil"/>
              <w:bottom w:val="single" w:color="auto" w:sz="4" w:space="0"/>
              <w:right w:val="single" w:color="auto" w:sz="4" w:space="0"/>
            </w:tcBorders>
            <w:shd w:val="clear" w:color="auto" w:fill="auto"/>
            <w:hideMark/>
          </w:tcPr>
          <w:p w:rsidRPr="009538F9" w:rsidR="009538F9" w:rsidP="009538F9" w:rsidRDefault="009538F9" w14:paraId="540F185C"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62266B72"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76F4CF13"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28B903DD"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5CD607C8"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r>
      <w:tr w:rsidRPr="009538F9" w:rsidR="009538F9" w:rsidTr="009538F9" w14:paraId="25CBD1E2" w14:textId="77777777">
        <w:trPr>
          <w:trHeight w:val="1725"/>
        </w:trPr>
        <w:tc>
          <w:tcPr>
            <w:tcW w:w="2972" w:type="dxa"/>
            <w:tcBorders>
              <w:top w:val="nil"/>
              <w:left w:val="single" w:color="auto" w:sz="4" w:space="0"/>
              <w:bottom w:val="single" w:color="auto" w:sz="4" w:space="0"/>
              <w:right w:val="single" w:color="auto" w:sz="4" w:space="0"/>
            </w:tcBorders>
            <w:shd w:val="clear" w:color="000000" w:fill="A6A6A6"/>
            <w:hideMark/>
          </w:tcPr>
          <w:p w:rsidRPr="009538F9" w:rsidR="009538F9" w:rsidP="009538F9" w:rsidRDefault="009538F9" w14:paraId="74FC83B6"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023" w:type="dxa"/>
            <w:tcBorders>
              <w:top w:val="nil"/>
              <w:left w:val="nil"/>
              <w:bottom w:val="single" w:color="auto" w:sz="4" w:space="0"/>
              <w:right w:val="single" w:color="auto" w:sz="4" w:space="0"/>
            </w:tcBorders>
            <w:shd w:val="clear" w:color="000000" w:fill="A6A6A6"/>
            <w:hideMark/>
          </w:tcPr>
          <w:p w:rsidRPr="009538F9" w:rsidR="009538F9" w:rsidP="009538F9" w:rsidRDefault="009538F9" w14:paraId="1655D35B"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Prioriteit</w:t>
            </w:r>
          </w:p>
        </w:tc>
        <w:tc>
          <w:tcPr>
            <w:tcW w:w="2390" w:type="dxa"/>
            <w:tcBorders>
              <w:top w:val="nil"/>
              <w:left w:val="nil"/>
              <w:bottom w:val="single" w:color="auto" w:sz="4" w:space="0"/>
              <w:right w:val="single" w:color="auto" w:sz="4" w:space="0"/>
            </w:tcBorders>
            <w:shd w:val="clear" w:color="000000" w:fill="A6A6A6"/>
            <w:hideMark/>
          </w:tcPr>
          <w:p w:rsidRPr="009538F9" w:rsidR="009538F9" w:rsidP="009538F9" w:rsidRDefault="009538F9" w14:paraId="759A15CF"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Naam voorstel</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3343988A"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Document-nummer</w:t>
            </w:r>
            <w:r w:rsidRPr="009538F9">
              <w:rPr>
                <w:rFonts w:ascii="Verdana" w:hAnsi="Verdana" w:eastAsia="Times New Roman" w:cs="Arial"/>
                <w:b/>
                <w:bCs/>
                <w:kern w:val="0"/>
                <w:sz w:val="16"/>
                <w:szCs w:val="16"/>
                <w:lang w:eastAsia="nl-NL"/>
                <w14:ligatures w14:val="none"/>
              </w:rPr>
              <w:br/>
              <w:t xml:space="preserve">COM = </w:t>
            </w:r>
            <w:proofErr w:type="spellStart"/>
            <w:r w:rsidRPr="009538F9">
              <w:rPr>
                <w:rFonts w:ascii="Verdana" w:hAnsi="Verdana" w:eastAsia="Times New Roman" w:cs="Arial"/>
                <w:b/>
                <w:bCs/>
                <w:kern w:val="0"/>
                <w:sz w:val="16"/>
                <w:szCs w:val="16"/>
                <w:lang w:eastAsia="nl-NL"/>
                <w14:ligatures w14:val="none"/>
              </w:rPr>
              <w:t>Commissie-voorstel</w:t>
            </w:r>
            <w:proofErr w:type="spellEnd"/>
            <w:r w:rsidRPr="009538F9">
              <w:rPr>
                <w:rFonts w:ascii="Verdana" w:hAnsi="Verdana" w:eastAsia="Times New Roman" w:cs="Arial"/>
                <w:b/>
                <w:bCs/>
                <w:kern w:val="0"/>
                <w:sz w:val="16"/>
                <w:szCs w:val="16"/>
                <w:lang w:eastAsia="nl-NL"/>
                <w14:ligatures w14:val="none"/>
              </w:rPr>
              <w:br/>
              <w:t xml:space="preserve">BNC = Kamerstuk 22112 nr.  PBL = </w:t>
            </w:r>
            <w:proofErr w:type="spellStart"/>
            <w:r w:rsidRPr="009538F9">
              <w:rPr>
                <w:rFonts w:ascii="Verdana" w:hAnsi="Verdana" w:eastAsia="Times New Roman" w:cs="Arial"/>
                <w:b/>
                <w:bCs/>
                <w:kern w:val="0"/>
                <w:sz w:val="16"/>
                <w:szCs w:val="16"/>
                <w:lang w:eastAsia="nl-NL"/>
                <w14:ligatures w14:val="none"/>
              </w:rPr>
              <w:t>Publicatie-blad</w:t>
            </w:r>
            <w:proofErr w:type="spellEnd"/>
            <w:r w:rsidRPr="009538F9">
              <w:rPr>
                <w:rFonts w:ascii="Verdana" w:hAnsi="Verdana" w:eastAsia="Times New Roman" w:cs="Arial"/>
                <w:b/>
                <w:bCs/>
                <w:kern w:val="0"/>
                <w:sz w:val="16"/>
                <w:szCs w:val="16"/>
                <w:lang w:eastAsia="nl-NL"/>
                <w14:ligatures w14:val="none"/>
              </w:rPr>
              <w:t xml:space="preserve">              </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433FC72A"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Stand van zaken</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00C878B8"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Beschrijving</w:t>
            </w:r>
          </w:p>
        </w:tc>
      </w:tr>
      <w:tr w:rsidRPr="009538F9" w:rsidR="009538F9" w:rsidTr="009538F9" w14:paraId="27179CE1" w14:textId="77777777">
        <w:trPr>
          <w:trHeight w:val="285"/>
        </w:trPr>
        <w:tc>
          <w:tcPr>
            <w:tcW w:w="2972" w:type="dxa"/>
            <w:tcBorders>
              <w:top w:val="nil"/>
              <w:left w:val="single" w:color="auto" w:sz="4" w:space="0"/>
              <w:bottom w:val="single" w:color="auto" w:sz="4" w:space="0"/>
              <w:right w:val="single" w:color="auto" w:sz="4" w:space="0"/>
            </w:tcBorders>
            <w:shd w:val="clear" w:color="000000" w:fill="A6A6A6"/>
            <w:hideMark/>
          </w:tcPr>
          <w:p w:rsidRPr="009538F9" w:rsidR="009538F9" w:rsidP="009538F9" w:rsidRDefault="009538F9" w14:paraId="173F96EF"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023" w:type="dxa"/>
            <w:tcBorders>
              <w:top w:val="nil"/>
              <w:left w:val="nil"/>
              <w:bottom w:val="single" w:color="auto" w:sz="4" w:space="0"/>
              <w:right w:val="single" w:color="auto" w:sz="4" w:space="0"/>
            </w:tcBorders>
            <w:shd w:val="clear" w:color="000000" w:fill="A6A6A6"/>
            <w:noWrap/>
            <w:hideMark/>
          </w:tcPr>
          <w:p w:rsidRPr="009538F9" w:rsidR="009538F9" w:rsidP="009538F9" w:rsidRDefault="009538F9" w14:paraId="7D8E06E8"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Burgerlijk en Handelsrecht</w:t>
            </w:r>
          </w:p>
        </w:tc>
        <w:tc>
          <w:tcPr>
            <w:tcW w:w="2390" w:type="dxa"/>
            <w:tcBorders>
              <w:top w:val="nil"/>
              <w:left w:val="nil"/>
              <w:bottom w:val="single" w:color="auto" w:sz="4" w:space="0"/>
              <w:right w:val="single" w:color="auto" w:sz="4" w:space="0"/>
            </w:tcBorders>
            <w:shd w:val="clear" w:color="000000" w:fill="A6A6A6"/>
            <w:hideMark/>
          </w:tcPr>
          <w:p w:rsidRPr="009538F9" w:rsidR="009538F9" w:rsidP="009538F9" w:rsidRDefault="009538F9" w14:paraId="4CABDDB1"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7864A4A4"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480D2382"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3B181CD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r>
      <w:tr w:rsidRPr="009538F9" w:rsidR="009538F9" w:rsidTr="009538F9" w14:paraId="511799C3" w14:textId="77777777">
        <w:trPr>
          <w:trHeight w:val="1425"/>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4FEA3ABB"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023" w:type="dxa"/>
            <w:tcBorders>
              <w:top w:val="nil"/>
              <w:left w:val="nil"/>
              <w:bottom w:val="single" w:color="auto" w:sz="4" w:space="0"/>
              <w:right w:val="single" w:color="auto" w:sz="4" w:space="0"/>
            </w:tcBorders>
            <w:shd w:val="clear" w:color="auto" w:fill="auto"/>
            <w:hideMark/>
          </w:tcPr>
          <w:p w:rsidRPr="009538F9" w:rsidR="009538F9" w:rsidP="009538F9" w:rsidRDefault="009538F9" w14:paraId="67DBED5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7B2D723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Voorstel voor een verordening van het Europees Parlement en de Raad betreffende het recht dat van toepassing is op de </w:t>
            </w:r>
            <w:proofErr w:type="spellStart"/>
            <w:r w:rsidRPr="009538F9">
              <w:rPr>
                <w:rFonts w:ascii="Verdana" w:hAnsi="Verdana" w:eastAsia="Times New Roman" w:cs="Arial"/>
                <w:kern w:val="0"/>
                <w:sz w:val="16"/>
                <w:szCs w:val="16"/>
                <w:lang w:eastAsia="nl-NL"/>
                <w14:ligatures w14:val="none"/>
              </w:rPr>
              <w:t>derdenwerking</w:t>
            </w:r>
            <w:proofErr w:type="spellEnd"/>
            <w:r w:rsidRPr="009538F9">
              <w:rPr>
                <w:rFonts w:ascii="Verdana" w:hAnsi="Verdana" w:eastAsia="Times New Roman" w:cs="Arial"/>
                <w:kern w:val="0"/>
                <w:sz w:val="16"/>
                <w:szCs w:val="16"/>
                <w:lang w:eastAsia="nl-NL"/>
                <w14:ligatures w14:val="none"/>
              </w:rPr>
              <w:t xml:space="preserve"> van de cessie van vorderingen</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198427C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 (2018) 96</w:t>
            </w:r>
            <w:r w:rsidRPr="009538F9">
              <w:rPr>
                <w:rFonts w:ascii="Verdana" w:hAnsi="Verdana" w:eastAsia="Times New Roman" w:cs="Arial"/>
                <w:kern w:val="0"/>
                <w:sz w:val="16"/>
                <w:szCs w:val="16"/>
                <w:lang w:eastAsia="nl-NL"/>
                <w14:ligatures w14:val="none"/>
              </w:rPr>
              <w:br/>
              <w:t>BNC 2546</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7DF728A7"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In de Raad van juni 2021 is een Raadspositie bereikt (NL heeft zich onthouden van stemming). Begin 2025 heeft Commissie aangekondigd om het voorstel in te trekken.</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0DDF7852"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voorstel heeft als doel de Europese economie te versterken en grensoverschrijdende investeringen te stimuleren. Meer specifiek is het doel grensoverschrijdende overdracht van vorderingen (cessie) bevorderen door rechtszekerheid te creëren. Daartoe bevat het voorstel regels die bepalen welk recht van toepassing is op de goederenrechtelijke aspecten </w:t>
            </w:r>
            <w:r w:rsidRPr="009538F9">
              <w:rPr>
                <w:rFonts w:ascii="Verdana" w:hAnsi="Verdana" w:eastAsia="Times New Roman" w:cs="Arial"/>
                <w:kern w:val="0"/>
                <w:sz w:val="16"/>
                <w:szCs w:val="16"/>
                <w:lang w:eastAsia="nl-NL"/>
                <w14:ligatures w14:val="none"/>
              </w:rPr>
              <w:lastRenderedPageBreak/>
              <w:t xml:space="preserve">van grensoverschrijdende cessie. </w:t>
            </w:r>
          </w:p>
        </w:tc>
      </w:tr>
      <w:tr w:rsidRPr="009538F9" w:rsidR="009538F9" w:rsidTr="009538F9" w14:paraId="659BEF71" w14:textId="77777777">
        <w:trPr>
          <w:trHeight w:val="2370"/>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11729B9E"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74C8C4B4"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EK &amp;TK instemmingsrecht</w:t>
            </w:r>
          </w:p>
        </w:tc>
        <w:tc>
          <w:tcPr>
            <w:tcW w:w="2390"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552F1218"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Aanvaarding verschillende landen die partij zijn geworden bij het Haags Kinderontvoeringsverdrag (HKOV).</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09D6015B"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71FEC357"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Op dit moment is er geen zicht op nieuwe verdragslanden waarvoor de acceptatie wordt voorbereid. Zodra dit wijzigt en een conceptbesluit tot acceptatie openbaar wordt, zal dit ter instemming worden voorgelegd aan beide Kamers.</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5598E527"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De voor te bereiden EU-besluiten betreffen een machtiging van de Raad aan de lidstaten om het land als partij bij het HKOV te aanvaarden. Hiervoor is unanimiteit vereist op Raadsniveau, en de instemming van EK &amp; TK. De Nederlandse inzet is sinds jaar en dag gericht op een zo groot mogelijk bereik van het HKOV. Dit is in het belang van alle kinderen die geconfronteerd worden met internationale kinderontvoering. Hiertoe hanteert Nederland twee voorwaarden voor aanvaarding van een toetredend land: er moet een centrale autoriteit zijn aangewezen en het verdrag moet geïmplementeerd zijn in de nationale wetgeving.</w:t>
            </w:r>
          </w:p>
        </w:tc>
      </w:tr>
      <w:tr w:rsidRPr="009538F9" w:rsidR="009538F9" w:rsidTr="009538F9" w14:paraId="3837F5B2" w14:textId="77777777">
        <w:trPr>
          <w:trHeight w:val="8190"/>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2A3DBFEF"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auto" w:fill="auto"/>
            <w:hideMark/>
          </w:tcPr>
          <w:p w:rsidRPr="009538F9" w:rsidR="009538F9" w:rsidP="009538F9" w:rsidRDefault="009538F9" w14:paraId="1DF8ED4C"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EK &amp;TK instemmingsrecht</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71B43C4C"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Aanvaarding verschillende landen als partij bij het Haags Alimentatieverdrag 2007.</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2A7A1896"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290DF867"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In februari 2025 hebben beide Kamers ingestemd met het niet maken van bezwaar tegen de toetreding door de Dominicaanse Republiek. Verder heeft El Salvador medegedeeld toe te willen treden tot het verdrag. De termijn voor het maken van bezwaar tegen deze toetreding eindigt op 6 februari 2026. Besluitvorming over de toetreding door El Salvador zal nog worden voorbereid. In het geval dat dit zal leiden tot een besluit van geen bezwaar, zal dit aan beide Kamers worden voorgelegd. Indien nieuwe landen toetreden tot het Haags Alimentatieverdrag 2007 zal de aanvaarding van deze landen wederom aan beide Kamers worden voorgelegd.</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17FF4CF4"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Dit verdrag heeft tot doelstelling de effectieve internationale inning van levensonderhoud voor kinderen en andere familieleden te waarborgen, in het bijzonder door samenwerking tussen de centrale autoriteiten van de verdragsluitende partijen, en te zorgen voor de erkenning en tenuitvoerlegging van beslissingen inzake levensonderhoud. Een centrale autoriteit moet zijn aangewezen op het tijdstip van nederlegging van de akte van bekrachtiging of toetreding. </w:t>
            </w:r>
            <w:r w:rsidRPr="009538F9">
              <w:rPr>
                <w:rFonts w:ascii="Verdana" w:hAnsi="Verdana" w:eastAsia="Times New Roman" w:cs="Arial"/>
                <w:kern w:val="0"/>
                <w:sz w:val="16"/>
                <w:szCs w:val="16"/>
                <w:lang w:eastAsia="nl-NL"/>
                <w14:ligatures w14:val="none"/>
              </w:rPr>
              <w:br w:type="page"/>
              <w:t xml:space="preserve">De Nederlandse inzet is gericht op een zo groot mogelijk bereik van het Alimentatieverdrag 2007. Dit is in het belang van alle alimentatiegerechtigden die recht hebben op betaling van alimentatie vanuit een andere verdragsstaat. De EU is namens de lidstaten toegetreden tot het Haags Alimentatieverdrag 2007. Besluitvorming over het al dan niet bezwaar maken tegen de toetreding tot het verdrag wordt binnen Europa voorbereid. Op grond van het verdrag is er een termijn van 12 maanden voor het maken van bezwaar tegen een voorgenomen toetreding. Het niet maken van bezwaar tegen toetreding is een besluit van de Raad op grond van artikel 81, derde lid, VWEU. Een dergelijk besluit vergt de instemming van beide Kamers der Staten-Generaal op grond van artikel 3 van de Goedkeuringswet Verdrag van Lissabon. </w:t>
            </w:r>
          </w:p>
        </w:tc>
      </w:tr>
      <w:tr w:rsidRPr="009538F9" w:rsidR="009538F9" w:rsidTr="009538F9" w14:paraId="7197C59C" w14:textId="77777777">
        <w:trPr>
          <w:trHeight w:val="2772"/>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55D98B53"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auto" w:fill="auto"/>
            <w:hideMark/>
          </w:tcPr>
          <w:p w:rsidRPr="009538F9" w:rsidR="009538F9" w:rsidP="009538F9" w:rsidRDefault="009538F9" w14:paraId="15C2CAF1"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EK &amp;TK instemmingsrecht</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6CF04695"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Aanvaarding verschillende landen die partij zijn geworden bij het Haags Kinderbeschermingsverdrag 1996.</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58D0A376"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571BBDE8"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Op 11 maart 2025 is Moldavië toegetreden tot het Haags Kinderbeschermingsverdrag. Tot 21 september 2025 kan bezwaar worden gemaakt tegen de inwerkingtreding van het verdrag tussen Moldavië en de lidstaten van de Europese Unie. Besluitvorming over de aanvaarding van dit land zal t.z.t ter instemming worden voorgelegd aan beide Kamers. Op 12 december 2024 is Belize toegetreden. Besluitvorming over deze toetreding zal plaats moeten vinden voor 12 juni van dit jaar.</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5E515787"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De voor te bereiden EU-besluiten betreffen een beslissing over het al dan niet bezwaar maken tegen de toetreding van een land tot het HKBV. Hiervoor is unanimiteit vereist op Raadsniveau, en de instemming van EK &amp; TK. De Nederlandse inzet is sinds jaar en dag gericht op een zo groot mogelijk bereik van het HKBV. Dit is in het belang van alle kinderen die zich van het ene land naar het andere land verplaatsen. Hiertoe hanteert Nederland twee voorwaarden voor aanvaarding van een toetredend land: er moet een centrale autoriteit zijn aangewezen en het verdrag moet geïmplementeerd zijn in de nationale wetgeving.</w:t>
            </w:r>
          </w:p>
        </w:tc>
      </w:tr>
      <w:tr w:rsidRPr="009538F9" w:rsidR="009538F9" w:rsidTr="009538F9" w14:paraId="256A3CA6" w14:textId="77777777">
        <w:trPr>
          <w:trHeight w:val="3450"/>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6684DD44"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023"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1229739D"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5B4515D1"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Voorstel voor richtlijn tot harmonisatie van bepaalde aspecten van het insolventierecht</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0462CD38"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 (2022) 702      BNC 3598</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5D678C19"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voorstel is verschenen op 7 december 2022. Het kabinet heeft de Kamer op 3 februari 2023 via de BNC-procedure geïnformeerd (Kamerstuk 22112, nr. 3598). De onderhandelingen in de raadswerkgroep zijn gaande. In de JBZ-Raad van 13/14 juni 2024 is er een update gegeven van de stand van zaken. Tijdens de JBZ-Raad van 12 en 13 december 2024 is een gedeeltelijke algemene </w:t>
            </w:r>
            <w:proofErr w:type="spellStart"/>
            <w:r w:rsidRPr="009538F9">
              <w:rPr>
                <w:rFonts w:ascii="Verdana" w:hAnsi="Verdana" w:eastAsia="Times New Roman" w:cs="Arial"/>
                <w:kern w:val="0"/>
                <w:sz w:val="16"/>
                <w:szCs w:val="16"/>
                <w:lang w:eastAsia="nl-NL"/>
                <w14:ligatures w14:val="none"/>
              </w:rPr>
              <w:t>orientatie</w:t>
            </w:r>
            <w:proofErr w:type="spellEnd"/>
            <w:r w:rsidRPr="009538F9">
              <w:rPr>
                <w:rFonts w:ascii="Verdana" w:hAnsi="Verdana" w:eastAsia="Times New Roman" w:cs="Arial"/>
                <w:kern w:val="0"/>
                <w:sz w:val="16"/>
                <w:szCs w:val="16"/>
                <w:lang w:eastAsia="nl-NL"/>
                <w14:ligatures w14:val="none"/>
              </w:rPr>
              <w:t xml:space="preserve"> bereikt over een aantal hoofdstukken van de richtlijn. Tijdens de JBZ-Raad van 6 en 7 maart 2025 werd er gesproken over het voorstel uit de richtlijn om in alle EU-lidstaten "pre-packprocedures" beschikbaar te maken, en dan met name over het aspect van de </w:t>
            </w:r>
            <w:r w:rsidRPr="009538F9">
              <w:rPr>
                <w:rFonts w:ascii="Verdana" w:hAnsi="Verdana" w:eastAsia="Times New Roman" w:cs="Arial"/>
                <w:kern w:val="0"/>
                <w:sz w:val="16"/>
                <w:szCs w:val="16"/>
                <w:lang w:eastAsia="nl-NL"/>
                <w14:ligatures w14:val="none"/>
              </w:rPr>
              <w:lastRenderedPageBreak/>
              <w:t>automatische overdracht van nog uit te voeren overeenkomsten. De onderhandelingen over de laatste hoofdstukken worden in de Raadswerkgroep voortgezet.</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6876821B"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xml:space="preserve">Dit voorstel, aangekondigd in september 2020, maakt deel uit van de prioriteit van de Commissie om de kapitaalmarktenunie (KMU) vooruit te helpen, een sleutelproject om de financiële en economische integratie in de Europese Unie te bevorderen. Maatregelen op EU-niveau zouden zorgen voor een gelijk speelveld en verstoringen van grensoverschrijdende investeringsbeslissingen als gevolg van een gebrek aan informatie over en verschillen in de opzet van insolventieregelingen voorkomen. Dit zou grensoverschrijdende investeringen en concurrentie helpen vergemakkelijken en tegelijkertijd de ordelijke </w:t>
            </w:r>
            <w:r w:rsidRPr="009538F9">
              <w:rPr>
                <w:rFonts w:ascii="Verdana" w:hAnsi="Verdana" w:eastAsia="Times New Roman" w:cs="Arial"/>
                <w:kern w:val="0"/>
                <w:sz w:val="16"/>
                <w:szCs w:val="16"/>
                <w:lang w:eastAsia="nl-NL"/>
                <w14:ligatures w14:val="none"/>
              </w:rPr>
              <w:lastRenderedPageBreak/>
              <w:t>werking van de interne markt beschermen. Aangezien verschillen in insolventieregelingen een belangrijk obstakel vormen voor grensoverschrijdende investeringen, is het aanpakken van dit obstakel van cruciaal belang om een eengemaakte markt voor kapitaal in de EU tot stand te brengen.</w:t>
            </w:r>
          </w:p>
        </w:tc>
      </w:tr>
      <w:tr w:rsidRPr="009538F9" w:rsidR="009538F9" w:rsidTr="009538F9" w14:paraId="0D1B6944" w14:textId="77777777">
        <w:trPr>
          <w:trHeight w:val="4249"/>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77A562ED"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auto" w:fill="auto"/>
            <w:hideMark/>
          </w:tcPr>
          <w:p w:rsidRPr="009538F9" w:rsidR="009538F9" w:rsidP="009538F9" w:rsidRDefault="009538F9" w14:paraId="1ED107E6"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5428C850"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Voorstel over erkenning van ouderschap tussen lidstaten</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3B998306"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 (2022) 695      BNC 3596</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0B444E7B"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voorstel is verschenen op 7 december 2022. Het kabinet heeft de Kamer op 3 februari 2023 geïnformeerd via de BNC-procedure (Kamerstuk 22122, nr. 3596). Na de eerste lezing, die in februari 2024 is afgerond, is de tekst van het voorstel op verschillende punten aangepast. Het Pools voorzitterschap heeft voorstellen gedaan tot aanpassing van de hoofdstukken inzake de rechterlijke bevoegdheid, het toepasselijk recht, de erkenning van rechterlijke beslissingen en de erkenning/aanvaarding van authentieke akten. Momenteel worden deze voorgestelde wijzigingen in de raadswerkgroep besproken.   </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56837B3B"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voorstel moet ervoor zorgen dat wanneer ouderschap in een bepaald EU-land is gevestigd, dit in de hele EU wordt erkend zodat kinderen hun rechten in grensoverschrijdende situaties behouden, ook wanneer een kind binnen de EU reist of verhuist. De verordening beoogt juridische duidelijkheid te verschaffen voor alle gezinnen die zich in een grensoverschrijdende situatie binnen de EU bevinden, ongeacht de samenstelling en ongeacht het doel of de achtergrond van de grensoverschrijdende situatie. Hiervoor is unanimiteit vereist op Raadsniveau, en de instemming van EK &amp; TK. </w:t>
            </w:r>
          </w:p>
        </w:tc>
      </w:tr>
      <w:tr w:rsidRPr="009538F9" w:rsidR="009538F9" w:rsidTr="009538F9" w14:paraId="6EDE9349" w14:textId="77777777">
        <w:trPr>
          <w:trHeight w:val="285"/>
        </w:trPr>
        <w:tc>
          <w:tcPr>
            <w:tcW w:w="2972" w:type="dxa"/>
            <w:tcBorders>
              <w:top w:val="nil"/>
              <w:left w:val="single" w:color="auto" w:sz="4" w:space="0"/>
              <w:bottom w:val="single" w:color="auto" w:sz="4" w:space="0"/>
              <w:right w:val="single" w:color="auto" w:sz="4" w:space="0"/>
            </w:tcBorders>
            <w:shd w:val="clear" w:color="000000" w:fill="A6A6A6"/>
            <w:hideMark/>
          </w:tcPr>
          <w:p w:rsidRPr="009538F9" w:rsidR="009538F9" w:rsidP="009538F9" w:rsidRDefault="009538F9" w14:paraId="6FA21F94"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023" w:type="dxa"/>
            <w:tcBorders>
              <w:top w:val="nil"/>
              <w:left w:val="nil"/>
              <w:bottom w:val="single" w:color="auto" w:sz="4" w:space="0"/>
              <w:right w:val="single" w:color="auto" w:sz="4" w:space="0"/>
            </w:tcBorders>
            <w:shd w:val="clear" w:color="000000" w:fill="A6A6A6"/>
            <w:hideMark/>
          </w:tcPr>
          <w:p w:rsidRPr="009538F9" w:rsidR="009538F9" w:rsidP="009538F9" w:rsidRDefault="009538F9" w14:paraId="39A274B7"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Strafrecht</w:t>
            </w:r>
          </w:p>
        </w:tc>
        <w:tc>
          <w:tcPr>
            <w:tcW w:w="2390" w:type="dxa"/>
            <w:tcBorders>
              <w:top w:val="nil"/>
              <w:left w:val="nil"/>
              <w:bottom w:val="single" w:color="auto" w:sz="4" w:space="0"/>
              <w:right w:val="single" w:color="auto" w:sz="4" w:space="0"/>
            </w:tcBorders>
            <w:shd w:val="clear" w:color="000000" w:fill="A6A6A6"/>
            <w:hideMark/>
          </w:tcPr>
          <w:p w:rsidRPr="009538F9" w:rsidR="009538F9" w:rsidP="009538F9" w:rsidRDefault="009538F9" w14:paraId="28646560"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2E91E5FF"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2E314479"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331CB1D2"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r>
      <w:tr w:rsidRPr="009538F9" w:rsidR="009538F9" w:rsidTr="009538F9" w14:paraId="31C287A2" w14:textId="77777777">
        <w:trPr>
          <w:trHeight w:val="1920"/>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6BC55B17"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0D448010"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17F19F49"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Verordening met wijzigingen </w:t>
            </w:r>
            <w:proofErr w:type="spellStart"/>
            <w:r w:rsidRPr="009538F9">
              <w:rPr>
                <w:rFonts w:ascii="Verdana" w:hAnsi="Verdana" w:eastAsia="Times New Roman" w:cs="Arial"/>
                <w:kern w:val="0"/>
                <w:sz w:val="16"/>
                <w:szCs w:val="16"/>
                <w:lang w:eastAsia="nl-NL"/>
                <w14:ligatures w14:val="none"/>
              </w:rPr>
              <w:t>Ecris</w:t>
            </w:r>
            <w:proofErr w:type="spellEnd"/>
            <w:r w:rsidRPr="009538F9">
              <w:rPr>
                <w:rFonts w:ascii="Verdana" w:hAnsi="Verdana" w:eastAsia="Times New Roman" w:cs="Arial"/>
                <w:kern w:val="0"/>
                <w:sz w:val="16"/>
                <w:szCs w:val="16"/>
                <w:lang w:eastAsia="nl-NL"/>
                <w14:ligatures w14:val="none"/>
              </w:rPr>
              <w:t>-TCN en interoperabiliteit t.b.v. voorgestelde vreemdelingenscreening</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2B787336"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COM (2021) 96; </w:t>
            </w:r>
            <w:r w:rsidRPr="009538F9">
              <w:rPr>
                <w:rFonts w:ascii="Verdana" w:hAnsi="Verdana" w:eastAsia="Times New Roman" w:cs="Arial"/>
                <w:kern w:val="0"/>
                <w:sz w:val="16"/>
                <w:szCs w:val="16"/>
                <w:lang w:eastAsia="nl-NL"/>
                <w14:ligatures w14:val="none"/>
              </w:rPr>
              <w:br/>
              <w:t>BNC 1016</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46E8A13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voorstel is verschenen op 2 maart 2021. Het kabinet heeft de Kamer met een BNC-fiche hierover geïnformeerd (Kamerstuk 22112, </w:t>
            </w:r>
            <w:proofErr w:type="spellStart"/>
            <w:r w:rsidRPr="009538F9">
              <w:rPr>
                <w:rFonts w:ascii="Verdana" w:hAnsi="Verdana" w:eastAsia="Times New Roman" w:cs="Arial"/>
                <w:kern w:val="0"/>
                <w:sz w:val="16"/>
                <w:szCs w:val="16"/>
                <w:lang w:eastAsia="nl-NL"/>
                <w14:ligatures w14:val="none"/>
              </w:rPr>
              <w:t>nr</w:t>
            </w:r>
            <w:proofErr w:type="spellEnd"/>
            <w:r w:rsidRPr="009538F9">
              <w:rPr>
                <w:rFonts w:ascii="Verdana" w:hAnsi="Verdana" w:eastAsia="Times New Roman" w:cs="Arial"/>
                <w:kern w:val="0"/>
                <w:sz w:val="16"/>
                <w:szCs w:val="16"/>
                <w:lang w:eastAsia="nl-NL"/>
                <w14:ligatures w14:val="none"/>
              </w:rPr>
              <w:t xml:space="preserve"> 3084).  Op dit moment wordt het aangepaste voorstel in de raadswerkgroep bestudeerd. </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657E1A44"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De Commissie beoogt met de wijziging van de betreffende verordeningen deze in lijn te brengen met de voorgestelde verordening inzake screening van burgers van derde landen, waardoor het mogelijk wordt om gegevens uit het </w:t>
            </w:r>
            <w:proofErr w:type="spellStart"/>
            <w:r w:rsidRPr="009538F9">
              <w:rPr>
                <w:rFonts w:ascii="Verdana" w:hAnsi="Verdana" w:eastAsia="Times New Roman" w:cs="Arial"/>
                <w:kern w:val="0"/>
                <w:sz w:val="16"/>
                <w:szCs w:val="16"/>
                <w:lang w:eastAsia="nl-NL"/>
                <w14:ligatures w14:val="none"/>
              </w:rPr>
              <w:t>Ecris</w:t>
            </w:r>
            <w:proofErr w:type="spellEnd"/>
            <w:r w:rsidRPr="009538F9">
              <w:rPr>
                <w:rFonts w:ascii="Verdana" w:hAnsi="Verdana" w:eastAsia="Times New Roman" w:cs="Arial"/>
                <w:kern w:val="0"/>
                <w:sz w:val="16"/>
                <w:szCs w:val="16"/>
                <w:lang w:eastAsia="nl-NL"/>
                <w14:ligatures w14:val="none"/>
              </w:rPr>
              <w:t xml:space="preserve">-TCN en delen van het gemeenschappelijk identiteitsregister (CIR), waaronder </w:t>
            </w:r>
            <w:proofErr w:type="spellStart"/>
            <w:r w:rsidRPr="009538F9">
              <w:rPr>
                <w:rFonts w:ascii="Verdana" w:hAnsi="Verdana" w:eastAsia="Times New Roman" w:cs="Arial"/>
                <w:kern w:val="0"/>
                <w:sz w:val="16"/>
                <w:szCs w:val="16"/>
                <w:lang w:eastAsia="nl-NL"/>
                <w14:ligatures w14:val="none"/>
              </w:rPr>
              <w:t>Eurodac</w:t>
            </w:r>
            <w:proofErr w:type="spellEnd"/>
            <w:r w:rsidRPr="009538F9">
              <w:rPr>
                <w:rFonts w:ascii="Verdana" w:hAnsi="Verdana" w:eastAsia="Times New Roman" w:cs="Arial"/>
                <w:kern w:val="0"/>
                <w:sz w:val="16"/>
                <w:szCs w:val="16"/>
                <w:lang w:eastAsia="nl-NL"/>
                <w14:ligatures w14:val="none"/>
              </w:rPr>
              <w:t>, bij deze screening te betrekken.</w:t>
            </w:r>
          </w:p>
        </w:tc>
      </w:tr>
      <w:tr w:rsidRPr="009538F9" w:rsidR="009538F9" w:rsidTr="009538F9" w14:paraId="60E3426D" w14:textId="77777777">
        <w:trPr>
          <w:trHeight w:val="7950"/>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0EDA1F08"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60E52CD4"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52F5A053"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Verordening politiesamenwerking inzake mensensmokkel en mensenhandel </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34146BC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COM(2023) 754  BNC 3885</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0E7803D8"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Op 28 november 2023 is het voorstel gepubliceerd. Het betreft de versterking van de politiële samenwerking met het oog op het voorkomen, opsporen en onderzoeken van migrantensmokkel en mensenhandel, en betreffende de versterking van de ondersteuning door Europol van de voorkoming en bestrijding van die strafbare feiten, en tot wijziging van Verordening (EU) 2016/794. Er i s geen impactassessment uitgevoerd. Aangezien vele lidstaten, net als Nederland, hebben aangegeven het ontbreken van een impact assessment te betreuren, heeft de Commissie middels een zogenaamde ‘</w:t>
            </w:r>
            <w:proofErr w:type="spellStart"/>
            <w:r w:rsidRPr="009538F9">
              <w:rPr>
                <w:rFonts w:ascii="Verdana" w:hAnsi="Verdana" w:eastAsia="Times New Roman" w:cs="Arial"/>
                <w:kern w:val="0"/>
                <w:sz w:val="16"/>
                <w:szCs w:val="16"/>
                <w:lang w:eastAsia="nl-NL"/>
                <w14:ligatures w14:val="none"/>
              </w:rPr>
              <w:t>working</w:t>
            </w:r>
            <w:proofErr w:type="spellEnd"/>
            <w:r w:rsidRPr="009538F9">
              <w:rPr>
                <w:rFonts w:ascii="Verdana" w:hAnsi="Verdana" w:eastAsia="Times New Roman" w:cs="Arial"/>
                <w:kern w:val="0"/>
                <w:sz w:val="16"/>
                <w:szCs w:val="16"/>
                <w:lang w:eastAsia="nl-NL"/>
                <w14:ligatures w14:val="none"/>
              </w:rPr>
              <w:t>’ document een uitgebreidere toelichting gegeven op het voorstel. De Commissie benadrukt in het ‘</w:t>
            </w:r>
            <w:proofErr w:type="spellStart"/>
            <w:r w:rsidRPr="009538F9">
              <w:rPr>
                <w:rFonts w:ascii="Verdana" w:hAnsi="Verdana" w:eastAsia="Times New Roman" w:cs="Arial"/>
                <w:kern w:val="0"/>
                <w:sz w:val="16"/>
                <w:szCs w:val="16"/>
                <w:lang w:eastAsia="nl-NL"/>
                <w14:ligatures w14:val="none"/>
              </w:rPr>
              <w:t>working</w:t>
            </w:r>
            <w:proofErr w:type="spellEnd"/>
            <w:r w:rsidRPr="009538F9">
              <w:rPr>
                <w:rFonts w:ascii="Verdana" w:hAnsi="Verdana" w:eastAsia="Times New Roman" w:cs="Arial"/>
                <w:kern w:val="0"/>
                <w:sz w:val="16"/>
                <w:szCs w:val="16"/>
                <w:lang w:eastAsia="nl-NL"/>
                <w14:ligatures w14:val="none"/>
              </w:rPr>
              <w:t>’ document dat Europol enkel over meer middelen kan beschikken als er een wijziging komt van het mandaat. Ondanks dat het ‘</w:t>
            </w:r>
            <w:proofErr w:type="spellStart"/>
            <w:r w:rsidRPr="009538F9">
              <w:rPr>
                <w:rFonts w:ascii="Verdana" w:hAnsi="Verdana" w:eastAsia="Times New Roman" w:cs="Arial"/>
                <w:kern w:val="0"/>
                <w:sz w:val="16"/>
                <w:szCs w:val="16"/>
                <w:lang w:eastAsia="nl-NL"/>
                <w14:ligatures w14:val="none"/>
              </w:rPr>
              <w:t>working</w:t>
            </w:r>
            <w:proofErr w:type="spellEnd"/>
            <w:r w:rsidRPr="009538F9">
              <w:rPr>
                <w:rFonts w:ascii="Verdana" w:hAnsi="Verdana" w:eastAsia="Times New Roman" w:cs="Arial"/>
                <w:kern w:val="0"/>
                <w:sz w:val="16"/>
                <w:szCs w:val="16"/>
                <w:lang w:eastAsia="nl-NL"/>
                <w14:ligatures w14:val="none"/>
              </w:rPr>
              <w:t xml:space="preserve">’ document een nadere toelichting op de noodzaak tot aanpassing van het mandaat geeft, werd er nog onvoldoende ingegaan op de gestelde vragen en de kritische kanttekeningen. Uiteindelijk is afgelopen juni een afgeslankt compromisvoorstel door het Belgisch  Voorzitterschap gepresenteerd. In het afgeslankte voorstel krijgt Europol voor ons een </w:t>
            </w:r>
            <w:r w:rsidRPr="009538F9">
              <w:rPr>
                <w:rFonts w:ascii="Verdana" w:hAnsi="Verdana" w:eastAsia="Times New Roman" w:cs="Arial"/>
                <w:kern w:val="0"/>
                <w:sz w:val="16"/>
                <w:szCs w:val="16"/>
                <w:lang w:eastAsia="nl-NL"/>
                <w14:ligatures w14:val="none"/>
              </w:rPr>
              <w:lastRenderedPageBreak/>
              <w:t>acceptabele  uitbreiding van zijn mandaat en zijn de diverse verplichtingen die in het oorspronkelijke voorstel stonden verwijderd. Wel wordt het bestaande mensensmokkelcentrum geformaliseerd. Dit voorstel is tijdens het Comité van Permanente vertegenwoordigers (COREPER) op 19 juni jl. door de lidstaten als hamerstuk geaccordeerd. De trioloog moet nog van start.</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2D3838AE"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In haar toespraak over de Staat van de Unie van 13 september 2023 riep voorzitter Von der Leyen op tot versterking van alle instrumenten waarover de Unie beschikt om mensensmokkel doeltreffend tegen te gaan. Om dat te bereiken dient het huidige wetgevingskader geactualiseerd te worden, de beheersstructuur inzake smokkel en de rol van EU-agentschappen, met name Europol, versterkt te worden en de samenwerking tussen agentschappen op het gebied van justitie en binnenlandse zaken en de lidstaten, en met partnerlanden te worden geïntensiveerd. Dit voorstel voor een verordening maakt deel uit van een pakket maatregelen die tot doel hebben het bestaande rechtskader te moderniseren en te versterken en de Unie te voorzien van regels die geschikt zijn voor het beoogde doel. Het gaat vergezeld van een voorstel voor een richtlijn inzake de voorkoming en bestrijding van hulpverlening bij illegale binnenkomst, illegale doortocht en illegaal verblijf.</w:t>
            </w:r>
          </w:p>
        </w:tc>
      </w:tr>
      <w:tr w:rsidRPr="009538F9" w:rsidR="009538F9" w:rsidTr="009538F9" w14:paraId="473F362A" w14:textId="77777777">
        <w:trPr>
          <w:trHeight w:val="3852"/>
        </w:trPr>
        <w:tc>
          <w:tcPr>
            <w:tcW w:w="2972" w:type="dxa"/>
            <w:tcBorders>
              <w:top w:val="nil"/>
              <w:left w:val="single" w:color="auto" w:sz="4" w:space="0"/>
              <w:bottom w:val="single" w:color="auto" w:sz="4" w:space="0"/>
              <w:right w:val="single" w:color="auto" w:sz="4" w:space="0"/>
            </w:tcBorders>
            <w:shd w:val="clear" w:color="000000" w:fill="FF99CC"/>
            <w:noWrap/>
            <w:hideMark/>
          </w:tcPr>
          <w:p w:rsidRPr="009538F9" w:rsidR="009538F9" w:rsidP="009538F9" w:rsidRDefault="009538F9" w14:paraId="097839ED"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lastRenderedPageBreak/>
              <w:t> </w:t>
            </w:r>
          </w:p>
        </w:tc>
        <w:tc>
          <w:tcPr>
            <w:tcW w:w="2023"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6452E2E8"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5AD7C5C2"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Richtlijn en Mededeling ter bestrijding van corruptie binnen de EU.</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22CA7766"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 (2023) 12 234    BNC 3717</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4C534850"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voorstel en de mededeling zijn op 3 mei 2023 verschenen. Het kabinet heeft de Kamer op 9 juni 2023 geïnformeerd via de BNC-procedure (Kamerstuk 22112, nr. 3717) en de onderhandelingen zijn van start gegaan in de Raadswerkgroep. Op 31 augustus 2023 is per brief gereageerd op vragen over het fiche van de Vaste </w:t>
            </w:r>
            <w:proofErr w:type="spellStart"/>
            <w:r w:rsidRPr="009538F9">
              <w:rPr>
                <w:rFonts w:ascii="Verdana" w:hAnsi="Verdana" w:eastAsia="Times New Roman" w:cs="Arial"/>
                <w:kern w:val="0"/>
                <w:sz w:val="16"/>
                <w:szCs w:val="16"/>
                <w:lang w:eastAsia="nl-NL"/>
                <w14:ligatures w14:val="none"/>
              </w:rPr>
              <w:t>Tweedekamercommissie</w:t>
            </w:r>
            <w:proofErr w:type="spellEnd"/>
            <w:r w:rsidRPr="009538F9">
              <w:rPr>
                <w:rFonts w:ascii="Verdana" w:hAnsi="Verdana" w:eastAsia="Times New Roman" w:cs="Arial"/>
                <w:kern w:val="0"/>
                <w:sz w:val="16"/>
                <w:szCs w:val="16"/>
                <w:lang w:eastAsia="nl-NL"/>
                <w14:ligatures w14:val="none"/>
              </w:rPr>
              <w:t xml:space="preserve"> voor </w:t>
            </w:r>
            <w:proofErr w:type="spellStart"/>
            <w:r w:rsidRPr="009538F9">
              <w:rPr>
                <w:rFonts w:ascii="Verdana" w:hAnsi="Verdana" w:eastAsia="Times New Roman" w:cs="Arial"/>
                <w:kern w:val="0"/>
                <w:sz w:val="16"/>
                <w:szCs w:val="16"/>
                <w:lang w:eastAsia="nl-NL"/>
                <w14:ligatures w14:val="none"/>
              </w:rPr>
              <w:t>JenV</w:t>
            </w:r>
            <w:proofErr w:type="spellEnd"/>
            <w:r w:rsidRPr="009538F9">
              <w:rPr>
                <w:rFonts w:ascii="Verdana" w:hAnsi="Verdana" w:eastAsia="Times New Roman" w:cs="Arial"/>
                <w:kern w:val="0"/>
                <w:sz w:val="16"/>
                <w:szCs w:val="16"/>
                <w:lang w:eastAsia="nl-NL"/>
                <w14:ligatures w14:val="none"/>
              </w:rPr>
              <w:t>. Het EP heeft haar standpunt op 10-11 april 2024 voorlopig vastgesteld. De Algemene Oriëntatie is in de JBZ-Raad van 13-14 juni 2024 vastgesteld. Op 21 juni 2024 is de Tweede Kamer hierover geïnformeerd. Start trilogen nog onbekend.</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320A111C"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Het bestaande EU anti-corruptie instrumentarium is niet toereikend om alle vormen van corruptie effectief te bestrijden. Met het voorstel wordt dit instrumentarium uitgebreid (onder meer: definities strafbepalingen, minimumstandaarden voor maximumstraffen, verjaringstermijnen, bijkomende sancties en preventiemaatregelen). De mededeling voorziet in het ontwikkelen van een meer omvattende, strategische aanpak ten aanzien van corruptie.</w:t>
            </w:r>
          </w:p>
        </w:tc>
      </w:tr>
      <w:tr w:rsidRPr="009538F9" w:rsidR="009538F9" w:rsidTr="009538F9" w14:paraId="0CE41C94" w14:textId="77777777">
        <w:trPr>
          <w:trHeight w:val="375"/>
        </w:trPr>
        <w:tc>
          <w:tcPr>
            <w:tcW w:w="2972" w:type="dxa"/>
            <w:tcBorders>
              <w:top w:val="nil"/>
              <w:left w:val="single" w:color="auto" w:sz="4" w:space="0"/>
              <w:bottom w:val="single" w:color="auto" w:sz="4" w:space="0"/>
              <w:right w:val="single" w:color="auto" w:sz="4" w:space="0"/>
            </w:tcBorders>
            <w:shd w:val="clear" w:color="000000" w:fill="A6A6A6"/>
            <w:hideMark/>
          </w:tcPr>
          <w:p w:rsidRPr="009538F9" w:rsidR="009538F9" w:rsidP="009538F9" w:rsidRDefault="009538F9" w14:paraId="5F0DBEAD"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023" w:type="dxa"/>
            <w:tcBorders>
              <w:top w:val="nil"/>
              <w:left w:val="nil"/>
              <w:bottom w:val="single" w:color="auto" w:sz="4" w:space="0"/>
              <w:right w:val="single" w:color="auto" w:sz="4" w:space="0"/>
            </w:tcBorders>
            <w:shd w:val="clear" w:color="000000" w:fill="A6A6A6"/>
            <w:noWrap/>
            <w:hideMark/>
          </w:tcPr>
          <w:p w:rsidRPr="009538F9" w:rsidR="009538F9" w:rsidP="009538F9" w:rsidRDefault="009538F9" w14:paraId="2D58CF63"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 xml:space="preserve">Gegevensbescherming en uitwisseling </w:t>
            </w:r>
          </w:p>
        </w:tc>
        <w:tc>
          <w:tcPr>
            <w:tcW w:w="2390" w:type="dxa"/>
            <w:tcBorders>
              <w:top w:val="nil"/>
              <w:left w:val="nil"/>
              <w:bottom w:val="single" w:color="auto" w:sz="4" w:space="0"/>
              <w:right w:val="single" w:color="auto" w:sz="4" w:space="0"/>
            </w:tcBorders>
            <w:shd w:val="clear" w:color="000000" w:fill="A6A6A6"/>
            <w:hideMark/>
          </w:tcPr>
          <w:p w:rsidRPr="009538F9" w:rsidR="009538F9" w:rsidP="009538F9" w:rsidRDefault="009538F9" w14:paraId="4318C8F4"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28E21720"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049E0257"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3CCC83AB"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 </w:t>
            </w:r>
          </w:p>
        </w:tc>
      </w:tr>
      <w:tr w:rsidRPr="009538F9" w:rsidR="009538F9" w:rsidTr="009538F9" w14:paraId="1D5F2EAB" w14:textId="77777777">
        <w:trPr>
          <w:trHeight w:val="4170"/>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26290AFF"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023"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0F979914"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45D84FD5"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Onderhandelingen voor een e-</w:t>
            </w:r>
            <w:proofErr w:type="spellStart"/>
            <w:r w:rsidRPr="009538F9">
              <w:rPr>
                <w:rFonts w:ascii="Verdana" w:hAnsi="Verdana" w:eastAsia="Times New Roman" w:cs="Arial"/>
                <w:kern w:val="0"/>
                <w:sz w:val="16"/>
                <w:szCs w:val="16"/>
                <w:lang w:eastAsia="nl-NL"/>
                <w14:ligatures w14:val="none"/>
              </w:rPr>
              <w:t>evidence</w:t>
            </w:r>
            <w:proofErr w:type="spellEnd"/>
            <w:r w:rsidRPr="009538F9">
              <w:rPr>
                <w:rFonts w:ascii="Verdana" w:hAnsi="Verdana" w:eastAsia="Times New Roman" w:cs="Arial"/>
                <w:kern w:val="0"/>
                <w:sz w:val="16"/>
                <w:szCs w:val="16"/>
                <w:lang w:eastAsia="nl-NL"/>
                <w14:ligatures w14:val="none"/>
              </w:rPr>
              <w:t xml:space="preserve"> overeenkomst EU-VS</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167B87BB"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 (2019) 70</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1C12D33F"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Het onderhandelingsmandaat is tijdens de JBZ-Raad van 6-7 juni 2019 vastgesteld. De onderhandelingen tussen EU en VS waren na enkele inleidende gesprekken opgeschort totdat meer duidelijkheid bestond over de inhoud van het EU interne pakket inzake e-</w:t>
            </w:r>
            <w:proofErr w:type="spellStart"/>
            <w:r w:rsidRPr="009538F9">
              <w:rPr>
                <w:rFonts w:ascii="Verdana" w:hAnsi="Verdana" w:eastAsia="Times New Roman" w:cs="Arial"/>
                <w:kern w:val="0"/>
                <w:sz w:val="16"/>
                <w:szCs w:val="16"/>
                <w:lang w:eastAsia="nl-NL"/>
                <w14:ligatures w14:val="none"/>
              </w:rPr>
              <w:t>evidence</w:t>
            </w:r>
            <w:proofErr w:type="spellEnd"/>
            <w:r w:rsidRPr="009538F9">
              <w:rPr>
                <w:rFonts w:ascii="Verdana" w:hAnsi="Verdana" w:eastAsia="Times New Roman" w:cs="Arial"/>
                <w:kern w:val="0"/>
                <w:sz w:val="16"/>
                <w:szCs w:val="16"/>
                <w:lang w:eastAsia="nl-NL"/>
                <w14:ligatures w14:val="none"/>
              </w:rPr>
              <w:t>. Nu de EU interne e-</w:t>
            </w:r>
            <w:proofErr w:type="spellStart"/>
            <w:r w:rsidRPr="009538F9">
              <w:rPr>
                <w:rFonts w:ascii="Verdana" w:hAnsi="Verdana" w:eastAsia="Times New Roman" w:cs="Arial"/>
                <w:kern w:val="0"/>
                <w:sz w:val="16"/>
                <w:szCs w:val="16"/>
                <w:lang w:eastAsia="nl-NL"/>
                <w14:ligatures w14:val="none"/>
              </w:rPr>
              <w:t>evidence</w:t>
            </w:r>
            <w:proofErr w:type="spellEnd"/>
            <w:r w:rsidRPr="009538F9">
              <w:rPr>
                <w:rFonts w:ascii="Verdana" w:hAnsi="Verdana" w:eastAsia="Times New Roman" w:cs="Arial"/>
                <w:kern w:val="0"/>
                <w:sz w:val="16"/>
                <w:szCs w:val="16"/>
                <w:lang w:eastAsia="nl-NL"/>
                <w14:ligatures w14:val="none"/>
              </w:rPr>
              <w:t xml:space="preserve"> regels formeel zijn aangenomen, zijn de EU-VS onderhandelingen eind oktober 2023 weer opgestart. De laatste onderhandelingsronde vond plaats op 7 en 8 oktober 2024. Onderwerp van discussie tijdens deze onderhandelingsronde waren </w:t>
            </w:r>
            <w:r w:rsidRPr="009538F9">
              <w:rPr>
                <w:rFonts w:ascii="Verdana" w:hAnsi="Verdana" w:eastAsia="Times New Roman" w:cs="Arial"/>
                <w:kern w:val="0"/>
                <w:sz w:val="16"/>
                <w:szCs w:val="16"/>
                <w:lang w:eastAsia="nl-NL"/>
                <w14:ligatures w14:val="none"/>
              </w:rPr>
              <w:lastRenderedPageBreak/>
              <w:t>o.a. de reikwijdte van de overeenkomst, de waarborgen en rol en verantwoordelijkheden van betrokken autoriteiten. Vervolgens hebben op technisch niveau verdere gesprekken plaatsgevonden. Sinds het aantreden van de nieuwe Amerikaanse regering in de VS zijn er geen ontwikkelingen. De formele onderhandelingsronde die gepland was in maart 2025 is uitgesteld en een nieuwe datum is niet bekend.</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193EE836"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xml:space="preserve">Op 5 februari 2019 heeft de Europese Commissie een aanbeveling gedaan aan de Raad om een besluit vast te stellen als  machtiging tot het openen van onderhandelingen ten behoeve van een overeenkomst tussen de Europese Unie en de Verenigde Staten van Amerika, betreffende grensoverschrijdende toegang tot elektronisch bewijs voor justitiële samenwerking in strafzaken. Onderhandelingsmandaat is vastgesteld door de Raad tijdens de JBZ-Raad van 6-7 juni 2019. De Commissie voert namens de Europese Unie de </w:t>
            </w:r>
            <w:r w:rsidRPr="009538F9">
              <w:rPr>
                <w:rFonts w:ascii="Verdana" w:hAnsi="Verdana" w:eastAsia="Times New Roman" w:cs="Arial"/>
                <w:kern w:val="0"/>
                <w:sz w:val="16"/>
                <w:szCs w:val="16"/>
                <w:lang w:eastAsia="nl-NL"/>
                <w14:ligatures w14:val="none"/>
              </w:rPr>
              <w:lastRenderedPageBreak/>
              <w:t xml:space="preserve">onderhandelingen met de Verenigde Staten. </w:t>
            </w:r>
          </w:p>
        </w:tc>
      </w:tr>
      <w:tr w:rsidRPr="009538F9" w:rsidR="009538F9" w:rsidTr="009538F9" w14:paraId="6429BA13" w14:textId="77777777">
        <w:trPr>
          <w:trHeight w:val="2280"/>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678E21CC"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auto" w:fill="auto"/>
            <w:hideMark/>
          </w:tcPr>
          <w:p w:rsidRPr="009538F9" w:rsidR="009538F9" w:rsidP="009538F9" w:rsidRDefault="009538F9" w14:paraId="52B37A7B"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4A6EA5B0"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Aanbeveling voor mandaat inzake onderhandelingen over een samenwerkingsovereenkomst tussen de EU en Interpol</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11D72516"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 (2021) 177</w:t>
            </w:r>
            <w:r w:rsidRPr="009538F9">
              <w:rPr>
                <w:rFonts w:ascii="Verdana" w:hAnsi="Verdana" w:eastAsia="Times New Roman" w:cs="Arial"/>
                <w:kern w:val="0"/>
                <w:sz w:val="16"/>
                <w:szCs w:val="16"/>
                <w:lang w:eastAsia="nl-NL"/>
                <w14:ligatures w14:val="none"/>
              </w:rPr>
              <w:br/>
              <w:t>BNC 3115</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05B66FCC"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Het voorstel is verschenen op 14 april 2021. De Kamer is middels BNC-fiche hierover geïnformeerd (Kamerstuk 22 112, nr. 3115). Het mandaat is op 19 juli aangenomen door de Raad. De onderhandelingen met Interpol zijn in december 2021 van start gegaan en lopen nog steeds (ook in april 2025).</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42EB9E6E"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Het betreft een aanbeveling aan de Raad tot het verstrekken van een mandaat aan de Commissie voor het sluiten van een omvattend akkoord tussen de EU en Interpol. Deze heeft tot doel om samenwerking met Interpol en informatie-uitwisseling te versterken en te verbreden. In het aangenomen mandaat zijn de voorgestelde bevoegdheden van de toegang van de beveiligingsdiensten van EU-organen tot Interpoldatabanken en het notificeren van EU-laissez-passers in de Interpoldatabank, waarover het kabinet vragen omtrent hun noodzaak heeft gesteld, verwijderd.</w:t>
            </w:r>
          </w:p>
        </w:tc>
      </w:tr>
      <w:tr w:rsidRPr="009538F9" w:rsidR="009538F9" w:rsidTr="009538F9" w14:paraId="45C40227" w14:textId="77777777">
        <w:trPr>
          <w:trHeight w:val="3743"/>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2FD45C1F"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auto" w:fill="auto"/>
            <w:hideMark/>
          </w:tcPr>
          <w:p w:rsidRPr="009538F9" w:rsidR="009538F9" w:rsidP="009538F9" w:rsidRDefault="009538F9" w14:paraId="00DED65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7FD1D9F0"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Voorstel over het verzamelen en doorgeven van geavanceerde passagiersinformatie (API) voor het verbeteren en vergemakkelijken van controles aan de buitengrenzen</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30A2C294"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COM(2022) 729          BNC 3608</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6F0F667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voorstel is verschenen op 13 december 2022. Het COREPER heeft in juni 2023 een algemene oriëntatie aangenomen. De </w:t>
            </w:r>
            <w:proofErr w:type="spellStart"/>
            <w:r w:rsidRPr="009538F9">
              <w:rPr>
                <w:rFonts w:ascii="Verdana" w:hAnsi="Verdana" w:eastAsia="Times New Roman" w:cs="Arial"/>
                <w:kern w:val="0"/>
                <w:sz w:val="16"/>
                <w:szCs w:val="16"/>
                <w:lang w:eastAsia="nl-NL"/>
                <w14:ligatures w14:val="none"/>
              </w:rPr>
              <w:t>triloog</w:t>
            </w:r>
            <w:proofErr w:type="spellEnd"/>
            <w:r w:rsidRPr="009538F9">
              <w:rPr>
                <w:rFonts w:ascii="Verdana" w:hAnsi="Verdana" w:eastAsia="Times New Roman" w:cs="Arial"/>
                <w:kern w:val="0"/>
                <w:sz w:val="16"/>
                <w:szCs w:val="16"/>
                <w:lang w:eastAsia="nl-NL"/>
                <w14:ligatures w14:val="none"/>
              </w:rPr>
              <w:t xml:space="preserve"> is in december 2023 van start gegaan en eind februari 2024 afgerond. Het voorstel is tijdens de JBZ-Raad van 12 december 2024 formeel aangenomen. Op 9 januari 2025 zijn de API-verordeningen gepubliceerd en is de implementatie van deze verordening gestart.</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3CDB57CC"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De verwerking van geavanceerde passagiersinformatie (API) is een instrument voor grensbeheer dat bijdraagt tot de doeltreffendheid en efficiëntie van grenscontroles door de inklaring van reizigers te vergemakkelijken en te versnellen, evenals een instrument om illegale immigratie tegen te gaan. API-gegevens zijn een reeks identiteitsgegevens over de passagiers in hun reisdocumenten, gecombineerd met vluchtgegevens die bij het inchecken worden verzameld en worden overgedragen aan de grensautoriteiten van het land van bestemming. Aangezien deze autoriteiten vóór de aankomst van een vlucht API-gegevens ontvangen, kunnen ze, in overeenstemming met de toepasselijke wetgeving, reizigers vooraf screenen op risicoprofielen, </w:t>
            </w:r>
            <w:proofErr w:type="spellStart"/>
            <w:r w:rsidRPr="009538F9">
              <w:rPr>
                <w:rFonts w:ascii="Verdana" w:hAnsi="Verdana" w:eastAsia="Times New Roman" w:cs="Arial"/>
                <w:kern w:val="0"/>
                <w:sz w:val="16"/>
                <w:szCs w:val="16"/>
                <w:lang w:eastAsia="nl-NL"/>
                <w14:ligatures w14:val="none"/>
              </w:rPr>
              <w:t>watchlists</w:t>
            </w:r>
            <w:proofErr w:type="spellEnd"/>
            <w:r w:rsidRPr="009538F9">
              <w:rPr>
                <w:rFonts w:ascii="Verdana" w:hAnsi="Verdana" w:eastAsia="Times New Roman" w:cs="Arial"/>
                <w:kern w:val="0"/>
                <w:sz w:val="16"/>
                <w:szCs w:val="16"/>
                <w:lang w:eastAsia="nl-NL"/>
                <w14:ligatures w14:val="none"/>
              </w:rPr>
              <w:t xml:space="preserve"> en databases, waardoor grenscontroles voor personen die te goeder trouw reizen worden versneld en meer middelen worden uitgegeven en tijd om reizigers te identificeren die bij aankomst verder onderzoek nodig hebben.</w:t>
            </w:r>
          </w:p>
        </w:tc>
      </w:tr>
      <w:tr w:rsidRPr="009538F9" w:rsidR="009538F9" w:rsidTr="009538F9" w14:paraId="31C44101" w14:textId="77777777">
        <w:trPr>
          <w:trHeight w:val="3529"/>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0B93723B"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auto" w:fill="auto"/>
            <w:hideMark/>
          </w:tcPr>
          <w:p w:rsidRPr="009538F9" w:rsidR="009538F9" w:rsidP="009538F9" w:rsidRDefault="009538F9" w14:paraId="3291EFA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23A4295F"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Voorstel over het verzamelen en doorgeven van geavanceerde passagiersinformatie voor het voorkomen, opsporen, onderzoeken en vervolgen van terroristische misdrijven en zware criminaliteit</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6BD3E877"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COM(2022) 731           BNC 3610</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3B8A1DF5"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voorstel is verschenen op 13 december 2022. Het COREPER heeft in juni 2023 een algemene oriëntatie aangenomen. De </w:t>
            </w:r>
            <w:proofErr w:type="spellStart"/>
            <w:r w:rsidRPr="009538F9">
              <w:rPr>
                <w:rFonts w:ascii="Verdana" w:hAnsi="Verdana" w:eastAsia="Times New Roman" w:cs="Arial"/>
                <w:kern w:val="0"/>
                <w:sz w:val="16"/>
                <w:szCs w:val="16"/>
                <w:lang w:eastAsia="nl-NL"/>
                <w14:ligatures w14:val="none"/>
              </w:rPr>
              <w:t>triloog</w:t>
            </w:r>
            <w:proofErr w:type="spellEnd"/>
            <w:r w:rsidRPr="009538F9">
              <w:rPr>
                <w:rFonts w:ascii="Verdana" w:hAnsi="Verdana" w:eastAsia="Times New Roman" w:cs="Arial"/>
                <w:kern w:val="0"/>
                <w:sz w:val="16"/>
                <w:szCs w:val="16"/>
                <w:lang w:eastAsia="nl-NL"/>
                <w14:ligatures w14:val="none"/>
              </w:rPr>
              <w:t xml:space="preserve"> is in december 2023 van start gegaan en eind februari 2024 afgerond. Het voorstel is tijdens de JBZ-Raad van 12 december 2024 formeel aangenomen. Op 9 januari 2025 zijn de API-verordeningen gepubliceerd en is de implementatie van deze verordening gestart.</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3CAC1C3E"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Gegevens van luchtreizigers omvatten Advance Passenger Information (API) en Passenger Name Records (PNR) die, wanneer ze samen worden gebruikt, bijzonder effectief zijn om reizigers met een hoog risico te identificeren en om het reispatroon van verdachte personen te bevestigen. Wanneer een passagier een ticket koopt bij een luchtvaartmaatschappij, wordt een PNR gegenereerd door de reserveringssystemen van luchtvaartmaatschappijen voor hun zakelijke doeleinden. Dit omvat gegevens over het volledige reisschema, betalingsgegevens, contactgegevens en speciale verzoeken van de passagier. Waar een daartoe strekkende verplichting geldt, worden deze PNR-gegevens verzonden naar de Passenger Information Unit (PIU) van het land van bestemming en vaak het land van vertrek.</w:t>
            </w:r>
          </w:p>
        </w:tc>
      </w:tr>
      <w:tr w:rsidRPr="009538F9" w:rsidR="009538F9" w:rsidTr="009538F9" w14:paraId="7BC9FECC" w14:textId="77777777">
        <w:trPr>
          <w:trHeight w:val="2640"/>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50FE8BF8"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023" w:type="dxa"/>
            <w:tcBorders>
              <w:top w:val="nil"/>
              <w:left w:val="nil"/>
              <w:bottom w:val="single" w:color="auto" w:sz="4" w:space="0"/>
              <w:right w:val="single" w:color="auto" w:sz="4" w:space="0"/>
            </w:tcBorders>
            <w:shd w:val="clear" w:color="auto" w:fill="auto"/>
            <w:hideMark/>
          </w:tcPr>
          <w:p w:rsidRPr="009538F9" w:rsidR="009538F9" w:rsidP="009538F9" w:rsidRDefault="009538F9" w14:paraId="504C834F"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22563BD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Voorstel voor een richtlijn van het Europees Parlement en de Raad tot wijziging van Richtlijn ter facilitering van de grensoverschrijdende uitwisseling van informatie over </w:t>
            </w:r>
            <w:proofErr w:type="spellStart"/>
            <w:r w:rsidRPr="009538F9">
              <w:rPr>
                <w:rFonts w:ascii="Verdana" w:hAnsi="Verdana" w:eastAsia="Times New Roman" w:cs="Arial"/>
                <w:kern w:val="0"/>
                <w:sz w:val="16"/>
                <w:szCs w:val="16"/>
                <w:lang w:eastAsia="nl-NL"/>
                <w14:ligatures w14:val="none"/>
              </w:rPr>
              <w:t>verkeersveiligheidsgerelateerde</w:t>
            </w:r>
            <w:proofErr w:type="spellEnd"/>
            <w:r w:rsidRPr="009538F9">
              <w:rPr>
                <w:rFonts w:ascii="Verdana" w:hAnsi="Verdana" w:eastAsia="Times New Roman" w:cs="Arial"/>
                <w:kern w:val="0"/>
                <w:sz w:val="16"/>
                <w:szCs w:val="16"/>
                <w:lang w:eastAsia="nl-NL"/>
                <w14:ligatures w14:val="none"/>
              </w:rPr>
              <w:t xml:space="preserve"> verkeersovertredingen.</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6142DEF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COM(2023) 126      BNC 3649</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5D711348"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voorstel is verschenen op 1 maart 2023. Het BNC-fiche is op 22 maart 2023 aan TK verzonden (Kamerstuk 22112, nr. 3649). De tekst van de richtlijn is inmiddels bekrachtigd door de Raad en het EP. De richtlijn is op 30 december 2024 in het EU-Publicatieblad verschenen en op 19 januari 2025 in werking getreden. De lidstaten moeten de richtlijn uiterlijk op 20 juli 2027 in hun nationale recht hebben omgezet. Daarmee heeft Nederland een start gemaakt </w:t>
            </w:r>
            <w:r w:rsidRPr="009538F9">
              <w:rPr>
                <w:rFonts w:ascii="Verdana" w:hAnsi="Verdana" w:eastAsia="Times New Roman" w:cs="Arial"/>
                <w:kern w:val="0"/>
                <w:sz w:val="16"/>
                <w:szCs w:val="16"/>
                <w:lang w:eastAsia="nl-NL"/>
                <w14:ligatures w14:val="none"/>
              </w:rPr>
              <w:lastRenderedPageBreak/>
              <w:t>door het instellen van een werkgroep met betrokken partners.</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55FD91AA" w14:textId="77777777">
            <w:pPr>
              <w:spacing w:after="24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Het betreft een herziening van de richtlijn die het binnen de EU mogelijk maakt makkelijker grensoverschrijdend te kunnen handhaven op verkeersovertredingen door het uitwisselen van informatie over verkeersovertreders.</w:t>
            </w:r>
            <w:r w:rsidRPr="009538F9">
              <w:rPr>
                <w:rFonts w:ascii="Verdana" w:hAnsi="Verdana" w:eastAsia="Times New Roman" w:cs="Arial"/>
                <w:kern w:val="0"/>
                <w:sz w:val="16"/>
                <w:szCs w:val="16"/>
                <w:lang w:eastAsia="nl-NL"/>
                <w14:ligatures w14:val="none"/>
              </w:rPr>
              <w:br/>
              <w:t xml:space="preserve">De herziening betreft een uitbreiding van het toepassingsgebied van de richtlijn tot andere verkeersovertredingen. Daarnaast verbeteringen van procedures voor </w:t>
            </w:r>
            <w:proofErr w:type="spellStart"/>
            <w:r w:rsidRPr="009538F9">
              <w:rPr>
                <w:rFonts w:ascii="Verdana" w:hAnsi="Verdana" w:eastAsia="Times New Roman" w:cs="Arial"/>
                <w:kern w:val="0"/>
                <w:sz w:val="16"/>
                <w:szCs w:val="16"/>
                <w:lang w:eastAsia="nl-NL"/>
                <w14:ligatures w14:val="none"/>
              </w:rPr>
              <w:t>informatieuitwisseling</w:t>
            </w:r>
            <w:proofErr w:type="spellEnd"/>
            <w:r w:rsidRPr="009538F9">
              <w:rPr>
                <w:rFonts w:ascii="Verdana" w:hAnsi="Verdana" w:eastAsia="Times New Roman" w:cs="Arial"/>
                <w:kern w:val="0"/>
                <w:sz w:val="16"/>
                <w:szCs w:val="16"/>
                <w:lang w:eastAsia="nl-NL"/>
                <w14:ligatures w14:val="none"/>
              </w:rPr>
              <w:t xml:space="preserve"> tussen landen die de samenwerking </w:t>
            </w:r>
            <w:r w:rsidRPr="009538F9">
              <w:rPr>
                <w:rFonts w:ascii="Verdana" w:hAnsi="Verdana" w:eastAsia="Times New Roman" w:cs="Arial"/>
                <w:kern w:val="0"/>
                <w:sz w:val="16"/>
                <w:szCs w:val="16"/>
                <w:lang w:eastAsia="nl-NL"/>
                <w14:ligatures w14:val="none"/>
              </w:rPr>
              <w:lastRenderedPageBreak/>
              <w:t>op het gebied van de verkeersveiligheid binnen de EU bevordert.</w:t>
            </w:r>
          </w:p>
        </w:tc>
      </w:tr>
      <w:tr w:rsidRPr="009538F9" w:rsidR="009538F9" w:rsidTr="009538F9" w14:paraId="1ACF0A61" w14:textId="77777777">
        <w:trPr>
          <w:trHeight w:val="3912"/>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0F40C25C"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auto" w:fill="auto"/>
            <w:hideMark/>
          </w:tcPr>
          <w:p w:rsidRPr="009538F9" w:rsidR="009538F9" w:rsidP="009538F9" w:rsidRDefault="009538F9" w14:paraId="426D0CC7"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6C900176" w14:textId="77777777">
            <w:pPr>
              <w:spacing w:after="24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Voorstel voor een richtlijn van het Europees Parlement en de Raad betreffende de Uniewijde gevolgen van bepaalde ontzeggingen van de rijbevoegdheid</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6B94FD88"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COM(2023) 128        BNC 3650</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4DCF3960"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voorstel is verschenen op 1 maart 2023. Het kabinet heeft de Kamer op 6 april 2023 geïnformeerd via de BNC-procedure (Kamerstuk 22 112, </w:t>
            </w:r>
            <w:proofErr w:type="spellStart"/>
            <w:r w:rsidRPr="009538F9">
              <w:rPr>
                <w:rFonts w:ascii="Verdana" w:hAnsi="Verdana" w:eastAsia="Times New Roman" w:cs="Arial"/>
                <w:kern w:val="0"/>
                <w:sz w:val="16"/>
                <w:szCs w:val="16"/>
                <w:lang w:eastAsia="nl-NL"/>
                <w14:ligatures w14:val="none"/>
              </w:rPr>
              <w:t>nr</w:t>
            </w:r>
            <w:proofErr w:type="spellEnd"/>
            <w:r w:rsidRPr="009538F9">
              <w:rPr>
                <w:rFonts w:ascii="Verdana" w:hAnsi="Verdana" w:eastAsia="Times New Roman" w:cs="Arial"/>
                <w:kern w:val="0"/>
                <w:sz w:val="16"/>
                <w:szCs w:val="16"/>
                <w:lang w:eastAsia="nl-NL"/>
                <w14:ligatures w14:val="none"/>
              </w:rPr>
              <w:t xml:space="preserve"> 3650). Op 5 december 2024 heeft men in de Transportraad een akkoord bereikt op dit voorstel. In januari 2025 is gestart met de </w:t>
            </w:r>
            <w:proofErr w:type="spellStart"/>
            <w:r w:rsidRPr="009538F9">
              <w:rPr>
                <w:rFonts w:ascii="Verdana" w:hAnsi="Verdana" w:eastAsia="Times New Roman" w:cs="Arial"/>
                <w:kern w:val="0"/>
                <w:sz w:val="16"/>
                <w:szCs w:val="16"/>
                <w:lang w:eastAsia="nl-NL"/>
                <w14:ligatures w14:val="none"/>
              </w:rPr>
              <w:t>triloogfase</w:t>
            </w:r>
            <w:proofErr w:type="spellEnd"/>
            <w:r w:rsidRPr="009538F9">
              <w:rPr>
                <w:rFonts w:ascii="Verdana" w:hAnsi="Verdana" w:eastAsia="Times New Roman" w:cs="Arial"/>
                <w:kern w:val="0"/>
                <w:sz w:val="16"/>
                <w:szCs w:val="16"/>
                <w:lang w:eastAsia="nl-NL"/>
                <w14:ligatures w14:val="none"/>
              </w:rPr>
              <w:t xml:space="preserve">. In verband met de nauwe samenhang met de nieuwe rijbewijsrichtlijn is afgesproken dat de trilogen op beide voorstellen gelijktijdig moeten worden afgerond. Er wordt naar </w:t>
            </w:r>
            <w:proofErr w:type="spellStart"/>
            <w:r w:rsidRPr="009538F9">
              <w:rPr>
                <w:rFonts w:ascii="Verdana" w:hAnsi="Verdana" w:eastAsia="Times New Roman" w:cs="Arial"/>
                <w:kern w:val="0"/>
                <w:sz w:val="16"/>
                <w:szCs w:val="16"/>
                <w:lang w:eastAsia="nl-NL"/>
                <w14:ligatures w14:val="none"/>
              </w:rPr>
              <w:t>gestreeft</w:t>
            </w:r>
            <w:proofErr w:type="spellEnd"/>
            <w:r w:rsidRPr="009538F9">
              <w:rPr>
                <w:rFonts w:ascii="Verdana" w:hAnsi="Verdana" w:eastAsia="Times New Roman" w:cs="Arial"/>
                <w:kern w:val="0"/>
                <w:sz w:val="16"/>
                <w:szCs w:val="16"/>
                <w:lang w:eastAsia="nl-NL"/>
                <w14:ligatures w14:val="none"/>
              </w:rPr>
              <w:t xml:space="preserve"> de trilogen nog onder het huidige Poolse voorzitterschap af te ronden.</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21D8F22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voorstel heeft als doel de verkeersveiligheid in de Europese Unie vergroten door rijontzeggingen een </w:t>
            </w:r>
            <w:proofErr w:type="spellStart"/>
            <w:r w:rsidRPr="009538F9">
              <w:rPr>
                <w:rFonts w:ascii="Verdana" w:hAnsi="Verdana" w:eastAsia="Times New Roman" w:cs="Arial"/>
                <w:kern w:val="0"/>
                <w:sz w:val="16"/>
                <w:szCs w:val="16"/>
                <w:lang w:eastAsia="nl-NL"/>
                <w14:ligatures w14:val="none"/>
              </w:rPr>
              <w:t>uniebrede</w:t>
            </w:r>
            <w:proofErr w:type="spellEnd"/>
            <w:r w:rsidRPr="009538F9">
              <w:rPr>
                <w:rFonts w:ascii="Verdana" w:hAnsi="Verdana" w:eastAsia="Times New Roman" w:cs="Arial"/>
                <w:kern w:val="0"/>
                <w:sz w:val="16"/>
                <w:szCs w:val="16"/>
                <w:lang w:eastAsia="nl-NL"/>
                <w14:ligatures w14:val="none"/>
              </w:rPr>
              <w:t xml:space="preserve"> werking te geven. Het gaat hierbij om rijontzeggingen die zijn opgelegd vanwege ernstige verkeersveiligheid gerelateerde overtredingen die begaan zijn in een lidstaat anders dan in de lidstaat die het rijbewijs aan de overtreder heeft afgegeven. Het gaat specifiek over rijontzeggingen die zijn opgelegd vanwege ernstige overschrijdingen van de maximumsnelheid, het rijden onder invloed van alcohol en/of drugs en het veroorzaken van de dood of ernstig lichamelijk letsel als gevolg van een verkeersovertreding.</w:t>
            </w:r>
          </w:p>
        </w:tc>
      </w:tr>
      <w:tr w:rsidRPr="009538F9" w:rsidR="009538F9" w:rsidTr="009538F9" w14:paraId="073C732D" w14:textId="77777777">
        <w:trPr>
          <w:trHeight w:val="3912"/>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13CDEBE8"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auto" w:fill="auto"/>
            <w:hideMark/>
          </w:tcPr>
          <w:p w:rsidRPr="009538F9" w:rsidR="009538F9" w:rsidP="009538F9" w:rsidRDefault="009538F9" w14:paraId="5DDFCD64"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6DD75250"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Voorstel voor een Richtlijn betreffende Europese grensoverschrijdende verenigingen</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787DB0DC"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COM(2023) 516                                  BNC 3821</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08F6D40C"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kabinet heeft uw Kamer middels BNC-fiche </w:t>
            </w:r>
            <w:proofErr w:type="spellStart"/>
            <w:r w:rsidRPr="009538F9">
              <w:rPr>
                <w:rFonts w:ascii="Verdana" w:hAnsi="Verdana" w:eastAsia="Times New Roman" w:cs="Arial"/>
                <w:kern w:val="0"/>
                <w:sz w:val="16"/>
                <w:szCs w:val="16"/>
                <w:lang w:eastAsia="nl-NL"/>
                <w14:ligatures w14:val="none"/>
              </w:rPr>
              <w:t>geinformeerd</w:t>
            </w:r>
            <w:proofErr w:type="spellEnd"/>
            <w:r w:rsidRPr="009538F9">
              <w:rPr>
                <w:rFonts w:ascii="Verdana" w:hAnsi="Verdana" w:eastAsia="Times New Roman" w:cs="Arial"/>
                <w:kern w:val="0"/>
                <w:sz w:val="16"/>
                <w:szCs w:val="16"/>
                <w:lang w:eastAsia="nl-NL"/>
                <w14:ligatures w14:val="none"/>
              </w:rPr>
              <w:t>. De onderhandelingen in de Raadswerkgroep zijn momenteel gaande.</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00318809"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voorstel heeft tot doel het verbeteren van het functioneren van de interne markt door drempels weg te nemen die de ontwikkeling van non-profitorganisaties in de weg staan en door het makkelijker te maken voor non-profitorganisaties om grensoverschrijdend activiteiten te ontplooien. Daartoe komt er een speciale rechtsvorm, een “Europese grensoverschrijdende vereniging” of “ECBA” (European cross border </w:t>
            </w:r>
            <w:proofErr w:type="spellStart"/>
            <w:r w:rsidRPr="009538F9">
              <w:rPr>
                <w:rFonts w:ascii="Verdana" w:hAnsi="Verdana" w:eastAsia="Times New Roman" w:cs="Arial"/>
                <w:kern w:val="0"/>
                <w:sz w:val="16"/>
                <w:szCs w:val="16"/>
                <w:lang w:eastAsia="nl-NL"/>
                <w14:ligatures w14:val="none"/>
              </w:rPr>
              <w:t>association</w:t>
            </w:r>
            <w:proofErr w:type="spellEnd"/>
            <w:r w:rsidRPr="009538F9">
              <w:rPr>
                <w:rFonts w:ascii="Verdana" w:hAnsi="Verdana" w:eastAsia="Times New Roman" w:cs="Arial"/>
                <w:kern w:val="0"/>
                <w:sz w:val="16"/>
                <w:szCs w:val="16"/>
                <w:lang w:eastAsia="nl-NL"/>
                <w14:ligatures w14:val="none"/>
              </w:rPr>
              <w:t>), die kan worden opgericht naar het recht van iedere EU-lidstaat en in iedere (andere) lidstaat automatisch wordt erkend.</w:t>
            </w:r>
          </w:p>
        </w:tc>
      </w:tr>
      <w:tr w:rsidRPr="009538F9" w:rsidR="009538F9" w:rsidTr="009538F9" w14:paraId="2E432B63" w14:textId="77777777">
        <w:trPr>
          <w:trHeight w:val="3338"/>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351B37C7" w14:textId="77777777">
            <w:pPr>
              <w:spacing w:after="0" w:line="240" w:lineRule="auto"/>
              <w:rPr>
                <w:rFonts w:ascii="Verdana" w:hAnsi="Verdana" w:eastAsia="Times New Roman" w:cs="Arial"/>
                <w:color w:val="FF99CC"/>
                <w:kern w:val="0"/>
                <w:sz w:val="16"/>
                <w:szCs w:val="16"/>
                <w:lang w:eastAsia="nl-NL"/>
                <w14:ligatures w14:val="none"/>
              </w:rPr>
            </w:pPr>
            <w:r w:rsidRPr="009538F9">
              <w:rPr>
                <w:rFonts w:ascii="Verdana" w:hAnsi="Verdana" w:eastAsia="Times New Roman" w:cs="Arial"/>
                <w:color w:val="FF99CC"/>
                <w:kern w:val="0"/>
                <w:sz w:val="16"/>
                <w:szCs w:val="16"/>
                <w:lang w:eastAsia="nl-NL"/>
                <w14:ligatures w14:val="none"/>
              </w:rPr>
              <w:t> </w:t>
            </w:r>
          </w:p>
        </w:tc>
        <w:tc>
          <w:tcPr>
            <w:tcW w:w="2023"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70379882" w14:textId="77777777">
            <w:pPr>
              <w:spacing w:after="0" w:line="240" w:lineRule="auto"/>
              <w:rPr>
                <w:rFonts w:ascii="Verdana" w:hAnsi="Verdana" w:eastAsia="Times New Roman" w:cs="Arial"/>
                <w:color w:val="FFFFFF"/>
                <w:kern w:val="0"/>
                <w:sz w:val="16"/>
                <w:szCs w:val="16"/>
                <w:lang w:eastAsia="nl-NL"/>
                <w14:ligatures w14:val="none"/>
              </w:rPr>
            </w:pPr>
            <w:r w:rsidRPr="009538F9">
              <w:rPr>
                <w:rFonts w:ascii="Verdana" w:hAnsi="Verdana" w:eastAsia="Times New Roman" w:cs="Arial"/>
                <w:color w:val="FFFFFF"/>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1FE2B245"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Voorstel voor een verordening voor handhaving AVG in grensoverschrijdende zaken</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56DDC6AC"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 (2023)            348 BNC 3769</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151BAAE0"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voorstel is verschenen op 4 juli 2023. Het kabinet heeft uw Kamer via de BNC-procedure </w:t>
            </w:r>
            <w:proofErr w:type="spellStart"/>
            <w:r w:rsidRPr="009538F9">
              <w:rPr>
                <w:rFonts w:ascii="Verdana" w:hAnsi="Verdana" w:eastAsia="Times New Roman" w:cs="Arial"/>
                <w:kern w:val="0"/>
                <w:sz w:val="16"/>
                <w:szCs w:val="16"/>
                <w:lang w:eastAsia="nl-NL"/>
                <w14:ligatures w14:val="none"/>
              </w:rPr>
              <w:t>geinformeerd</w:t>
            </w:r>
            <w:proofErr w:type="spellEnd"/>
            <w:r w:rsidRPr="009538F9">
              <w:rPr>
                <w:rFonts w:ascii="Verdana" w:hAnsi="Verdana" w:eastAsia="Times New Roman" w:cs="Arial"/>
                <w:kern w:val="0"/>
                <w:sz w:val="16"/>
                <w:szCs w:val="16"/>
                <w:lang w:eastAsia="nl-NL"/>
                <w14:ligatures w14:val="none"/>
              </w:rPr>
              <w:t xml:space="preserve"> op 8 september 2023. Tijdens de JBZ-Raad van 13 en 14 juni 2024 is de algemene </w:t>
            </w:r>
            <w:proofErr w:type="spellStart"/>
            <w:r w:rsidRPr="009538F9">
              <w:rPr>
                <w:rFonts w:ascii="Verdana" w:hAnsi="Verdana" w:eastAsia="Times New Roman" w:cs="Arial"/>
                <w:kern w:val="0"/>
                <w:sz w:val="16"/>
                <w:szCs w:val="16"/>
                <w:lang w:eastAsia="nl-NL"/>
                <w14:ligatures w14:val="none"/>
              </w:rPr>
              <w:t>orientatie</w:t>
            </w:r>
            <w:proofErr w:type="spellEnd"/>
            <w:r w:rsidRPr="009538F9">
              <w:rPr>
                <w:rFonts w:ascii="Verdana" w:hAnsi="Verdana" w:eastAsia="Times New Roman" w:cs="Arial"/>
                <w:kern w:val="0"/>
                <w:sz w:val="16"/>
                <w:szCs w:val="16"/>
                <w:lang w:eastAsia="nl-NL"/>
                <w14:ligatures w14:val="none"/>
              </w:rPr>
              <w:t xml:space="preserve"> aangenomen. De TK is met de geannoteerde agenda en het verslag bij deze JBZ-Raad hierover </w:t>
            </w:r>
            <w:proofErr w:type="spellStart"/>
            <w:r w:rsidRPr="009538F9">
              <w:rPr>
                <w:rFonts w:ascii="Verdana" w:hAnsi="Verdana" w:eastAsia="Times New Roman" w:cs="Arial"/>
                <w:kern w:val="0"/>
                <w:sz w:val="16"/>
                <w:szCs w:val="16"/>
                <w:lang w:eastAsia="nl-NL"/>
                <w14:ligatures w14:val="none"/>
              </w:rPr>
              <w:t>geinformeerd</w:t>
            </w:r>
            <w:proofErr w:type="spellEnd"/>
            <w:r w:rsidRPr="009538F9">
              <w:rPr>
                <w:rFonts w:ascii="Verdana" w:hAnsi="Verdana" w:eastAsia="Times New Roman" w:cs="Arial"/>
                <w:kern w:val="0"/>
                <w:sz w:val="16"/>
                <w:szCs w:val="16"/>
                <w:lang w:eastAsia="nl-NL"/>
                <w14:ligatures w14:val="none"/>
              </w:rPr>
              <w:t>. De trilogen zijn begonnen op 4 november 2024.</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6177068D"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De Commissie heeft een voorstel gedaan tot vastlegging van aanvullende procedureregels met betrekking tot de handhaving van Verordening (EU) 2016/679. Het doel van het voorstel is om de samenwerking tussen gegevensbeschermingsautoriteiten te stroomlijnen bij de handhaving van de Algemene verordening gegevensbescherming (AVG) in grensoverschrijdende zaken. Het voorstel introduceert daartoe concrete procedureregels voor de toepassing van de AVG in zaken die gevolgen hebben voor personen in meer dan één lidstaat. Centraal staan in het voorstel het oplossen van problemen rondom de vormvereisten van klachten, </w:t>
            </w:r>
            <w:r w:rsidRPr="009538F9">
              <w:rPr>
                <w:rFonts w:ascii="Verdana" w:hAnsi="Verdana" w:eastAsia="Times New Roman" w:cs="Arial"/>
                <w:kern w:val="0"/>
                <w:sz w:val="16"/>
                <w:szCs w:val="16"/>
                <w:lang w:eastAsia="nl-NL"/>
                <w14:ligatures w14:val="none"/>
              </w:rPr>
              <w:lastRenderedPageBreak/>
              <w:t xml:space="preserve">het stroomlijnen van procedurele rechten van onderzochte partijen en het verbeteren van samenwerking en geschillenbeslechting. </w:t>
            </w:r>
          </w:p>
        </w:tc>
      </w:tr>
      <w:tr w:rsidRPr="009538F9" w:rsidR="009538F9" w:rsidTr="009538F9" w14:paraId="0E046C57" w14:textId="77777777">
        <w:trPr>
          <w:trHeight w:val="3338"/>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61E43879" w14:textId="77777777">
            <w:pPr>
              <w:spacing w:after="0" w:line="240" w:lineRule="auto"/>
              <w:rPr>
                <w:rFonts w:ascii="Verdana" w:hAnsi="Verdana" w:eastAsia="Times New Roman" w:cs="Arial"/>
                <w:color w:val="FF99CC"/>
                <w:kern w:val="0"/>
                <w:sz w:val="16"/>
                <w:szCs w:val="16"/>
                <w:lang w:eastAsia="nl-NL"/>
                <w14:ligatures w14:val="none"/>
              </w:rPr>
            </w:pPr>
            <w:r w:rsidRPr="009538F9">
              <w:rPr>
                <w:rFonts w:ascii="Verdana" w:hAnsi="Verdana" w:eastAsia="Times New Roman" w:cs="Arial"/>
                <w:color w:val="FF99CC"/>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0B576D0D" w14:textId="77777777">
            <w:pPr>
              <w:spacing w:after="0" w:line="240" w:lineRule="auto"/>
              <w:rPr>
                <w:rFonts w:ascii="Verdana" w:hAnsi="Verdana" w:eastAsia="Times New Roman" w:cs="Arial"/>
                <w:color w:val="FFFFFF"/>
                <w:kern w:val="0"/>
                <w:sz w:val="16"/>
                <w:szCs w:val="16"/>
                <w:lang w:eastAsia="nl-NL"/>
                <w14:ligatures w14:val="none"/>
              </w:rPr>
            </w:pPr>
            <w:r w:rsidRPr="009538F9">
              <w:rPr>
                <w:rFonts w:ascii="Verdana" w:hAnsi="Verdana" w:eastAsia="Times New Roman" w:cs="Arial"/>
                <w:color w:val="FFFFFF"/>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33FF3F33"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Verordening geleidelijke ingebruikneming EES</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62285933"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 2024/0315 (COD) BNC 3989</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40F2D2EB"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Op 4 december 2024 heeft de Commissie een voorstel gepubliceerd voor een progressieve start, middels een geleidelijke invoering, van het Europese in-en uitreissysteem (hierna EES). Uw Kamer is </w:t>
            </w:r>
            <w:proofErr w:type="spellStart"/>
            <w:r w:rsidRPr="009538F9">
              <w:rPr>
                <w:rFonts w:ascii="Verdana" w:hAnsi="Verdana" w:eastAsia="Times New Roman" w:cs="Arial"/>
                <w:kern w:val="0"/>
                <w:sz w:val="16"/>
                <w:szCs w:val="16"/>
                <w:lang w:eastAsia="nl-NL"/>
                <w14:ligatures w14:val="none"/>
              </w:rPr>
              <w:t>geinformeerd</w:t>
            </w:r>
            <w:proofErr w:type="spellEnd"/>
            <w:r w:rsidRPr="009538F9">
              <w:rPr>
                <w:rFonts w:ascii="Verdana" w:hAnsi="Verdana" w:eastAsia="Times New Roman" w:cs="Arial"/>
                <w:kern w:val="0"/>
                <w:sz w:val="16"/>
                <w:szCs w:val="16"/>
                <w:lang w:eastAsia="nl-NL"/>
                <w14:ligatures w14:val="none"/>
              </w:rPr>
              <w:t xml:space="preserve"> via de BNC-procedure op 22 januari 2025. Op 5 maart werd een Raadspositie bereikt. Hierover werd uw Kamer via de geannoteerde agenda en het verslag van de JBZ-Raad geïnformeerd. Het EP heeft nog geen positie ingenomen. </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3E924F99"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Op 4 december 2024 heeft de Commissie een voorstel gepubliceerd voor een progressieve start, middels een geleidelijke invoering, van het Europese in-en uitreissysteem (hierna EES). </w:t>
            </w:r>
            <w:r w:rsidRPr="009538F9">
              <w:rPr>
                <w:rFonts w:ascii="Verdana" w:hAnsi="Verdana" w:eastAsia="Times New Roman" w:cs="Arial"/>
                <w:kern w:val="0"/>
                <w:sz w:val="16"/>
                <w:szCs w:val="16"/>
                <w:lang w:eastAsia="nl-NL"/>
                <w14:ligatures w14:val="none"/>
              </w:rPr>
              <w:br/>
            </w:r>
            <w:r w:rsidRPr="009538F9">
              <w:rPr>
                <w:rFonts w:ascii="Verdana" w:hAnsi="Verdana" w:eastAsia="Times New Roman" w:cs="Arial"/>
                <w:kern w:val="0"/>
                <w:sz w:val="16"/>
                <w:szCs w:val="16"/>
                <w:lang w:eastAsia="nl-NL"/>
                <w14:ligatures w14:val="none"/>
              </w:rPr>
              <w:br/>
              <w:t xml:space="preserve">Het voorstel betreft een aanvullende verordening die voor een beperkte periode de geleidelijke ingebruikneming van het EES mogelijk maakt tot het moment waarop alle lidstaten het EES volledig in gebruik nemen, waarbij tijdelijk wordt afgeweken van sommige bepalingen van de huidige EES-verordening  en de </w:t>
            </w:r>
            <w:proofErr w:type="spellStart"/>
            <w:r w:rsidRPr="009538F9">
              <w:rPr>
                <w:rFonts w:ascii="Verdana" w:hAnsi="Verdana" w:eastAsia="Times New Roman" w:cs="Arial"/>
                <w:kern w:val="0"/>
                <w:sz w:val="16"/>
                <w:szCs w:val="16"/>
                <w:lang w:eastAsia="nl-NL"/>
                <w14:ligatures w14:val="none"/>
              </w:rPr>
              <w:t>Schengengre</w:t>
            </w:r>
            <w:proofErr w:type="spellEnd"/>
          </w:p>
        </w:tc>
      </w:tr>
      <w:tr w:rsidRPr="009538F9" w:rsidR="009538F9" w:rsidTr="009538F9" w14:paraId="44928EB9" w14:textId="77777777">
        <w:trPr>
          <w:trHeight w:val="285"/>
        </w:trPr>
        <w:tc>
          <w:tcPr>
            <w:tcW w:w="2972" w:type="dxa"/>
            <w:tcBorders>
              <w:top w:val="nil"/>
              <w:left w:val="single" w:color="auto" w:sz="4" w:space="0"/>
              <w:bottom w:val="single" w:color="auto" w:sz="4" w:space="0"/>
              <w:right w:val="single" w:color="auto" w:sz="4" w:space="0"/>
            </w:tcBorders>
            <w:shd w:val="clear" w:color="000000" w:fill="A6A6A6"/>
            <w:noWrap/>
            <w:hideMark/>
          </w:tcPr>
          <w:p w:rsidRPr="009538F9" w:rsidR="009538F9" w:rsidP="009538F9" w:rsidRDefault="009538F9" w14:paraId="5ABCEB38"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Mensenrechten en slachtofferbeleid</w:t>
            </w:r>
          </w:p>
        </w:tc>
        <w:tc>
          <w:tcPr>
            <w:tcW w:w="2023" w:type="dxa"/>
            <w:tcBorders>
              <w:top w:val="nil"/>
              <w:left w:val="nil"/>
              <w:bottom w:val="single" w:color="auto" w:sz="4" w:space="0"/>
              <w:right w:val="single" w:color="auto" w:sz="4" w:space="0"/>
            </w:tcBorders>
            <w:shd w:val="clear" w:color="000000" w:fill="A6A6A6"/>
            <w:hideMark/>
          </w:tcPr>
          <w:p w:rsidRPr="009538F9" w:rsidR="009538F9" w:rsidP="009538F9" w:rsidRDefault="009538F9" w14:paraId="1C98A43B"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000000" w:fill="A6A6A6"/>
            <w:hideMark/>
          </w:tcPr>
          <w:p w:rsidRPr="009538F9" w:rsidR="009538F9" w:rsidP="009538F9" w:rsidRDefault="009538F9" w14:paraId="26E11997"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249F8B80"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17B77895"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74999FC0"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 </w:t>
            </w:r>
          </w:p>
        </w:tc>
      </w:tr>
      <w:tr w:rsidRPr="009538F9" w:rsidR="009538F9" w:rsidTr="009538F9" w14:paraId="45827298" w14:textId="77777777">
        <w:trPr>
          <w:trHeight w:val="7590"/>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457A205B"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auto" w:fill="auto"/>
            <w:hideMark/>
          </w:tcPr>
          <w:p w:rsidRPr="009538F9" w:rsidR="009538F9" w:rsidP="009538F9" w:rsidRDefault="009538F9" w14:paraId="79381208"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7718A7F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Toetreding EU tot EVRM</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07F11164"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BNC 1016</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4634EEA3"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Hof van Justitie van de Europese Unie (hierna: EU-Hof) heeft in 2014 geoordeeld dat de </w:t>
            </w:r>
            <w:proofErr w:type="spellStart"/>
            <w:r w:rsidRPr="009538F9">
              <w:rPr>
                <w:rFonts w:ascii="Verdana" w:hAnsi="Verdana" w:eastAsia="Times New Roman" w:cs="Arial"/>
                <w:kern w:val="0"/>
                <w:sz w:val="16"/>
                <w:szCs w:val="16"/>
                <w:lang w:eastAsia="nl-NL"/>
                <w14:ligatures w14:val="none"/>
              </w:rPr>
              <w:t>Ontwerptoetredingovereenkomst</w:t>
            </w:r>
            <w:proofErr w:type="spellEnd"/>
            <w:r w:rsidRPr="009538F9">
              <w:rPr>
                <w:rFonts w:ascii="Verdana" w:hAnsi="Verdana" w:eastAsia="Times New Roman" w:cs="Arial"/>
                <w:kern w:val="0"/>
                <w:sz w:val="16"/>
                <w:szCs w:val="16"/>
                <w:lang w:eastAsia="nl-NL"/>
                <w14:ligatures w14:val="none"/>
              </w:rPr>
              <w:t xml:space="preserve"> die in 2013 was uit onderhandeld tussen de EU en de </w:t>
            </w:r>
            <w:proofErr w:type="spellStart"/>
            <w:r w:rsidRPr="009538F9">
              <w:rPr>
                <w:rFonts w:ascii="Verdana" w:hAnsi="Verdana" w:eastAsia="Times New Roman" w:cs="Arial"/>
                <w:kern w:val="0"/>
                <w:sz w:val="16"/>
                <w:szCs w:val="16"/>
                <w:lang w:eastAsia="nl-NL"/>
                <w14:ligatures w14:val="none"/>
              </w:rPr>
              <w:t>RvE</w:t>
            </w:r>
            <w:proofErr w:type="spellEnd"/>
            <w:r w:rsidRPr="009538F9">
              <w:rPr>
                <w:rFonts w:ascii="Verdana" w:hAnsi="Verdana" w:eastAsia="Times New Roman" w:cs="Arial"/>
                <w:kern w:val="0"/>
                <w:sz w:val="16"/>
                <w:szCs w:val="16"/>
                <w:lang w:eastAsia="nl-NL"/>
                <w14:ligatures w14:val="none"/>
              </w:rPr>
              <w:t xml:space="preserve"> op een aantal punten onverenigbaar was met het EU-recht. Sinds 2020 is heronderhandeld tussen de EU en de </w:t>
            </w:r>
            <w:proofErr w:type="spellStart"/>
            <w:r w:rsidRPr="009538F9">
              <w:rPr>
                <w:rFonts w:ascii="Verdana" w:hAnsi="Verdana" w:eastAsia="Times New Roman" w:cs="Arial"/>
                <w:kern w:val="0"/>
                <w:sz w:val="16"/>
                <w:szCs w:val="16"/>
                <w:lang w:eastAsia="nl-NL"/>
                <w14:ligatures w14:val="none"/>
              </w:rPr>
              <w:t>RvE</w:t>
            </w:r>
            <w:proofErr w:type="spellEnd"/>
            <w:r w:rsidRPr="009538F9">
              <w:rPr>
                <w:rFonts w:ascii="Verdana" w:hAnsi="Verdana" w:eastAsia="Times New Roman" w:cs="Arial"/>
                <w:kern w:val="0"/>
                <w:sz w:val="16"/>
                <w:szCs w:val="16"/>
                <w:lang w:eastAsia="nl-NL"/>
                <w14:ligatures w14:val="none"/>
              </w:rPr>
              <w:t xml:space="preserve"> om tegemoet te komen aan het advies van het EU-Hof. Tijdens de laatste onderhandelingsronde die plaatsvond van 14 tot 17 maart 2023 is een voorlopig akkoord op onderhandelaarsniveau bereikt, mede doordat de EU heeft aangegeven in te zetten op het intern oplossen van bezwaar van het EU-Hof ten aanzien van het Gemeenschappelijk Buitenlands en Veiligheidsbeleid (GBVB), het laatste openstaande </w:t>
            </w:r>
            <w:proofErr w:type="spellStart"/>
            <w:r w:rsidRPr="009538F9">
              <w:rPr>
                <w:rFonts w:ascii="Verdana" w:hAnsi="Verdana" w:eastAsia="Times New Roman" w:cs="Arial"/>
                <w:kern w:val="0"/>
                <w:sz w:val="16"/>
                <w:szCs w:val="16"/>
                <w:lang w:eastAsia="nl-NL"/>
                <w14:ligatures w14:val="none"/>
              </w:rPr>
              <w:t>bezwaar.Het</w:t>
            </w:r>
            <w:proofErr w:type="spellEnd"/>
            <w:r w:rsidRPr="009538F9">
              <w:rPr>
                <w:rFonts w:ascii="Verdana" w:hAnsi="Verdana" w:eastAsia="Times New Roman" w:cs="Arial"/>
                <w:kern w:val="0"/>
                <w:sz w:val="16"/>
                <w:szCs w:val="16"/>
                <w:lang w:eastAsia="nl-NL"/>
                <w14:ligatures w14:val="none"/>
              </w:rPr>
              <w:t xml:space="preserve"> is noodzakelijk dat de EU een oplossing voor dit bezwaar vindt om tot een finaal akkoord te komen en toetreding van de EU tot het EVRM te realiseren. Op 10 september heeft het EU-Hof uitspraak gedaan in de zaak </w:t>
            </w:r>
            <w:proofErr w:type="spellStart"/>
            <w:r w:rsidRPr="009538F9">
              <w:rPr>
                <w:rFonts w:ascii="Verdana" w:hAnsi="Verdana" w:eastAsia="Times New Roman" w:cs="Arial"/>
                <w:kern w:val="0"/>
                <w:sz w:val="16"/>
                <w:szCs w:val="16"/>
                <w:lang w:eastAsia="nl-NL"/>
                <w14:ligatures w14:val="none"/>
              </w:rPr>
              <w:t>Eulex</w:t>
            </w:r>
            <w:proofErr w:type="spellEnd"/>
            <w:r w:rsidRPr="009538F9">
              <w:rPr>
                <w:rFonts w:ascii="Verdana" w:hAnsi="Verdana" w:eastAsia="Times New Roman" w:cs="Arial"/>
                <w:kern w:val="0"/>
                <w:sz w:val="16"/>
                <w:szCs w:val="16"/>
                <w:lang w:eastAsia="nl-NL"/>
                <w14:ligatures w14:val="none"/>
              </w:rPr>
              <w:t xml:space="preserve"> Kosovo. Hierin heeft het EU-Hof bepaalde punten ten aanzien van zijn bevoegdheid in het GBVB (waarop het GBVB-bezwaar ziet) verduidelijkt. </w:t>
            </w:r>
            <w:r w:rsidRPr="009538F9">
              <w:rPr>
                <w:rFonts w:ascii="Verdana" w:hAnsi="Verdana" w:eastAsia="Times New Roman" w:cs="Arial"/>
                <w:kern w:val="0"/>
                <w:sz w:val="16"/>
                <w:szCs w:val="16"/>
                <w:lang w:eastAsia="nl-NL"/>
                <w14:ligatures w14:val="none"/>
              </w:rPr>
              <w:br w:type="page"/>
              <w:t xml:space="preserve">De Commissie heeft aangegeven dat nu advies gevraagd zal worden aan het EU-Hof, voordat ondertekening zal </w:t>
            </w:r>
            <w:r w:rsidRPr="009538F9">
              <w:rPr>
                <w:rFonts w:ascii="Verdana" w:hAnsi="Verdana" w:eastAsia="Times New Roman" w:cs="Arial"/>
                <w:kern w:val="0"/>
                <w:sz w:val="16"/>
                <w:szCs w:val="16"/>
                <w:lang w:eastAsia="nl-NL"/>
                <w14:ligatures w14:val="none"/>
              </w:rPr>
              <w:lastRenderedPageBreak/>
              <w:t xml:space="preserve">plaatsvinden. De Europese Commissie heeft de Raad van Europa hierover geïnformeerd. Zo snel mogelijke toetreding van de EU tot het EVRM wordt binnen de </w:t>
            </w:r>
            <w:proofErr w:type="spellStart"/>
            <w:r w:rsidRPr="009538F9">
              <w:rPr>
                <w:rFonts w:ascii="Verdana" w:hAnsi="Verdana" w:eastAsia="Times New Roman" w:cs="Arial"/>
                <w:kern w:val="0"/>
                <w:sz w:val="16"/>
                <w:szCs w:val="16"/>
                <w:lang w:eastAsia="nl-NL"/>
                <w14:ligatures w14:val="none"/>
              </w:rPr>
              <w:t>RvE</w:t>
            </w:r>
            <w:proofErr w:type="spellEnd"/>
            <w:r w:rsidRPr="009538F9">
              <w:rPr>
                <w:rFonts w:ascii="Verdana" w:hAnsi="Verdana" w:eastAsia="Times New Roman" w:cs="Arial"/>
                <w:kern w:val="0"/>
                <w:sz w:val="16"/>
                <w:szCs w:val="16"/>
                <w:lang w:eastAsia="nl-NL"/>
                <w14:ligatures w14:val="none"/>
              </w:rPr>
              <w:t xml:space="preserve"> (en ook door de EU-instellingen) breed gedragen.</w:t>
            </w:r>
            <w:r w:rsidRPr="009538F9">
              <w:rPr>
                <w:rFonts w:ascii="Verdana" w:hAnsi="Verdana" w:eastAsia="Times New Roman" w:cs="Arial"/>
                <w:kern w:val="0"/>
                <w:sz w:val="16"/>
                <w:szCs w:val="16"/>
                <w:lang w:eastAsia="nl-NL"/>
                <w14:ligatures w14:val="none"/>
              </w:rPr>
              <w:br w:type="page"/>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77B3BDB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xml:space="preserve">Op 4 juni 2010 is door de Raad een gedetailleerd onderhandelingsmandaat aangenomen. In juli 2010 zijn de onderhandelingen tussen de EU en </w:t>
            </w:r>
            <w:proofErr w:type="spellStart"/>
            <w:r w:rsidRPr="009538F9">
              <w:rPr>
                <w:rFonts w:ascii="Verdana" w:hAnsi="Verdana" w:eastAsia="Times New Roman" w:cs="Arial"/>
                <w:kern w:val="0"/>
                <w:sz w:val="16"/>
                <w:szCs w:val="16"/>
                <w:lang w:eastAsia="nl-NL"/>
                <w14:ligatures w14:val="none"/>
              </w:rPr>
              <w:t>RvE</w:t>
            </w:r>
            <w:proofErr w:type="spellEnd"/>
            <w:r w:rsidRPr="009538F9">
              <w:rPr>
                <w:rFonts w:ascii="Verdana" w:hAnsi="Verdana" w:eastAsia="Times New Roman" w:cs="Arial"/>
                <w:kern w:val="0"/>
                <w:sz w:val="16"/>
                <w:szCs w:val="16"/>
                <w:lang w:eastAsia="nl-NL"/>
                <w14:ligatures w14:val="none"/>
              </w:rPr>
              <w:t xml:space="preserve"> over de voorwaarden van toetreding van start gegaan in een speciaal comité. Op 5 april 2013 is er op technische niveau akkoord bereikt over het toetredingsakkoord. De Commissie heeft het </w:t>
            </w:r>
            <w:proofErr w:type="spellStart"/>
            <w:r w:rsidRPr="009538F9">
              <w:rPr>
                <w:rFonts w:ascii="Verdana" w:hAnsi="Verdana" w:eastAsia="Times New Roman" w:cs="Arial"/>
                <w:kern w:val="0"/>
                <w:sz w:val="16"/>
                <w:szCs w:val="16"/>
                <w:lang w:eastAsia="nl-NL"/>
                <w14:ligatures w14:val="none"/>
              </w:rPr>
              <w:t>HvJEU</w:t>
            </w:r>
            <w:proofErr w:type="spellEnd"/>
            <w:r w:rsidRPr="009538F9">
              <w:rPr>
                <w:rFonts w:ascii="Verdana" w:hAnsi="Verdana" w:eastAsia="Times New Roman" w:cs="Arial"/>
                <w:kern w:val="0"/>
                <w:sz w:val="16"/>
                <w:szCs w:val="16"/>
                <w:lang w:eastAsia="nl-NL"/>
                <w14:ligatures w14:val="none"/>
              </w:rPr>
              <w:t xml:space="preserve"> gevraagd om (conform procedure 218 (11)VWEU) advies te geven over de verenigbaarheid van het </w:t>
            </w:r>
            <w:proofErr w:type="spellStart"/>
            <w:r w:rsidRPr="009538F9">
              <w:rPr>
                <w:rFonts w:ascii="Verdana" w:hAnsi="Verdana" w:eastAsia="Times New Roman" w:cs="Arial"/>
                <w:kern w:val="0"/>
                <w:sz w:val="16"/>
                <w:szCs w:val="16"/>
                <w:lang w:eastAsia="nl-NL"/>
                <w14:ligatures w14:val="none"/>
              </w:rPr>
              <w:t>concept-akkoord</w:t>
            </w:r>
            <w:proofErr w:type="spellEnd"/>
            <w:r w:rsidRPr="009538F9">
              <w:rPr>
                <w:rFonts w:ascii="Verdana" w:hAnsi="Verdana" w:eastAsia="Times New Roman" w:cs="Arial"/>
                <w:kern w:val="0"/>
                <w:sz w:val="16"/>
                <w:szCs w:val="16"/>
                <w:lang w:eastAsia="nl-NL"/>
                <w14:ligatures w14:val="none"/>
              </w:rPr>
              <w:t xml:space="preserve"> met de Verdragen. In 2014 heeft het </w:t>
            </w:r>
            <w:proofErr w:type="spellStart"/>
            <w:r w:rsidRPr="009538F9">
              <w:rPr>
                <w:rFonts w:ascii="Verdana" w:hAnsi="Verdana" w:eastAsia="Times New Roman" w:cs="Arial"/>
                <w:kern w:val="0"/>
                <w:sz w:val="16"/>
                <w:szCs w:val="16"/>
                <w:lang w:eastAsia="nl-NL"/>
                <w14:ligatures w14:val="none"/>
              </w:rPr>
              <w:t>HvJEU</w:t>
            </w:r>
            <w:proofErr w:type="spellEnd"/>
            <w:r w:rsidRPr="009538F9">
              <w:rPr>
                <w:rFonts w:ascii="Verdana" w:hAnsi="Verdana" w:eastAsia="Times New Roman" w:cs="Arial"/>
                <w:kern w:val="0"/>
                <w:sz w:val="16"/>
                <w:szCs w:val="16"/>
                <w:lang w:eastAsia="nl-NL"/>
                <w14:ligatures w14:val="none"/>
              </w:rPr>
              <w:t xml:space="preserve"> advies 2/13 vastgesteld. Naar aanleiding van advies 2/13, waarin het Hof heeft geoordeeld dat het ontwerpverdrag op meerdere punten onverenigbaar is met het Unierecht, loopt het toetredingsproces van de EU tot het EVRM loopt zoals bekend aanzienlijke vertraging op.</w:t>
            </w:r>
          </w:p>
        </w:tc>
      </w:tr>
      <w:tr w:rsidRPr="009538F9" w:rsidR="009538F9" w:rsidTr="009538F9" w14:paraId="1FCF4E91" w14:textId="77777777">
        <w:trPr>
          <w:trHeight w:val="3218"/>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38730BF5"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309E8E92"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4DD04557"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Voorstel tot wijziging van de richtlijn minimum </w:t>
            </w:r>
            <w:proofErr w:type="spellStart"/>
            <w:r w:rsidRPr="009538F9">
              <w:rPr>
                <w:rFonts w:ascii="Verdana" w:hAnsi="Verdana" w:eastAsia="Times New Roman" w:cs="Arial"/>
                <w:kern w:val="0"/>
                <w:sz w:val="16"/>
                <w:szCs w:val="16"/>
                <w:lang w:eastAsia="nl-NL"/>
                <w14:ligatures w14:val="none"/>
              </w:rPr>
              <w:t>standarden</w:t>
            </w:r>
            <w:proofErr w:type="spellEnd"/>
            <w:r w:rsidRPr="009538F9">
              <w:rPr>
                <w:rFonts w:ascii="Verdana" w:hAnsi="Verdana" w:eastAsia="Times New Roman" w:cs="Arial"/>
                <w:kern w:val="0"/>
                <w:sz w:val="16"/>
                <w:szCs w:val="16"/>
                <w:lang w:eastAsia="nl-NL"/>
                <w14:ligatures w14:val="none"/>
              </w:rPr>
              <w:t xml:space="preserve">  slachtoffers</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4A00ED53"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 (2023) 424      BNC 3739</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209D7760"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voorstel is verschenen op 12 juli 2023. Het BNC-fiche is op 6 oktober 2023 met de Kamer gedeeld. In de JBZ-raad van 13 en 14 juni is de algemene oriëntatie aangenomen. De </w:t>
            </w:r>
            <w:proofErr w:type="spellStart"/>
            <w:r w:rsidRPr="009538F9">
              <w:rPr>
                <w:rFonts w:ascii="Verdana" w:hAnsi="Verdana" w:eastAsia="Times New Roman" w:cs="Arial"/>
                <w:kern w:val="0"/>
                <w:sz w:val="16"/>
                <w:szCs w:val="16"/>
                <w:lang w:eastAsia="nl-NL"/>
                <w14:ligatures w14:val="none"/>
              </w:rPr>
              <w:t>triloog</w:t>
            </w:r>
            <w:proofErr w:type="spellEnd"/>
            <w:r w:rsidRPr="009538F9">
              <w:rPr>
                <w:rFonts w:ascii="Verdana" w:hAnsi="Verdana" w:eastAsia="Times New Roman" w:cs="Arial"/>
                <w:kern w:val="0"/>
                <w:sz w:val="16"/>
                <w:szCs w:val="16"/>
                <w:lang w:eastAsia="nl-NL"/>
                <w14:ligatures w14:val="none"/>
              </w:rPr>
              <w:t xml:space="preserve"> is in december 2024 van start gegaan. Het Europees Parlement heeft een fors aantal amendementen voorgesteld. Pools voorzitterschap is voornemens om de </w:t>
            </w:r>
            <w:proofErr w:type="spellStart"/>
            <w:r w:rsidRPr="009538F9">
              <w:rPr>
                <w:rFonts w:ascii="Verdana" w:hAnsi="Verdana" w:eastAsia="Times New Roman" w:cs="Arial"/>
                <w:kern w:val="0"/>
                <w:sz w:val="16"/>
                <w:szCs w:val="16"/>
                <w:lang w:eastAsia="nl-NL"/>
                <w14:ligatures w14:val="none"/>
              </w:rPr>
              <w:t>triloogfase</w:t>
            </w:r>
            <w:proofErr w:type="spellEnd"/>
            <w:r w:rsidRPr="009538F9">
              <w:rPr>
                <w:rFonts w:ascii="Verdana" w:hAnsi="Verdana" w:eastAsia="Times New Roman" w:cs="Arial"/>
                <w:kern w:val="0"/>
                <w:sz w:val="16"/>
                <w:szCs w:val="16"/>
                <w:lang w:eastAsia="nl-NL"/>
                <w14:ligatures w14:val="none"/>
              </w:rPr>
              <w:t xml:space="preserve"> in de eerste helft 2025 af te ronden.</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53F958C5"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Het voorstel is bedoeld om de richtlijn inzake rechten van slachtoffers uit 2012 te herzien. De herziening is onderdeel van de strategie 2020-2025 inzake slachtofferrechten. De herziening heeft tot doel de rechten van slachtoffers van strafbare feiten te versterken in de hele EU. De herziening betreft het verbeteren van toegang tot informatie en hulp aan slachtoffers, verzekeren dat slachtoffers behandeld worden met waardigheid en respect gedurende strafprocedures en verbeteren van hun rechten om aan strafprocedures deel te nemen. Verder beoogt de herziening een betere bescherming voor slachtoffers van op gender gebaseerd geweld, inclusief seksueel geweld en huiselijk misbruik en het tegemoet komen aan de behoeften van kwetsbare slachtoffers, zoals kinderen en personen met een beperking.</w:t>
            </w:r>
          </w:p>
        </w:tc>
      </w:tr>
      <w:tr w:rsidRPr="009538F9" w:rsidR="009538F9" w:rsidTr="009538F9" w14:paraId="3B529361" w14:textId="77777777">
        <w:trPr>
          <w:trHeight w:val="2592"/>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6F05D1B6"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023"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4D4B266E"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570E38C7"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Voorstel voor een verordening en raadsbesluit grensoverschrijdende bescherming van kwetsbare volwassenen </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57A51CEF"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COM (2023) 280, BNC 3739 </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7453D337"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voorstel is verschenen op 31 mei 2023. Het kabinet heeft de Kamer op 7 juli 2023 via een BNC-fiche hierover </w:t>
            </w:r>
            <w:proofErr w:type="spellStart"/>
            <w:r w:rsidRPr="009538F9">
              <w:rPr>
                <w:rFonts w:ascii="Verdana" w:hAnsi="Verdana" w:eastAsia="Times New Roman" w:cs="Arial"/>
                <w:kern w:val="0"/>
                <w:sz w:val="16"/>
                <w:szCs w:val="16"/>
                <w:lang w:eastAsia="nl-NL"/>
                <w14:ligatures w14:val="none"/>
              </w:rPr>
              <w:t>geinformeerd</w:t>
            </w:r>
            <w:proofErr w:type="spellEnd"/>
            <w:r w:rsidRPr="009538F9">
              <w:rPr>
                <w:rFonts w:ascii="Verdana" w:hAnsi="Verdana" w:eastAsia="Times New Roman" w:cs="Arial"/>
                <w:kern w:val="0"/>
                <w:sz w:val="16"/>
                <w:szCs w:val="16"/>
                <w:lang w:eastAsia="nl-NL"/>
                <w14:ligatures w14:val="none"/>
              </w:rPr>
              <w:t xml:space="preserve"> (Kamerstuk 22122, nr. 3739). Over het voorstel wordt momenteel onderhandeld in de Raadswerkgroep.</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4EDACF61"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Op 31 mei 2023 heeft de Commissie  twee voorstellen gepubliceerd. Het eerste voorstel ziet op een verordening inzake de bescherming van kwetsbare volwassenen  in grensoverschrijdende situaties. Hiermee wil de Commissie de bescherming van kwetsbare volwassenen die in andere lidstaten verblijven, versterken. Het tweede voorstel ziet op een raadsbesluit dat ertoe strekt dat alle lidstaten toe treden </w:t>
            </w:r>
            <w:r w:rsidRPr="009538F9">
              <w:rPr>
                <w:rFonts w:ascii="Verdana" w:hAnsi="Verdana" w:eastAsia="Times New Roman" w:cs="Arial"/>
                <w:kern w:val="0"/>
                <w:sz w:val="16"/>
                <w:szCs w:val="16"/>
                <w:lang w:eastAsia="nl-NL"/>
                <w14:ligatures w14:val="none"/>
              </w:rPr>
              <w:lastRenderedPageBreak/>
              <w:t xml:space="preserve">tot, of partij blijven bij het Verdrag inzake de internationale bescherming van volwassenen (hierna: het Haags Volwassenenbeschermingsverdrag of HVV). </w:t>
            </w:r>
          </w:p>
        </w:tc>
      </w:tr>
      <w:tr w:rsidRPr="009538F9" w:rsidR="009538F9" w:rsidTr="009538F9" w14:paraId="63D257D0" w14:textId="77777777">
        <w:trPr>
          <w:trHeight w:val="2678"/>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69ECD397"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3D7E4283"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2FCA82B1"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Richtlijn tot wijziging minimumnormen ter voorkoming en tegengaan van mensensmokkel</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070497BF"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COM(2023) 755     BNC 3873</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563E2CE3"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Op 28 november 2023 heeft de Europese Commissie het voorstel gepubliceerd. Het kabinet heeft de Kamer op 26 januari 2024 via een BNC-fiche hierover geïnformeerd (</w:t>
            </w:r>
            <w:proofErr w:type="spellStart"/>
            <w:r w:rsidRPr="009538F9">
              <w:rPr>
                <w:rFonts w:ascii="Verdana" w:hAnsi="Verdana" w:eastAsia="Times New Roman" w:cs="Arial"/>
                <w:kern w:val="0"/>
                <w:sz w:val="16"/>
                <w:szCs w:val="16"/>
                <w:lang w:eastAsia="nl-NL"/>
                <w14:ligatures w14:val="none"/>
              </w:rPr>
              <w:t>Kamerstruk</w:t>
            </w:r>
            <w:proofErr w:type="spellEnd"/>
            <w:r w:rsidRPr="009538F9">
              <w:rPr>
                <w:rFonts w:ascii="Verdana" w:hAnsi="Verdana" w:eastAsia="Times New Roman" w:cs="Arial"/>
                <w:kern w:val="0"/>
                <w:sz w:val="16"/>
                <w:szCs w:val="16"/>
                <w:lang w:eastAsia="nl-NL"/>
                <w14:ligatures w14:val="none"/>
              </w:rPr>
              <w:t xml:space="preserve"> 22 122, nr. 3873). Het voorstel wordt momenteel in de raadswerkgroep COPEN behandeld om tot een algemene oriëntatie te komen. Op 13 december 2024 werd een Raadspositie bereikt. Hierover werd uw Kamer via de geannoteerde agenda en het verslag van de JBZ-Raad </w:t>
            </w:r>
            <w:proofErr w:type="spellStart"/>
            <w:r w:rsidRPr="009538F9">
              <w:rPr>
                <w:rFonts w:ascii="Verdana" w:hAnsi="Verdana" w:eastAsia="Times New Roman" w:cs="Arial"/>
                <w:kern w:val="0"/>
                <w:sz w:val="16"/>
                <w:szCs w:val="16"/>
                <w:lang w:eastAsia="nl-NL"/>
                <w14:ligatures w14:val="none"/>
              </w:rPr>
              <w:t>geinformeerd</w:t>
            </w:r>
            <w:proofErr w:type="spellEnd"/>
            <w:r w:rsidRPr="009538F9">
              <w:rPr>
                <w:rFonts w:ascii="Verdana" w:hAnsi="Verdana" w:eastAsia="Times New Roman" w:cs="Arial"/>
                <w:kern w:val="0"/>
                <w:sz w:val="16"/>
                <w:szCs w:val="16"/>
                <w:lang w:eastAsia="nl-NL"/>
                <w14:ligatures w14:val="none"/>
              </w:rPr>
              <w:t xml:space="preserve">. Het EP heeft nog geen positie ingenomen. </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2A4CEAA4"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Het voorstel beoogt de huidige richtlijn en het kaderbesluit in relatie tot mensensmokkel te vervangen. Het voorstel stelt zich tot doel om: 1. middels een duidelijkere definitie van het mensensmokkeldelict doeltreffender onderzoek naar alsmede vervolging en bestraffing van mensensmokkelnetwerken te bewerkstelligen; 2. tot meer geharmoniseerde straffen die rekening houden met de ernst van het delict te komen; 3. de reikwijdte van de jurisdictie te verbeteren; 4. de middelen van lidstaten te versterken om mensensmokkel aan te pakken en te voorkomen; 5. om gegevensverzameling en rapportage te verbeteren.</w:t>
            </w:r>
          </w:p>
        </w:tc>
      </w:tr>
      <w:tr w:rsidRPr="009538F9" w:rsidR="009538F9" w:rsidTr="009538F9" w14:paraId="76CB8F67" w14:textId="77777777">
        <w:trPr>
          <w:trHeight w:val="2595"/>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177FB649"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auto" w:fill="auto"/>
            <w:hideMark/>
          </w:tcPr>
          <w:p w:rsidRPr="009538F9" w:rsidR="009538F9" w:rsidP="009538F9" w:rsidRDefault="009538F9" w14:paraId="1980BB54"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7A9F50D1"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Voorstel richtlijn ter bestrijding van seksueel misbruik en seksuele uitbuiting van kinderen </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4CEC50D2"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COM(2024) 60     BNC 3918</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20E55B89"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Het voorstel tot herziening van de Richtlijn 2011/93/EU is op 6 februari 2024 verschenen. Het kabinet heeft de Kamer op 15 maart 2024 via een BNC-fiche hierover geïnformeerd. Op 13 december 2024 is een algemene oriëntatie bereikt. Er heeft nog geen stemming plaatsgevonden over de ingediende amendementen van het EP.</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19F5690B"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voorstel betreft een herziening van een reeds bestaande richtlijn betreffende de aanpak van seksueel kindermisbruik en seksuele uitbuiting van kinderen. Ten opzichte van de huidige richtlijn wordt de strafbaarheid op onderdelen uitgebreid. Verder beoogt het voorstel een versterking van vervolging, preventie en ondersteuning aan slachtoffers. </w:t>
            </w:r>
          </w:p>
        </w:tc>
      </w:tr>
      <w:tr w:rsidRPr="009538F9" w:rsidR="009538F9" w:rsidTr="009538F9" w14:paraId="3E331E6A" w14:textId="77777777">
        <w:trPr>
          <w:trHeight w:val="6180"/>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7A495C66"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023" w:type="dxa"/>
            <w:tcBorders>
              <w:top w:val="nil"/>
              <w:left w:val="nil"/>
              <w:bottom w:val="single" w:color="auto" w:sz="4" w:space="0"/>
              <w:right w:val="single" w:color="auto" w:sz="4" w:space="0"/>
            </w:tcBorders>
            <w:shd w:val="clear" w:color="auto" w:fill="auto"/>
            <w:hideMark/>
          </w:tcPr>
          <w:p w:rsidRPr="009538F9" w:rsidR="009538F9" w:rsidP="009538F9" w:rsidRDefault="009538F9" w14:paraId="6B6AAA2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760F09DC"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Voorstel voorkomen en bestrijden seksueel kindermisbruik</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39FA3FD3"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COM(2022)209</w:t>
            </w:r>
            <w:r w:rsidRPr="009538F9">
              <w:rPr>
                <w:rFonts w:ascii="Verdana" w:hAnsi="Verdana" w:eastAsia="Times New Roman" w:cs="Arial"/>
                <w:kern w:val="0"/>
                <w:sz w:val="16"/>
                <w:szCs w:val="16"/>
                <w:lang w:eastAsia="nl-NL"/>
                <w14:ligatures w14:val="none"/>
              </w:rPr>
              <w:br w:type="page"/>
              <w:t>BNC 3455</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506F41B7"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Op 11 mei 2022 heeft de Europese Commissie een voorstel gepubliceerd met regels om seksueel kindermisbruik te voorkomen en te bestrijden. Op 17 juni 2022 heeft de Kamer het BNC-fiche ontvangen (Kamerstuk 22 112, nr. 3455). De onderhandelingen over de CSAM-Verordening zijn nog lopende. Tot op heden is het de Raad nog niet gelukt om een Algemene Oriëntatie (AO) te bereiken. Het Poolse Voorzitterschap werkt begin 2025 aan een nieuw compromisvoorstel.</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5738EEEF"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Op 11 mei 2022 heeft de Commissie een voorstel gepubliceerd voor een verordening betreffende voorschriften ter voorkoming en bestrijding van seksueel kindermisbruik (hierna: CSA (Child </w:t>
            </w:r>
            <w:proofErr w:type="spellStart"/>
            <w:r w:rsidRPr="009538F9">
              <w:rPr>
                <w:rFonts w:ascii="Verdana" w:hAnsi="Verdana" w:eastAsia="Times New Roman" w:cs="Arial"/>
                <w:kern w:val="0"/>
                <w:sz w:val="16"/>
                <w:szCs w:val="16"/>
                <w:lang w:eastAsia="nl-NL"/>
                <w14:ligatures w14:val="none"/>
              </w:rPr>
              <w:t>Sexual</w:t>
            </w:r>
            <w:proofErr w:type="spellEnd"/>
            <w:r w:rsidRPr="009538F9">
              <w:rPr>
                <w:rFonts w:ascii="Verdana" w:hAnsi="Verdana" w:eastAsia="Times New Roman" w:cs="Arial"/>
                <w:kern w:val="0"/>
                <w:sz w:val="16"/>
                <w:szCs w:val="16"/>
                <w:lang w:eastAsia="nl-NL"/>
                <w14:ligatures w14:val="none"/>
              </w:rPr>
              <w:t xml:space="preserve"> </w:t>
            </w:r>
            <w:proofErr w:type="spellStart"/>
            <w:r w:rsidRPr="009538F9">
              <w:rPr>
                <w:rFonts w:ascii="Verdana" w:hAnsi="Verdana" w:eastAsia="Times New Roman" w:cs="Arial"/>
                <w:kern w:val="0"/>
                <w:sz w:val="16"/>
                <w:szCs w:val="16"/>
                <w:lang w:eastAsia="nl-NL"/>
                <w14:ligatures w14:val="none"/>
              </w:rPr>
              <w:t>Abuse</w:t>
            </w:r>
            <w:proofErr w:type="spellEnd"/>
            <w:r w:rsidRPr="009538F9">
              <w:rPr>
                <w:rFonts w:ascii="Verdana" w:hAnsi="Verdana" w:eastAsia="Times New Roman" w:cs="Arial"/>
                <w:kern w:val="0"/>
                <w:sz w:val="16"/>
                <w:szCs w:val="16"/>
                <w:lang w:eastAsia="nl-NL"/>
                <w14:ligatures w14:val="none"/>
              </w:rPr>
              <w:t>)). De Commissie constateert dat het huidige systeem, dat gebaseerd is op vrijwillige detectie en melding door bedrijven, onvoldoende effectief is gebleken om kinderen in afdoende mate te beschermen. Bovendien zal dit niet langer meer mogelijk zijn zodra de tijdelijke oplossing afloopt om vrijwillig materiaal van CSA te kunnen detecteren en melden. De Commissie heeft dit voorstel gepresenteerd om online CSA doeltreffender aan te pakken.</w:t>
            </w:r>
          </w:p>
        </w:tc>
      </w:tr>
      <w:tr w:rsidRPr="009538F9" w:rsidR="009538F9" w:rsidTr="009538F9" w14:paraId="6CA6778C" w14:textId="77777777">
        <w:trPr>
          <w:trHeight w:val="360"/>
        </w:trPr>
        <w:tc>
          <w:tcPr>
            <w:tcW w:w="2972" w:type="dxa"/>
            <w:tcBorders>
              <w:top w:val="nil"/>
              <w:left w:val="single" w:color="auto" w:sz="4" w:space="0"/>
              <w:bottom w:val="single" w:color="auto" w:sz="4" w:space="0"/>
              <w:right w:val="single" w:color="auto" w:sz="4" w:space="0"/>
            </w:tcBorders>
            <w:shd w:val="clear" w:color="000000" w:fill="A6A6A6"/>
            <w:hideMark/>
          </w:tcPr>
          <w:p w:rsidRPr="009538F9" w:rsidR="009538F9" w:rsidP="009538F9" w:rsidRDefault="009538F9" w14:paraId="4A22AF4F"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000000" w:fill="A6A6A6"/>
            <w:noWrap/>
            <w:hideMark/>
          </w:tcPr>
          <w:p w:rsidRPr="009538F9" w:rsidR="009538F9" w:rsidP="009538F9" w:rsidRDefault="009538F9" w14:paraId="2FAC4BA2" w14:textId="77777777">
            <w:pPr>
              <w:spacing w:after="0" w:line="240" w:lineRule="auto"/>
              <w:rPr>
                <w:rFonts w:ascii="Verdana" w:hAnsi="Verdana" w:eastAsia="Times New Roman" w:cs="Arial"/>
                <w:b/>
                <w:bCs/>
                <w:kern w:val="0"/>
                <w:sz w:val="16"/>
                <w:szCs w:val="16"/>
                <w:lang w:eastAsia="nl-NL"/>
                <w14:ligatures w14:val="none"/>
              </w:rPr>
            </w:pPr>
            <w:r w:rsidRPr="009538F9">
              <w:rPr>
                <w:rFonts w:ascii="Verdana" w:hAnsi="Verdana" w:eastAsia="Times New Roman" w:cs="Arial"/>
                <w:b/>
                <w:bCs/>
                <w:kern w:val="0"/>
                <w:sz w:val="16"/>
                <w:szCs w:val="16"/>
                <w:lang w:eastAsia="nl-NL"/>
                <w14:ligatures w14:val="none"/>
              </w:rPr>
              <w:t>Asiel en migratie</w:t>
            </w:r>
          </w:p>
        </w:tc>
        <w:tc>
          <w:tcPr>
            <w:tcW w:w="2390" w:type="dxa"/>
            <w:tcBorders>
              <w:top w:val="nil"/>
              <w:left w:val="nil"/>
              <w:bottom w:val="single" w:color="auto" w:sz="4" w:space="0"/>
              <w:right w:val="single" w:color="auto" w:sz="4" w:space="0"/>
            </w:tcBorders>
            <w:shd w:val="clear" w:color="000000" w:fill="A6A6A6"/>
            <w:hideMark/>
          </w:tcPr>
          <w:p w:rsidRPr="009538F9" w:rsidR="009538F9" w:rsidP="009538F9" w:rsidRDefault="009538F9" w14:paraId="7FDE48D5"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0D9D226C"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603E3344"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0" w:type="auto"/>
            <w:tcBorders>
              <w:top w:val="nil"/>
              <w:left w:val="nil"/>
              <w:bottom w:val="single" w:color="auto" w:sz="4" w:space="0"/>
              <w:right w:val="single" w:color="auto" w:sz="4" w:space="0"/>
            </w:tcBorders>
            <w:shd w:val="clear" w:color="000000" w:fill="A6A6A6"/>
            <w:hideMark/>
          </w:tcPr>
          <w:p w:rsidRPr="009538F9" w:rsidR="009538F9" w:rsidP="009538F9" w:rsidRDefault="009538F9" w14:paraId="4D41B415"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r>
      <w:tr w:rsidRPr="009538F9" w:rsidR="009538F9" w:rsidTr="009538F9" w14:paraId="3F8BE407" w14:textId="77777777">
        <w:trPr>
          <w:trHeight w:val="3300"/>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4945219B"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023"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7C2718F0"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02F4A308"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Migrantensmokkel (vervoerders)</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7E1F167C"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COM(2021)591</w:t>
            </w:r>
            <w:r w:rsidRPr="009538F9">
              <w:rPr>
                <w:rFonts w:ascii="Verdana" w:hAnsi="Verdana" w:eastAsia="Times New Roman" w:cs="Arial"/>
                <w:kern w:val="0"/>
                <w:sz w:val="16"/>
                <w:szCs w:val="16"/>
                <w:lang w:eastAsia="nl-NL"/>
                <w14:ligatures w14:val="none"/>
              </w:rPr>
              <w:br w:type="page"/>
              <w:t>BNC 3253</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09AE962D"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val="en-US" w:eastAsia="nl-NL"/>
                <w14:ligatures w14:val="none"/>
              </w:rPr>
              <w:t xml:space="preserve">Op 24 </w:t>
            </w:r>
            <w:proofErr w:type="spellStart"/>
            <w:r w:rsidRPr="009538F9">
              <w:rPr>
                <w:rFonts w:ascii="Verdana" w:hAnsi="Verdana" w:eastAsia="Times New Roman" w:cs="Arial"/>
                <w:kern w:val="0"/>
                <w:sz w:val="16"/>
                <w:szCs w:val="16"/>
                <w:lang w:val="en-US" w:eastAsia="nl-NL"/>
                <w14:ligatures w14:val="none"/>
              </w:rPr>
              <w:t>november</w:t>
            </w:r>
            <w:proofErr w:type="spellEnd"/>
            <w:r w:rsidRPr="009538F9">
              <w:rPr>
                <w:rFonts w:ascii="Verdana" w:hAnsi="Verdana" w:eastAsia="Times New Roman" w:cs="Arial"/>
                <w:kern w:val="0"/>
                <w:sz w:val="16"/>
                <w:szCs w:val="16"/>
                <w:lang w:val="en-US" w:eastAsia="nl-NL"/>
                <w14:ligatures w14:val="none"/>
              </w:rPr>
              <w:t xml:space="preserve"> 2021 </w:t>
            </w:r>
            <w:proofErr w:type="spellStart"/>
            <w:r w:rsidRPr="009538F9">
              <w:rPr>
                <w:rFonts w:ascii="Verdana" w:hAnsi="Verdana" w:eastAsia="Times New Roman" w:cs="Arial"/>
                <w:kern w:val="0"/>
                <w:sz w:val="16"/>
                <w:szCs w:val="16"/>
                <w:lang w:val="en-US" w:eastAsia="nl-NL"/>
                <w14:ligatures w14:val="none"/>
              </w:rPr>
              <w:t>heeft</w:t>
            </w:r>
            <w:proofErr w:type="spellEnd"/>
            <w:r w:rsidRPr="009538F9">
              <w:rPr>
                <w:rFonts w:ascii="Verdana" w:hAnsi="Verdana" w:eastAsia="Times New Roman" w:cs="Arial"/>
                <w:kern w:val="0"/>
                <w:sz w:val="16"/>
                <w:szCs w:val="16"/>
                <w:lang w:val="en-US" w:eastAsia="nl-NL"/>
                <w14:ligatures w14:val="none"/>
              </w:rPr>
              <w:t xml:space="preserve"> de </w:t>
            </w:r>
            <w:proofErr w:type="spellStart"/>
            <w:r w:rsidRPr="009538F9">
              <w:rPr>
                <w:rFonts w:ascii="Verdana" w:hAnsi="Verdana" w:eastAsia="Times New Roman" w:cs="Arial"/>
                <w:kern w:val="0"/>
                <w:sz w:val="16"/>
                <w:szCs w:val="16"/>
                <w:lang w:val="en-US" w:eastAsia="nl-NL"/>
                <w14:ligatures w14:val="none"/>
              </w:rPr>
              <w:t>Europese</w:t>
            </w:r>
            <w:proofErr w:type="spellEnd"/>
            <w:r w:rsidRPr="009538F9">
              <w:rPr>
                <w:rFonts w:ascii="Verdana" w:hAnsi="Verdana" w:eastAsia="Times New Roman" w:cs="Arial"/>
                <w:kern w:val="0"/>
                <w:sz w:val="16"/>
                <w:szCs w:val="16"/>
                <w:lang w:val="en-US" w:eastAsia="nl-NL"/>
                <w14:ligatures w14:val="none"/>
              </w:rPr>
              <w:t xml:space="preserve"> </w:t>
            </w:r>
            <w:proofErr w:type="spellStart"/>
            <w:r w:rsidRPr="009538F9">
              <w:rPr>
                <w:rFonts w:ascii="Verdana" w:hAnsi="Verdana" w:eastAsia="Times New Roman" w:cs="Arial"/>
                <w:kern w:val="0"/>
                <w:sz w:val="16"/>
                <w:szCs w:val="16"/>
                <w:lang w:val="en-US" w:eastAsia="nl-NL"/>
                <w14:ligatures w14:val="none"/>
              </w:rPr>
              <w:t>Commissie</w:t>
            </w:r>
            <w:proofErr w:type="spellEnd"/>
            <w:r w:rsidRPr="009538F9">
              <w:rPr>
                <w:rFonts w:ascii="Verdana" w:hAnsi="Verdana" w:eastAsia="Times New Roman" w:cs="Arial"/>
                <w:kern w:val="0"/>
                <w:sz w:val="16"/>
                <w:szCs w:val="16"/>
                <w:lang w:val="en-US" w:eastAsia="nl-NL"/>
                <w14:ligatures w14:val="none"/>
              </w:rPr>
              <w:t xml:space="preserve"> de </w:t>
            </w:r>
            <w:proofErr w:type="spellStart"/>
            <w:r w:rsidRPr="009538F9">
              <w:rPr>
                <w:rFonts w:ascii="Verdana" w:hAnsi="Verdana" w:eastAsia="Times New Roman" w:cs="Arial"/>
                <w:kern w:val="0"/>
                <w:sz w:val="16"/>
                <w:szCs w:val="16"/>
                <w:lang w:val="en-US" w:eastAsia="nl-NL"/>
                <w14:ligatures w14:val="none"/>
              </w:rPr>
              <w:t>Verordening¨measures</w:t>
            </w:r>
            <w:proofErr w:type="spellEnd"/>
            <w:r w:rsidRPr="009538F9">
              <w:rPr>
                <w:rFonts w:ascii="Verdana" w:hAnsi="Verdana" w:eastAsia="Times New Roman" w:cs="Arial"/>
                <w:kern w:val="0"/>
                <w:sz w:val="16"/>
                <w:szCs w:val="16"/>
                <w:lang w:val="en-US" w:eastAsia="nl-NL"/>
                <w14:ligatures w14:val="none"/>
              </w:rPr>
              <w:t xml:space="preserve"> against transport operators that facilitate or engage in trafficking in persons or smuggling of migrants in relation to illegal entry into the territory of the European Union¨ </w:t>
            </w:r>
            <w:proofErr w:type="spellStart"/>
            <w:r w:rsidRPr="009538F9">
              <w:rPr>
                <w:rFonts w:ascii="Verdana" w:hAnsi="Verdana" w:eastAsia="Times New Roman" w:cs="Arial"/>
                <w:kern w:val="0"/>
                <w:sz w:val="16"/>
                <w:szCs w:val="16"/>
                <w:lang w:val="en-US" w:eastAsia="nl-NL"/>
                <w14:ligatures w14:val="none"/>
              </w:rPr>
              <w:t>gepresenteerd</w:t>
            </w:r>
            <w:proofErr w:type="spellEnd"/>
            <w:r w:rsidRPr="009538F9">
              <w:rPr>
                <w:rFonts w:ascii="Verdana" w:hAnsi="Verdana" w:eastAsia="Times New Roman" w:cs="Arial"/>
                <w:kern w:val="0"/>
                <w:sz w:val="16"/>
                <w:szCs w:val="16"/>
                <w:lang w:val="en-US" w:eastAsia="nl-NL"/>
                <w14:ligatures w14:val="none"/>
              </w:rPr>
              <w:t xml:space="preserve">. </w:t>
            </w:r>
            <w:r w:rsidRPr="009538F9">
              <w:rPr>
                <w:rFonts w:ascii="Verdana" w:hAnsi="Verdana" w:eastAsia="Times New Roman" w:cs="Arial"/>
                <w:kern w:val="0"/>
                <w:sz w:val="16"/>
                <w:szCs w:val="16"/>
                <w:lang w:eastAsia="nl-NL"/>
                <w14:ligatures w14:val="none"/>
              </w:rPr>
              <w:t xml:space="preserve">Kabinetsappreciatie is op 10 december 2021 naar de Kamer verzonden. Deze kabinetsappreciatie verving een BNC-fiche over dit voorstel. De onderhandeling over het voorstel zijn gaande. Vanaf begin 2025 gaan de onderhandelingen (die plaatsvonden in RELEX, een vervoers-gremium) worden voortgezet in Raadswerkgroep in JBZ-verband. </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09C401F6"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Met het voorstel beoogt de Commissie vervoerders die mensenhandel of -smokkel faciliteren aan te pakken. Het voorstel is gedaan in het kader van het tegengaan van </w:t>
            </w:r>
            <w:proofErr w:type="spellStart"/>
            <w:r w:rsidRPr="009538F9">
              <w:rPr>
                <w:rFonts w:ascii="Verdana" w:hAnsi="Verdana" w:eastAsia="Times New Roman" w:cs="Arial"/>
                <w:kern w:val="0"/>
                <w:sz w:val="16"/>
                <w:szCs w:val="16"/>
                <w:lang w:eastAsia="nl-NL"/>
                <w14:ligatures w14:val="none"/>
              </w:rPr>
              <w:t>instrumentalisatie</w:t>
            </w:r>
            <w:proofErr w:type="spellEnd"/>
            <w:r w:rsidRPr="009538F9">
              <w:rPr>
                <w:rFonts w:ascii="Verdana" w:hAnsi="Verdana" w:eastAsia="Times New Roman" w:cs="Arial"/>
                <w:kern w:val="0"/>
                <w:sz w:val="16"/>
                <w:szCs w:val="16"/>
                <w:lang w:eastAsia="nl-NL"/>
                <w14:ligatures w14:val="none"/>
              </w:rPr>
              <w:t xml:space="preserve"> van migratiestromen.  </w:t>
            </w:r>
          </w:p>
        </w:tc>
      </w:tr>
      <w:tr w:rsidRPr="009538F9" w:rsidR="009538F9" w:rsidTr="009538F9" w14:paraId="670C89EF" w14:textId="77777777">
        <w:trPr>
          <w:trHeight w:val="2412"/>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74B7BA14"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023"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476A93C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5EB49668"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Voorstel voor een richtlijn van het Europees Parlement en de Raad inzake gemeenschappelijke normen en procedures in de lidstaten voor de terugkeer van illegaal verblijvende onderdanen van derde landen </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50FAEE72"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COM (2018) 634  </w:t>
            </w:r>
            <w:r w:rsidRPr="009538F9">
              <w:rPr>
                <w:rFonts w:ascii="Verdana" w:hAnsi="Verdana" w:eastAsia="Times New Roman" w:cs="Arial"/>
                <w:kern w:val="0"/>
                <w:sz w:val="16"/>
                <w:szCs w:val="16"/>
                <w:lang w:eastAsia="nl-NL"/>
                <w14:ligatures w14:val="none"/>
              </w:rPr>
              <w:br/>
              <w:t>BNC 2717</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459A5D03"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Uw Kamer is per BNC-fiche geïnformeerd over het kabinetsstandpunt. In 2018 werd een gedeeltelijke Raadspositie bereikt. Het EP heeft nog altijd geen positie ingenomen. De Europese Commissie heeft, mede op aandringen van lidstaten als Nederland, op 12 maart 2025 een nieuw wetsvoorstel gepubliceerd. Dit wetsvoorstel zal worden ingetrokken.</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4DEF0E83"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Dit voorstel maakt geen deel uit van de serie voorstellen die de Commissie op 23 september 2020 publiceerde op het gebied van asiel en migratie. Zoals ook is benadrukt in de motie Becker - Van Torenburg dient wat het kabinet betreft deze herziening in nauwe samenhang te worden bezien met de andere voorstellen die recent door de Commissie zijn gedaan. Via de aangenomen motie </w:t>
            </w:r>
            <w:proofErr w:type="spellStart"/>
            <w:r w:rsidRPr="009538F9">
              <w:rPr>
                <w:rFonts w:ascii="Verdana" w:hAnsi="Verdana" w:eastAsia="Times New Roman" w:cs="Arial"/>
                <w:kern w:val="0"/>
                <w:sz w:val="16"/>
                <w:szCs w:val="16"/>
                <w:lang w:eastAsia="nl-NL"/>
                <w14:ligatures w14:val="none"/>
              </w:rPr>
              <w:t>Biscchop</w:t>
            </w:r>
            <w:proofErr w:type="spellEnd"/>
            <w:r w:rsidRPr="009538F9">
              <w:rPr>
                <w:rFonts w:ascii="Verdana" w:hAnsi="Verdana" w:eastAsia="Times New Roman" w:cs="Arial"/>
                <w:kern w:val="0"/>
                <w:sz w:val="16"/>
                <w:szCs w:val="16"/>
                <w:lang w:eastAsia="nl-NL"/>
                <w14:ligatures w14:val="none"/>
              </w:rPr>
              <w:t xml:space="preserve"> heet de Kamer het kabinet opgeroepen zich in te zetten voor snelle afronding van deze richtlijn.</w:t>
            </w:r>
          </w:p>
        </w:tc>
      </w:tr>
      <w:tr w:rsidRPr="009538F9" w:rsidR="009538F9" w:rsidTr="009538F9" w14:paraId="31BF40F0" w14:textId="77777777">
        <w:trPr>
          <w:trHeight w:val="4752"/>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67148790"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19A1952D"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66E4AE78"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Voorstel voor de richtlijn inzake de status van </w:t>
            </w:r>
            <w:proofErr w:type="spellStart"/>
            <w:r w:rsidRPr="009538F9">
              <w:rPr>
                <w:rFonts w:ascii="Verdana" w:hAnsi="Verdana" w:eastAsia="Times New Roman" w:cs="Arial"/>
                <w:kern w:val="0"/>
                <w:sz w:val="16"/>
                <w:szCs w:val="16"/>
                <w:lang w:eastAsia="nl-NL"/>
                <w14:ligatures w14:val="none"/>
              </w:rPr>
              <w:t>landurig</w:t>
            </w:r>
            <w:proofErr w:type="spellEnd"/>
            <w:r w:rsidRPr="009538F9">
              <w:rPr>
                <w:rFonts w:ascii="Verdana" w:hAnsi="Verdana" w:eastAsia="Times New Roman" w:cs="Arial"/>
                <w:kern w:val="0"/>
                <w:sz w:val="16"/>
                <w:szCs w:val="16"/>
                <w:lang w:eastAsia="nl-NL"/>
                <w14:ligatures w14:val="none"/>
              </w:rPr>
              <w:t xml:space="preserve"> ingezetene derdelanders</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6E062A9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 (2022) 650</w:t>
            </w:r>
            <w:r w:rsidRPr="009538F9">
              <w:rPr>
                <w:rFonts w:ascii="Verdana" w:hAnsi="Verdana" w:eastAsia="Times New Roman" w:cs="Arial"/>
                <w:kern w:val="0"/>
                <w:sz w:val="16"/>
                <w:szCs w:val="16"/>
                <w:lang w:eastAsia="nl-NL"/>
                <w14:ligatures w14:val="none"/>
              </w:rPr>
              <w:br/>
              <w:t>BNC 3439</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7D9D3D31"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In april 2022 heeft de Commissie het voorstel gepresenteerd. De Kamer heeft op 13 juni 2022 het BNC-fiche ontvangen (Kamerstuk 22 112, nr. 3439). Onderhandelingen in de Raad zijn gaande. De Raad heeft in december 2023 een Raadspositie ingenomen. Vervolgens is in 2024 de </w:t>
            </w:r>
            <w:proofErr w:type="spellStart"/>
            <w:r w:rsidRPr="009538F9">
              <w:rPr>
                <w:rFonts w:ascii="Verdana" w:hAnsi="Verdana" w:eastAsia="Times New Roman" w:cs="Arial"/>
                <w:kern w:val="0"/>
                <w:sz w:val="16"/>
                <w:szCs w:val="16"/>
                <w:lang w:eastAsia="nl-NL"/>
                <w14:ligatures w14:val="none"/>
              </w:rPr>
              <w:t>triloog</w:t>
            </w:r>
            <w:proofErr w:type="spellEnd"/>
            <w:r w:rsidRPr="009538F9">
              <w:rPr>
                <w:rFonts w:ascii="Verdana" w:hAnsi="Verdana" w:eastAsia="Times New Roman" w:cs="Arial"/>
                <w:kern w:val="0"/>
                <w:sz w:val="16"/>
                <w:szCs w:val="16"/>
                <w:lang w:eastAsia="nl-NL"/>
                <w14:ligatures w14:val="none"/>
              </w:rPr>
              <w:t xml:space="preserve"> gestart. Omdat Raad en EP geen tijdige overeenstemming wisten te bereiken voorafgaand aan de EP verkiezingen, liggen de onderhandelingen sinds maart 2024 stil. Het </w:t>
            </w:r>
            <w:proofErr w:type="spellStart"/>
            <w:r w:rsidRPr="009538F9">
              <w:rPr>
                <w:rFonts w:ascii="Verdana" w:hAnsi="Verdana" w:eastAsia="Times New Roman" w:cs="Arial"/>
                <w:kern w:val="0"/>
                <w:sz w:val="16"/>
                <w:szCs w:val="16"/>
                <w:lang w:eastAsia="nl-NL"/>
                <w14:ligatures w14:val="none"/>
              </w:rPr>
              <w:t>Vzs</w:t>
            </w:r>
            <w:proofErr w:type="spellEnd"/>
            <w:r w:rsidRPr="009538F9">
              <w:rPr>
                <w:rFonts w:ascii="Verdana" w:hAnsi="Verdana" w:eastAsia="Times New Roman" w:cs="Arial"/>
                <w:kern w:val="0"/>
                <w:sz w:val="16"/>
                <w:szCs w:val="16"/>
                <w:lang w:eastAsia="nl-NL"/>
                <w14:ligatures w14:val="none"/>
              </w:rPr>
              <w:t xml:space="preserve"> heeft begin 2025 binnen de Raad geïntensiveerd of er voldoende draagvlak en mogelijkheden zijn om de </w:t>
            </w:r>
            <w:proofErr w:type="spellStart"/>
            <w:r w:rsidRPr="009538F9">
              <w:rPr>
                <w:rFonts w:ascii="Verdana" w:hAnsi="Verdana" w:eastAsia="Times New Roman" w:cs="Arial"/>
                <w:kern w:val="0"/>
                <w:sz w:val="16"/>
                <w:szCs w:val="16"/>
                <w:lang w:eastAsia="nl-NL"/>
                <w14:ligatures w14:val="none"/>
              </w:rPr>
              <w:t>triloog</w:t>
            </w:r>
            <w:proofErr w:type="spellEnd"/>
            <w:r w:rsidRPr="009538F9">
              <w:rPr>
                <w:rFonts w:ascii="Verdana" w:hAnsi="Verdana" w:eastAsia="Times New Roman" w:cs="Arial"/>
                <w:kern w:val="0"/>
                <w:sz w:val="16"/>
                <w:szCs w:val="16"/>
                <w:lang w:eastAsia="nl-NL"/>
                <w14:ligatures w14:val="none"/>
              </w:rPr>
              <w:t xml:space="preserve"> met het EP te herstarten. Het VZS concludeerde in maart 2025 dat dit draagvlak er momenteel niet is, daarmee wordt de </w:t>
            </w:r>
            <w:proofErr w:type="spellStart"/>
            <w:r w:rsidRPr="009538F9">
              <w:rPr>
                <w:rFonts w:ascii="Verdana" w:hAnsi="Verdana" w:eastAsia="Times New Roman" w:cs="Arial"/>
                <w:kern w:val="0"/>
                <w:sz w:val="16"/>
                <w:szCs w:val="16"/>
                <w:lang w:eastAsia="nl-NL"/>
                <w14:ligatures w14:val="none"/>
              </w:rPr>
              <w:t>triloog</w:t>
            </w:r>
            <w:proofErr w:type="spellEnd"/>
            <w:r w:rsidRPr="009538F9">
              <w:rPr>
                <w:rFonts w:ascii="Verdana" w:hAnsi="Verdana" w:eastAsia="Times New Roman" w:cs="Arial"/>
                <w:kern w:val="0"/>
                <w:sz w:val="16"/>
                <w:szCs w:val="16"/>
                <w:lang w:eastAsia="nl-NL"/>
                <w14:ligatures w14:val="none"/>
              </w:rPr>
              <w:t xml:space="preserve"> op dit moment vermoedelijk niet hervat. </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14418CB2"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voorstel beoogt een doeltreffend, samenhangend en eerlijk systeem voor het </w:t>
            </w:r>
            <w:proofErr w:type="spellStart"/>
            <w:r w:rsidRPr="009538F9">
              <w:rPr>
                <w:rFonts w:ascii="Verdana" w:hAnsi="Verdana" w:eastAsia="Times New Roman" w:cs="Arial"/>
                <w:kern w:val="0"/>
                <w:sz w:val="16"/>
                <w:szCs w:val="16"/>
                <w:lang w:eastAsia="nl-NL"/>
                <w14:ligatures w14:val="none"/>
              </w:rPr>
              <w:t>verkijgen</w:t>
            </w:r>
            <w:proofErr w:type="spellEnd"/>
            <w:r w:rsidRPr="009538F9">
              <w:rPr>
                <w:rFonts w:ascii="Verdana" w:hAnsi="Verdana" w:eastAsia="Times New Roman" w:cs="Arial"/>
                <w:kern w:val="0"/>
                <w:sz w:val="16"/>
                <w:szCs w:val="16"/>
                <w:lang w:eastAsia="nl-NL"/>
                <w14:ligatures w14:val="none"/>
              </w:rPr>
              <w:t xml:space="preserve"> van de status van langdurige ingezetene van de EU tot stand te brengen voor personen van derde landen die zich legaal en duurzaam in de EU hebben gevestigd.</w:t>
            </w:r>
            <w:r w:rsidRPr="009538F9">
              <w:rPr>
                <w:rFonts w:ascii="Verdana" w:hAnsi="Verdana" w:eastAsia="Times New Roman" w:cs="Arial"/>
                <w:kern w:val="0"/>
                <w:sz w:val="16"/>
                <w:szCs w:val="16"/>
                <w:lang w:eastAsia="nl-NL"/>
                <w14:ligatures w14:val="none"/>
              </w:rPr>
              <w:br/>
            </w:r>
            <w:r w:rsidRPr="009538F9">
              <w:rPr>
                <w:rFonts w:ascii="Verdana" w:hAnsi="Verdana" w:eastAsia="Times New Roman" w:cs="Arial"/>
                <w:kern w:val="0"/>
                <w:sz w:val="16"/>
                <w:szCs w:val="16"/>
                <w:lang w:eastAsia="nl-NL"/>
                <w14:ligatures w14:val="none"/>
              </w:rPr>
              <w:br/>
              <w:t>Met het voorstel wordt beoogd het gemakkelijker te maken de status van langdurig ingezetene van de EU te verkrijgen, door o.a. het cumuleren van verblijf in verschillende Lidstaten en door te verduidelijken dat alle perioden van legaal verblijf volledig in aanmerking moeten worden genomen - m.u.v. kort verblijf op basis van een visum.</w:t>
            </w:r>
            <w:r w:rsidRPr="009538F9">
              <w:rPr>
                <w:rFonts w:ascii="Verdana" w:hAnsi="Verdana" w:eastAsia="Times New Roman" w:cs="Arial"/>
                <w:kern w:val="0"/>
                <w:sz w:val="16"/>
                <w:szCs w:val="16"/>
                <w:lang w:eastAsia="nl-NL"/>
                <w14:ligatures w14:val="none"/>
              </w:rPr>
              <w:br/>
            </w:r>
            <w:r w:rsidRPr="009538F9">
              <w:rPr>
                <w:rFonts w:ascii="Verdana" w:hAnsi="Verdana" w:eastAsia="Times New Roman" w:cs="Arial"/>
                <w:kern w:val="0"/>
                <w:sz w:val="16"/>
                <w:szCs w:val="16"/>
                <w:lang w:eastAsia="nl-NL"/>
                <w14:ligatures w14:val="none"/>
              </w:rPr>
              <w:br/>
              <w:t>Het voorstel heeft ook tot doel de rechten van langdurig ingezetenen en hun gezinsleden te versterken om de aantrekkelijkheid van de EU voor buitenlands talent te verbeteren.</w:t>
            </w:r>
            <w:r w:rsidRPr="009538F9">
              <w:rPr>
                <w:rFonts w:ascii="Verdana" w:hAnsi="Verdana" w:eastAsia="Times New Roman" w:cs="Arial"/>
                <w:kern w:val="0"/>
                <w:sz w:val="16"/>
                <w:szCs w:val="16"/>
                <w:lang w:eastAsia="nl-NL"/>
                <w14:ligatures w14:val="none"/>
              </w:rPr>
              <w:br/>
            </w:r>
            <w:r w:rsidRPr="009538F9">
              <w:rPr>
                <w:rFonts w:ascii="Verdana" w:hAnsi="Verdana" w:eastAsia="Times New Roman" w:cs="Arial"/>
                <w:kern w:val="0"/>
                <w:sz w:val="16"/>
                <w:szCs w:val="16"/>
                <w:lang w:eastAsia="nl-NL"/>
                <w14:ligatures w14:val="none"/>
              </w:rPr>
              <w:br/>
              <w:t>Het voorstel voorziet bovendien in een mechanisme dat een gelijk speelveld tot stand moet brengen tussen de EU-vergunning voor langdurig verblijf en de nationale vergunningen voor permanent verblijf wat betreft procedures, en faciliteert circulaire migratie.</w:t>
            </w:r>
          </w:p>
        </w:tc>
      </w:tr>
      <w:tr w:rsidRPr="009538F9" w:rsidR="009538F9" w:rsidTr="009538F9" w14:paraId="0C1A7384" w14:textId="77777777">
        <w:trPr>
          <w:trHeight w:val="2798"/>
        </w:trPr>
        <w:tc>
          <w:tcPr>
            <w:tcW w:w="2972" w:type="dxa"/>
            <w:tcBorders>
              <w:top w:val="nil"/>
              <w:left w:val="single" w:color="auto" w:sz="4" w:space="0"/>
              <w:bottom w:val="single" w:color="auto" w:sz="4" w:space="0"/>
              <w:right w:val="single" w:color="auto" w:sz="4" w:space="0"/>
            </w:tcBorders>
            <w:shd w:val="clear" w:color="000000" w:fill="FF99CC"/>
            <w:noWrap/>
            <w:hideMark/>
          </w:tcPr>
          <w:p w:rsidRPr="009538F9" w:rsidR="009538F9" w:rsidP="009538F9" w:rsidRDefault="009538F9" w14:paraId="112AFA7A"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lastRenderedPageBreak/>
              <w:t> </w:t>
            </w:r>
          </w:p>
        </w:tc>
        <w:tc>
          <w:tcPr>
            <w:tcW w:w="2023"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38D7D225"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000000" w:fill="FFFFFF"/>
            <w:hideMark/>
          </w:tcPr>
          <w:p w:rsidRPr="009538F9" w:rsidR="009538F9" w:rsidP="009538F9" w:rsidRDefault="009538F9" w14:paraId="4AA59548"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Voorstel herziening opschortingsmechanisme voor visumvrije derde landen</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4D5CBBB4"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 (2023) 642 BNC 3840</w:t>
            </w:r>
          </w:p>
        </w:tc>
        <w:tc>
          <w:tcPr>
            <w:tcW w:w="0" w:type="auto"/>
            <w:tcBorders>
              <w:top w:val="nil"/>
              <w:left w:val="nil"/>
              <w:bottom w:val="single" w:color="auto" w:sz="4" w:space="0"/>
              <w:right w:val="single" w:color="auto" w:sz="4" w:space="0"/>
            </w:tcBorders>
            <w:shd w:val="clear" w:color="000000" w:fill="FFFFFF"/>
            <w:hideMark/>
          </w:tcPr>
          <w:p w:rsidRPr="009538F9" w:rsidR="009538F9" w:rsidP="009538F9" w:rsidRDefault="009538F9" w14:paraId="7999CC57"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Op 18 oktober 2023 heeft de Commissie het voorstel gepubliceerd. Het BNC-fiche is in december 2023 aan de TK verzonden. De Raad heeft op 13 maart 2024 positie ingenomen. Op 19 maart 205 nam de LIBE commissie van het EP en autoriseerde tevens de start van de onderhandelingen met de Raad. In de plenaire sessie van april zal het EP naar verwachting hun positie formeel aannemen. </w:t>
            </w:r>
          </w:p>
        </w:tc>
        <w:tc>
          <w:tcPr>
            <w:tcW w:w="0" w:type="auto"/>
            <w:tcBorders>
              <w:top w:val="nil"/>
              <w:left w:val="nil"/>
              <w:bottom w:val="nil"/>
              <w:right w:val="nil"/>
            </w:tcBorders>
            <w:shd w:val="clear" w:color="000000" w:fill="FFFFFF"/>
            <w:hideMark/>
          </w:tcPr>
          <w:p w:rsidRPr="009538F9" w:rsidR="009538F9" w:rsidP="009538F9" w:rsidRDefault="009538F9" w14:paraId="1C4131A6" w14:textId="77777777">
            <w:pPr>
              <w:spacing w:after="0" w:line="240" w:lineRule="auto"/>
              <w:rPr>
                <w:rFonts w:ascii="Verdana" w:hAnsi="Verdana" w:eastAsia="Times New Roman" w:cs="Arial"/>
                <w:color w:val="333333"/>
                <w:kern w:val="0"/>
                <w:sz w:val="16"/>
                <w:szCs w:val="16"/>
                <w:lang w:eastAsia="nl-NL"/>
                <w14:ligatures w14:val="none"/>
              </w:rPr>
            </w:pPr>
            <w:r w:rsidRPr="009538F9">
              <w:rPr>
                <w:rFonts w:ascii="Verdana" w:hAnsi="Verdana" w:eastAsia="Times New Roman" w:cs="Arial"/>
                <w:color w:val="333333"/>
                <w:kern w:val="0"/>
                <w:sz w:val="16"/>
                <w:szCs w:val="16"/>
                <w:lang w:eastAsia="nl-NL"/>
                <w14:ligatures w14:val="none"/>
              </w:rPr>
              <w:t xml:space="preserve">Om de vele uitdagingen als gevolg van visumvrij reizen in een voortdurend veranderende geopolitieke context doeltreffend aan te pakken beoogt dit voorstel het opschortingsmechanisme toekomstbestendig te maken door de desbetreffende bepalingen van artikel 8 van Verordening (EU) 2018/1806 te wijzigen. De reikwijdte en effectiviteit van het mechanisme worden herzien, waaronder verruiming van de gronden waarop visumvrijstelling kan worden opgeschort. </w:t>
            </w:r>
          </w:p>
        </w:tc>
      </w:tr>
      <w:tr w:rsidRPr="009538F9" w:rsidR="009538F9" w:rsidTr="009538F9" w14:paraId="3BE78BF5" w14:textId="77777777">
        <w:trPr>
          <w:trHeight w:val="3278"/>
        </w:trPr>
        <w:tc>
          <w:tcPr>
            <w:tcW w:w="2972" w:type="dxa"/>
            <w:tcBorders>
              <w:top w:val="nil"/>
              <w:left w:val="single" w:color="auto" w:sz="4" w:space="0"/>
              <w:bottom w:val="single" w:color="auto" w:sz="4" w:space="0"/>
              <w:right w:val="single" w:color="auto" w:sz="4" w:space="0"/>
            </w:tcBorders>
            <w:shd w:val="clear" w:color="000000" w:fill="FF99CC"/>
            <w:hideMark/>
          </w:tcPr>
          <w:p w:rsidRPr="009538F9" w:rsidR="009538F9" w:rsidP="009538F9" w:rsidRDefault="009538F9" w14:paraId="6DCE49FF"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2023" w:type="dxa"/>
            <w:tcBorders>
              <w:top w:val="nil"/>
              <w:left w:val="nil"/>
              <w:bottom w:val="single" w:color="auto" w:sz="4" w:space="0"/>
              <w:right w:val="single" w:color="auto" w:sz="4" w:space="0"/>
            </w:tcBorders>
            <w:shd w:val="clear" w:color="auto" w:fill="auto"/>
            <w:hideMark/>
          </w:tcPr>
          <w:p w:rsidRPr="009538F9" w:rsidR="009538F9" w:rsidP="009538F9" w:rsidRDefault="009538F9" w14:paraId="1DF99A93" w14:textId="77777777">
            <w:pPr>
              <w:spacing w:after="0" w:line="240" w:lineRule="auto"/>
              <w:rPr>
                <w:rFonts w:ascii="Verdana" w:hAnsi="Verdana" w:eastAsia="Times New Roman" w:cs="Arial"/>
                <w:kern w:val="0"/>
                <w:sz w:val="22"/>
                <w:szCs w:val="22"/>
                <w:lang w:eastAsia="nl-NL"/>
                <w14:ligatures w14:val="none"/>
              </w:rPr>
            </w:pPr>
            <w:r w:rsidRPr="009538F9">
              <w:rPr>
                <w:rFonts w:ascii="Verdana" w:hAnsi="Verdana" w:eastAsia="Times New Roman" w:cs="Arial"/>
                <w:kern w:val="0"/>
                <w:sz w:val="22"/>
                <w:szCs w:val="22"/>
                <w:lang w:eastAsia="nl-NL"/>
                <w14:ligatures w14:val="none"/>
              </w:rPr>
              <w:t> </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0BABB247"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Voorstel verordening tot vaststelling van een applicatie voor de elektronische indiening van reisgegevens (“digitale reisapplicatie van de EU”) en tot wijziging van de Verordeningen (EU) 2016/399 en (EU) 2018/1726 van het Europees Parlement en de Raad en van Verordening (EG) nr. 2252/2004 van de Raad, wat het gebruik van digitale </w:t>
            </w:r>
            <w:proofErr w:type="spellStart"/>
            <w:r w:rsidRPr="009538F9">
              <w:rPr>
                <w:rFonts w:ascii="Verdana" w:hAnsi="Verdana" w:eastAsia="Times New Roman" w:cs="Arial"/>
                <w:kern w:val="0"/>
                <w:sz w:val="16"/>
                <w:szCs w:val="16"/>
                <w:lang w:eastAsia="nl-NL"/>
                <w14:ligatures w14:val="none"/>
              </w:rPr>
              <w:t>reiscredentials</w:t>
            </w:r>
            <w:proofErr w:type="spellEnd"/>
            <w:r w:rsidRPr="009538F9">
              <w:rPr>
                <w:rFonts w:ascii="Verdana" w:hAnsi="Verdana" w:eastAsia="Times New Roman" w:cs="Arial"/>
                <w:kern w:val="0"/>
                <w:sz w:val="16"/>
                <w:szCs w:val="16"/>
                <w:lang w:eastAsia="nl-NL"/>
                <w14:ligatures w14:val="none"/>
              </w:rPr>
              <w:t xml:space="preserve"> betreft</w:t>
            </w:r>
          </w:p>
        </w:tc>
        <w:tc>
          <w:tcPr>
            <w:tcW w:w="0" w:type="auto"/>
            <w:tcBorders>
              <w:top w:val="nil"/>
              <w:left w:val="nil"/>
              <w:bottom w:val="nil"/>
              <w:right w:val="nil"/>
            </w:tcBorders>
            <w:shd w:val="clear" w:color="auto" w:fill="auto"/>
            <w:hideMark/>
          </w:tcPr>
          <w:p w:rsidRPr="009538F9" w:rsidR="009538F9" w:rsidP="009538F9" w:rsidRDefault="009538F9" w14:paraId="54E2FC19" w14:textId="77777777">
            <w:pPr>
              <w:spacing w:after="0" w:line="240" w:lineRule="auto"/>
              <w:rPr>
                <w:rFonts w:ascii="Verdana" w:hAnsi="Verdana" w:eastAsia="Times New Roman" w:cs="Arial"/>
                <w:color w:val="000000"/>
                <w:kern w:val="0"/>
                <w:sz w:val="16"/>
                <w:szCs w:val="16"/>
                <w:lang w:eastAsia="nl-NL"/>
                <w14:ligatures w14:val="none"/>
              </w:rPr>
            </w:pPr>
            <w:r w:rsidRPr="009538F9">
              <w:rPr>
                <w:rFonts w:ascii="Verdana" w:hAnsi="Verdana" w:eastAsia="Times New Roman" w:cs="Arial"/>
                <w:color w:val="000000"/>
                <w:kern w:val="0"/>
                <w:sz w:val="16"/>
                <w:szCs w:val="16"/>
                <w:lang w:eastAsia="nl-NL"/>
                <w14:ligatures w14:val="none"/>
              </w:rPr>
              <w:t xml:space="preserve">COM(2024) 670 </w:t>
            </w:r>
            <w:proofErr w:type="spellStart"/>
            <w:r w:rsidRPr="009538F9">
              <w:rPr>
                <w:rFonts w:ascii="Verdana" w:hAnsi="Verdana" w:eastAsia="Times New Roman" w:cs="Arial"/>
                <w:color w:val="000000"/>
                <w:kern w:val="0"/>
                <w:sz w:val="16"/>
                <w:szCs w:val="16"/>
                <w:lang w:eastAsia="nl-NL"/>
                <w14:ligatures w14:val="none"/>
              </w:rPr>
              <w:t>final</w:t>
            </w:r>
            <w:proofErr w:type="spellEnd"/>
            <w:r w:rsidRPr="009538F9">
              <w:rPr>
                <w:rFonts w:ascii="Verdana" w:hAnsi="Verdana" w:eastAsia="Times New Roman" w:cs="Arial"/>
                <w:color w:val="000000"/>
                <w:kern w:val="0"/>
                <w:sz w:val="16"/>
                <w:szCs w:val="16"/>
                <w:lang w:eastAsia="nl-NL"/>
                <w14:ligatures w14:val="none"/>
              </w:rPr>
              <w:t xml:space="preserve">  BNC 3982</w:t>
            </w:r>
          </w:p>
        </w:tc>
        <w:tc>
          <w:tcPr>
            <w:tcW w:w="0" w:type="auto"/>
            <w:tcBorders>
              <w:top w:val="nil"/>
              <w:left w:val="single" w:color="auto" w:sz="4" w:space="0"/>
              <w:bottom w:val="single" w:color="auto" w:sz="4" w:space="0"/>
              <w:right w:val="single" w:color="auto" w:sz="4" w:space="0"/>
            </w:tcBorders>
            <w:shd w:val="clear" w:color="000000" w:fill="FFFFFF"/>
            <w:hideMark/>
          </w:tcPr>
          <w:p w:rsidRPr="009538F9" w:rsidR="009538F9" w:rsidP="009538F9" w:rsidRDefault="009538F9" w14:paraId="22EE2EAA"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Op 8 oktober 2024 heeft de Commissie het voorstel gepubliceerd. Het BNC-fiche is op 13 november 2024 aan uw Kamer verzonden. Sinds begin 2025 worden de onderhandelingen voortgezet in de Raadswerkgroep Grenzen.  Deze onderhandelingen zijn momenteel nog in de beginfase. Er is gestart met de artikelsgewijze bespreking in de betreffende Raadswerkgroep. </w:t>
            </w:r>
          </w:p>
        </w:tc>
        <w:tc>
          <w:tcPr>
            <w:tcW w:w="0" w:type="auto"/>
            <w:tcBorders>
              <w:top w:val="single" w:color="auto" w:sz="4" w:space="0"/>
              <w:left w:val="nil"/>
              <w:bottom w:val="single" w:color="auto" w:sz="4" w:space="0"/>
              <w:right w:val="single" w:color="auto" w:sz="4" w:space="0"/>
            </w:tcBorders>
            <w:shd w:val="clear" w:color="auto" w:fill="auto"/>
            <w:hideMark/>
          </w:tcPr>
          <w:p w:rsidRPr="009538F9" w:rsidR="009538F9" w:rsidP="009538F9" w:rsidRDefault="009538F9" w14:paraId="2680F299"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Dit voorstel hangt nauw samen met het voorstel voor een verordening van de Raad betreffende de afgifte van en technische normen voor digitale </w:t>
            </w:r>
            <w:proofErr w:type="spellStart"/>
            <w:r w:rsidRPr="009538F9">
              <w:rPr>
                <w:rFonts w:ascii="Verdana" w:hAnsi="Verdana" w:eastAsia="Times New Roman" w:cs="Arial"/>
                <w:kern w:val="0"/>
                <w:sz w:val="16"/>
                <w:szCs w:val="16"/>
                <w:lang w:eastAsia="nl-NL"/>
                <w14:ligatures w14:val="none"/>
              </w:rPr>
              <w:t>reiscredentials</w:t>
            </w:r>
            <w:proofErr w:type="spellEnd"/>
            <w:r w:rsidRPr="009538F9">
              <w:rPr>
                <w:rFonts w:ascii="Verdana" w:hAnsi="Verdana" w:eastAsia="Times New Roman" w:cs="Arial"/>
                <w:kern w:val="0"/>
                <w:sz w:val="16"/>
                <w:szCs w:val="16"/>
                <w:lang w:eastAsia="nl-NL"/>
                <w14:ligatures w14:val="none"/>
              </w:rPr>
              <w:t xml:space="preserve"> op basis van identiteitskaarten (COM(2024) 671), waarbij het Ministerie van Binnenlandse Zaken eerstverantwoordelijk is. Paspoorten en identiteitskaarten bevatten een chip met onder meer persoonsgegevens (zoals namen, gezichtsopname en vingerafdrukken van de houder) en veiligheidskenmerken. Met de Digital Travel </w:t>
            </w:r>
            <w:proofErr w:type="spellStart"/>
            <w:r w:rsidRPr="009538F9">
              <w:rPr>
                <w:rFonts w:ascii="Verdana" w:hAnsi="Verdana" w:eastAsia="Times New Roman" w:cs="Arial"/>
                <w:kern w:val="0"/>
                <w:sz w:val="16"/>
                <w:szCs w:val="16"/>
                <w:lang w:eastAsia="nl-NL"/>
                <w14:ligatures w14:val="none"/>
              </w:rPr>
              <w:t>Credential</w:t>
            </w:r>
            <w:proofErr w:type="spellEnd"/>
            <w:r w:rsidRPr="009538F9">
              <w:rPr>
                <w:rFonts w:ascii="Verdana" w:hAnsi="Verdana" w:eastAsia="Times New Roman" w:cs="Arial"/>
                <w:kern w:val="0"/>
                <w:sz w:val="16"/>
                <w:szCs w:val="16"/>
                <w:lang w:eastAsia="nl-NL"/>
                <w14:ligatures w14:val="none"/>
              </w:rPr>
              <w:t xml:space="preserve"> (DTC)-standaard van de ICAO, de Burgerluchtvaartorganisatie van de Verenigde Naties, kunnen deze gegevens – met uitzondering van de vingerafdrukken – in de vorm van een zogeheten </w:t>
            </w:r>
            <w:proofErr w:type="spellStart"/>
            <w:r w:rsidRPr="009538F9">
              <w:rPr>
                <w:rFonts w:ascii="Verdana" w:hAnsi="Verdana" w:eastAsia="Times New Roman" w:cs="Arial"/>
                <w:kern w:val="0"/>
                <w:sz w:val="16"/>
                <w:szCs w:val="16"/>
                <w:lang w:eastAsia="nl-NL"/>
                <w14:ligatures w14:val="none"/>
              </w:rPr>
              <w:t>reiscredential</w:t>
            </w:r>
            <w:proofErr w:type="spellEnd"/>
            <w:r w:rsidRPr="009538F9">
              <w:rPr>
                <w:rFonts w:ascii="Verdana" w:hAnsi="Verdana" w:eastAsia="Times New Roman" w:cs="Arial"/>
                <w:kern w:val="0"/>
                <w:sz w:val="16"/>
                <w:szCs w:val="16"/>
                <w:lang w:eastAsia="nl-NL"/>
                <w14:ligatures w14:val="none"/>
              </w:rPr>
              <w:t xml:space="preserve"> gedeeld worden met andere partijen, zoals </w:t>
            </w:r>
            <w:r w:rsidRPr="009538F9">
              <w:rPr>
                <w:rFonts w:ascii="Verdana" w:hAnsi="Verdana" w:eastAsia="Times New Roman" w:cs="Arial"/>
                <w:kern w:val="0"/>
                <w:sz w:val="16"/>
                <w:szCs w:val="16"/>
                <w:lang w:eastAsia="nl-NL"/>
                <w14:ligatures w14:val="none"/>
              </w:rPr>
              <w:lastRenderedPageBreak/>
              <w:t xml:space="preserve">vervoerders en grensautoriteiten. Met twee nieuwe voorstellen voor een verordening  van de Europese Commissie wil zij het vrijwillig gebruik van DTC </w:t>
            </w:r>
            <w:proofErr w:type="spellStart"/>
            <w:r w:rsidRPr="009538F9">
              <w:rPr>
                <w:rFonts w:ascii="Verdana" w:hAnsi="Verdana" w:eastAsia="Times New Roman" w:cs="Arial"/>
                <w:kern w:val="0"/>
                <w:sz w:val="16"/>
                <w:szCs w:val="16"/>
                <w:lang w:eastAsia="nl-NL"/>
                <w14:ligatures w14:val="none"/>
              </w:rPr>
              <w:t>Uniebreed</w:t>
            </w:r>
            <w:proofErr w:type="spellEnd"/>
            <w:r w:rsidRPr="009538F9">
              <w:rPr>
                <w:rFonts w:ascii="Verdana" w:hAnsi="Verdana" w:eastAsia="Times New Roman" w:cs="Arial"/>
                <w:kern w:val="0"/>
                <w:sz w:val="16"/>
                <w:szCs w:val="16"/>
                <w:lang w:eastAsia="nl-NL"/>
                <w14:ligatures w14:val="none"/>
              </w:rPr>
              <w:t xml:space="preserve"> reguleren.</w:t>
            </w:r>
          </w:p>
        </w:tc>
      </w:tr>
      <w:tr w:rsidRPr="009538F9" w:rsidR="009538F9" w:rsidTr="009538F9" w14:paraId="2B1451B7" w14:textId="77777777">
        <w:trPr>
          <w:trHeight w:val="5250"/>
        </w:trPr>
        <w:tc>
          <w:tcPr>
            <w:tcW w:w="2972" w:type="dxa"/>
            <w:tcBorders>
              <w:top w:val="nil"/>
              <w:left w:val="single" w:color="auto" w:sz="4" w:space="0"/>
              <w:bottom w:val="single" w:color="auto" w:sz="4" w:space="0"/>
              <w:right w:val="single" w:color="auto" w:sz="4" w:space="0"/>
            </w:tcBorders>
            <w:shd w:val="clear" w:color="000000" w:fill="FFC000"/>
            <w:hideMark/>
          </w:tcPr>
          <w:p w:rsidRPr="009538F9" w:rsidR="009538F9" w:rsidP="009538F9" w:rsidRDefault="009538F9" w14:paraId="3CF10E92"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lastRenderedPageBreak/>
              <w:t> </w:t>
            </w:r>
          </w:p>
        </w:tc>
        <w:tc>
          <w:tcPr>
            <w:tcW w:w="2023" w:type="dxa"/>
            <w:tcBorders>
              <w:top w:val="nil"/>
              <w:left w:val="nil"/>
              <w:bottom w:val="single" w:color="auto" w:sz="4" w:space="0"/>
              <w:right w:val="single" w:color="auto" w:sz="4" w:space="0"/>
            </w:tcBorders>
            <w:shd w:val="clear" w:color="auto" w:fill="auto"/>
            <w:hideMark/>
          </w:tcPr>
          <w:p w:rsidRPr="009538F9" w:rsidR="009538F9" w:rsidP="009538F9" w:rsidRDefault="009538F9" w14:paraId="06C8C558"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w:t>
            </w:r>
          </w:p>
        </w:tc>
        <w:tc>
          <w:tcPr>
            <w:tcW w:w="2390" w:type="dxa"/>
            <w:tcBorders>
              <w:top w:val="nil"/>
              <w:left w:val="nil"/>
              <w:bottom w:val="single" w:color="auto" w:sz="4" w:space="0"/>
              <w:right w:val="single" w:color="auto" w:sz="4" w:space="0"/>
            </w:tcBorders>
            <w:shd w:val="clear" w:color="auto" w:fill="auto"/>
            <w:hideMark/>
          </w:tcPr>
          <w:p w:rsidRPr="009538F9" w:rsidR="009538F9" w:rsidP="009538F9" w:rsidRDefault="009538F9" w14:paraId="5F476D53"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Voorstel voor een verordening van het Europees Parlement en de Raad inzake het vaststellen van een gemeenschappelijk systeem voor de terugkeer van onderdanen van derde landen die illegaal in de Unie verblijven. </w:t>
            </w:r>
          </w:p>
        </w:tc>
        <w:tc>
          <w:tcPr>
            <w:tcW w:w="0" w:type="auto"/>
            <w:tcBorders>
              <w:top w:val="single" w:color="auto" w:sz="4" w:space="0"/>
              <w:left w:val="nil"/>
              <w:bottom w:val="single" w:color="auto" w:sz="4" w:space="0"/>
              <w:right w:val="single" w:color="auto" w:sz="4" w:space="0"/>
            </w:tcBorders>
            <w:shd w:val="clear" w:color="auto" w:fill="auto"/>
            <w:hideMark/>
          </w:tcPr>
          <w:p w:rsidRPr="009538F9" w:rsidR="009538F9" w:rsidP="009538F9" w:rsidRDefault="009538F9" w14:paraId="5239F75F"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COM/2025/101</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14D3D8C6"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Op 12 maart publiceerde de Europese Commissie de terugkeerverordening. Het BNC-Fiche zal uiterlijk 17 april 2025 met uw Kamer gedeeld worden. </w:t>
            </w:r>
          </w:p>
        </w:tc>
        <w:tc>
          <w:tcPr>
            <w:tcW w:w="0" w:type="auto"/>
            <w:tcBorders>
              <w:top w:val="nil"/>
              <w:left w:val="nil"/>
              <w:bottom w:val="single" w:color="auto" w:sz="4" w:space="0"/>
              <w:right w:val="single" w:color="auto" w:sz="4" w:space="0"/>
            </w:tcBorders>
            <w:shd w:val="clear" w:color="auto" w:fill="auto"/>
            <w:hideMark/>
          </w:tcPr>
          <w:p w:rsidRPr="009538F9" w:rsidR="009538F9" w:rsidP="009538F9" w:rsidRDefault="009538F9" w14:paraId="1E2FCE91" w14:textId="77777777">
            <w:pPr>
              <w:spacing w:after="0" w:line="240" w:lineRule="auto"/>
              <w:rPr>
                <w:rFonts w:ascii="Verdana" w:hAnsi="Verdana" w:eastAsia="Times New Roman" w:cs="Arial"/>
                <w:kern w:val="0"/>
                <w:sz w:val="16"/>
                <w:szCs w:val="16"/>
                <w:lang w:eastAsia="nl-NL"/>
                <w14:ligatures w14:val="none"/>
              </w:rPr>
            </w:pPr>
            <w:r w:rsidRPr="009538F9">
              <w:rPr>
                <w:rFonts w:ascii="Verdana" w:hAnsi="Verdana" w:eastAsia="Times New Roman" w:cs="Arial"/>
                <w:kern w:val="0"/>
                <w:sz w:val="16"/>
                <w:szCs w:val="16"/>
                <w:lang w:eastAsia="nl-NL"/>
                <w14:ligatures w14:val="none"/>
              </w:rPr>
              <w:t xml:space="preserve">Het doel van dit voorstel is om Europees-breed tot een effectievere uitvoering van het terugkeerproces te komen. In lijn met de motie Van Dijk – </w:t>
            </w:r>
            <w:proofErr w:type="spellStart"/>
            <w:r w:rsidRPr="009538F9">
              <w:rPr>
                <w:rFonts w:ascii="Verdana" w:hAnsi="Verdana" w:eastAsia="Times New Roman" w:cs="Arial"/>
                <w:kern w:val="0"/>
                <w:sz w:val="16"/>
                <w:szCs w:val="16"/>
                <w:lang w:eastAsia="nl-NL"/>
                <w14:ligatures w14:val="none"/>
              </w:rPr>
              <w:t>Yesilgöz</w:t>
            </w:r>
            <w:proofErr w:type="spellEnd"/>
            <w:r w:rsidRPr="009538F9">
              <w:rPr>
                <w:rFonts w:ascii="Verdana" w:hAnsi="Verdana" w:eastAsia="Times New Roman" w:cs="Arial"/>
                <w:kern w:val="0"/>
                <w:sz w:val="16"/>
                <w:szCs w:val="16"/>
                <w:lang w:eastAsia="nl-NL"/>
                <w14:ligatures w14:val="none"/>
              </w:rPr>
              <w:t xml:space="preserve"> stelt het kabinet zich als doel het Europese terugkeerbeleid verder aan te scherpen. Over het kabinetsstandpunt zult u binnenkort met een BNC-Fiche worden geïnformeerd.   </w:t>
            </w:r>
          </w:p>
        </w:tc>
      </w:tr>
    </w:tbl>
    <w:p w:rsidR="001C055D" w:rsidRDefault="001C055D" w14:paraId="6E7B8CBC" w14:textId="77777777"/>
    <w:sectPr w:rsidR="001C055D" w:rsidSect="009538F9">
      <w:headerReference w:type="default" r:id="rId7"/>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CC2B" w14:textId="77777777" w:rsidR="0001635B" w:rsidRDefault="0001635B" w:rsidP="00F85463">
      <w:pPr>
        <w:spacing w:after="0" w:line="240" w:lineRule="auto"/>
      </w:pPr>
      <w:r>
        <w:separator/>
      </w:r>
    </w:p>
  </w:endnote>
  <w:endnote w:type="continuationSeparator" w:id="0">
    <w:p w14:paraId="7ADD5D83" w14:textId="77777777" w:rsidR="0001635B" w:rsidRDefault="0001635B" w:rsidP="00F85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44843" w14:textId="77777777" w:rsidR="0001635B" w:rsidRDefault="0001635B" w:rsidP="00F85463">
      <w:pPr>
        <w:spacing w:after="0" w:line="240" w:lineRule="auto"/>
      </w:pPr>
      <w:r>
        <w:separator/>
      </w:r>
    </w:p>
  </w:footnote>
  <w:footnote w:type="continuationSeparator" w:id="0">
    <w:p w14:paraId="37A7E5D7" w14:textId="77777777" w:rsidR="0001635B" w:rsidRDefault="0001635B" w:rsidP="00F85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364776"/>
      <w:docPartObj>
        <w:docPartGallery w:val="Page Numbers (Top of Page)"/>
        <w:docPartUnique/>
      </w:docPartObj>
    </w:sdtPr>
    <w:sdtEndPr/>
    <w:sdtContent>
      <w:p w14:paraId="076AFD14" w14:textId="555ACD7B" w:rsidR="00F85463" w:rsidRDefault="00F85463">
        <w:pPr>
          <w:pStyle w:val="Koptekst"/>
        </w:pPr>
        <w:r>
          <w:fldChar w:fldCharType="begin"/>
        </w:r>
        <w:r>
          <w:instrText>PAGE   \* MERGEFORMAT</w:instrText>
        </w:r>
        <w:r>
          <w:fldChar w:fldCharType="separate"/>
        </w:r>
        <w:r>
          <w:t>2</w:t>
        </w:r>
        <w:r>
          <w:fldChar w:fldCharType="end"/>
        </w:r>
      </w:p>
    </w:sdtContent>
  </w:sdt>
  <w:p w14:paraId="71D8A320" w14:textId="77777777" w:rsidR="00F85463" w:rsidRDefault="00F854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F9"/>
    <w:rsid w:val="00006F4F"/>
    <w:rsid w:val="0001635B"/>
    <w:rsid w:val="001C055D"/>
    <w:rsid w:val="001F2F73"/>
    <w:rsid w:val="00605244"/>
    <w:rsid w:val="00927E9A"/>
    <w:rsid w:val="009538F9"/>
    <w:rsid w:val="00C65A40"/>
    <w:rsid w:val="00E27798"/>
    <w:rsid w:val="00F854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D7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3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3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38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38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38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38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38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38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38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38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38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38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38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38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38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38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38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38F9"/>
    <w:rPr>
      <w:rFonts w:eastAsiaTheme="majorEastAsia" w:cstheme="majorBidi"/>
      <w:color w:val="272727" w:themeColor="text1" w:themeTint="D8"/>
    </w:rPr>
  </w:style>
  <w:style w:type="paragraph" w:styleId="Titel">
    <w:name w:val="Title"/>
    <w:basedOn w:val="Standaard"/>
    <w:next w:val="Standaard"/>
    <w:link w:val="TitelChar"/>
    <w:uiPriority w:val="10"/>
    <w:qFormat/>
    <w:rsid w:val="00953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38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38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38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38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38F9"/>
    <w:rPr>
      <w:i/>
      <w:iCs/>
      <w:color w:val="404040" w:themeColor="text1" w:themeTint="BF"/>
    </w:rPr>
  </w:style>
  <w:style w:type="paragraph" w:styleId="Lijstalinea">
    <w:name w:val="List Paragraph"/>
    <w:basedOn w:val="Standaard"/>
    <w:uiPriority w:val="34"/>
    <w:qFormat/>
    <w:rsid w:val="009538F9"/>
    <w:pPr>
      <w:ind w:left="720"/>
      <w:contextualSpacing/>
    </w:pPr>
  </w:style>
  <w:style w:type="character" w:styleId="Intensievebenadrukking">
    <w:name w:val="Intense Emphasis"/>
    <w:basedOn w:val="Standaardalinea-lettertype"/>
    <w:uiPriority w:val="21"/>
    <w:qFormat/>
    <w:rsid w:val="009538F9"/>
    <w:rPr>
      <w:i/>
      <w:iCs/>
      <w:color w:val="0F4761" w:themeColor="accent1" w:themeShade="BF"/>
    </w:rPr>
  </w:style>
  <w:style w:type="paragraph" w:styleId="Duidelijkcitaat">
    <w:name w:val="Intense Quote"/>
    <w:basedOn w:val="Standaard"/>
    <w:next w:val="Standaard"/>
    <w:link w:val="DuidelijkcitaatChar"/>
    <w:uiPriority w:val="30"/>
    <w:qFormat/>
    <w:rsid w:val="00953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38F9"/>
    <w:rPr>
      <w:i/>
      <w:iCs/>
      <w:color w:val="0F4761" w:themeColor="accent1" w:themeShade="BF"/>
    </w:rPr>
  </w:style>
  <w:style w:type="character" w:styleId="Intensieveverwijzing">
    <w:name w:val="Intense Reference"/>
    <w:basedOn w:val="Standaardalinea-lettertype"/>
    <w:uiPriority w:val="32"/>
    <w:qFormat/>
    <w:rsid w:val="009538F9"/>
    <w:rPr>
      <w:b/>
      <w:bCs/>
      <w:smallCaps/>
      <w:color w:val="0F4761" w:themeColor="accent1" w:themeShade="BF"/>
      <w:spacing w:val="5"/>
    </w:rPr>
  </w:style>
  <w:style w:type="paragraph" w:styleId="Koptekst">
    <w:name w:val="header"/>
    <w:basedOn w:val="Standaard"/>
    <w:link w:val="KoptekstChar"/>
    <w:uiPriority w:val="99"/>
    <w:unhideWhenUsed/>
    <w:rsid w:val="00F854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5463"/>
  </w:style>
  <w:style w:type="paragraph" w:styleId="Voettekst">
    <w:name w:val="footer"/>
    <w:basedOn w:val="Standaard"/>
    <w:link w:val="VoettekstChar"/>
    <w:uiPriority w:val="99"/>
    <w:unhideWhenUsed/>
    <w:rsid w:val="00F854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5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424965">
      <w:bodyDiv w:val="1"/>
      <w:marLeft w:val="0"/>
      <w:marRight w:val="0"/>
      <w:marTop w:val="0"/>
      <w:marBottom w:val="0"/>
      <w:divBdr>
        <w:top w:val="none" w:sz="0" w:space="0" w:color="auto"/>
        <w:left w:val="none" w:sz="0" w:space="0" w:color="auto"/>
        <w:bottom w:val="none" w:sz="0" w:space="0" w:color="auto"/>
        <w:right w:val="none" w:sz="0" w:space="0" w:color="auto"/>
      </w:divBdr>
    </w:div>
    <w:div w:id="147345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24</ap:Pages>
  <ap:Words>5934</ap:Words>
  <ap:Characters>32639</ap:Characters>
  <ap:DocSecurity>0</ap:DocSecurity>
  <ap:Lines>271</ap:Lines>
  <ap:Paragraphs>76</ap:Paragraphs>
  <ap:ScaleCrop>false</ap:ScaleCrop>
  <ap:LinksUpToDate>false</ap:LinksUpToDate>
  <ap:CharactersWithSpaces>38497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2025-05-12T13:47:00.0000000Z</dcterms:created>
  <dcterms:modified xsi:type="dcterms:W3CDTF">2025-05-12T13:47:00.0000000Z</dcterms:modified>
  <version/>
  <category/>
</coreProperties>
</file>