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0770" w:rsidR="00B230D2" w:rsidP="002D0770" w:rsidRDefault="00B230D2" w14:paraId="22E0DBAB" w14:textId="77777777">
      <w:pPr>
        <w:spacing w:line="276" w:lineRule="auto"/>
      </w:pPr>
      <w:r w:rsidRPr="002D0770">
        <w:t>Geachte voorzitter,</w:t>
      </w:r>
    </w:p>
    <w:p w:rsidRPr="002D0770" w:rsidR="00B230D2" w:rsidP="002D0770" w:rsidRDefault="00B230D2" w14:paraId="2757EE10" w14:textId="77777777">
      <w:pPr>
        <w:spacing w:line="276" w:lineRule="auto"/>
      </w:pPr>
    </w:p>
    <w:p w:rsidRPr="00B675D7" w:rsidR="00B675D7" w:rsidP="00B675D7" w:rsidRDefault="001863C6" w14:paraId="1AFB2212" w14:textId="1666DABF">
      <w:pPr>
        <w:spacing w:line="276" w:lineRule="auto"/>
      </w:pPr>
      <w:bookmarkStart w:name="_Hlk196397554" w:id="0"/>
      <w:bookmarkStart w:name="_Hlk196397800" w:id="1"/>
      <w:r w:rsidRPr="000E0A16">
        <w:t>O</w:t>
      </w:r>
      <w:r w:rsidRPr="000E0A16" w:rsidR="00B675D7">
        <w:t>p 15 april</w:t>
      </w:r>
      <w:r w:rsidRPr="00B675D7" w:rsidR="00B675D7">
        <w:t xml:space="preserve"> 2025 heeft het lid Van Baarle verzocht om een brief over het bombardement op het Al-</w:t>
      </w:r>
      <w:proofErr w:type="spellStart"/>
      <w:r w:rsidRPr="00B675D7" w:rsidR="00B675D7">
        <w:t>Ahli</w:t>
      </w:r>
      <w:proofErr w:type="spellEnd"/>
      <w:r w:rsidRPr="00B675D7" w:rsidR="00B675D7">
        <w:t xml:space="preserve">-ziekenhuis in de Gazastrook. Daarnaast heeft het lid Van Baarle op 22 april 2025 om een brief verzocht over de humanitaire blokkade. In deze brief zal het kabinetsstandpunt </w:t>
      </w:r>
      <w:r w:rsidRPr="002E0521" w:rsidR="00B675D7">
        <w:t>ten aanzien van de aanval op het Al-</w:t>
      </w:r>
      <w:proofErr w:type="spellStart"/>
      <w:r w:rsidRPr="002E0521" w:rsidR="00B675D7">
        <w:t>Ahli</w:t>
      </w:r>
      <w:proofErr w:type="spellEnd"/>
      <w:r w:rsidRPr="002E0521" w:rsidR="00B675D7">
        <w:t>-ziekenhuis en de blokkade worden toegelicht</w:t>
      </w:r>
      <w:bookmarkEnd w:id="0"/>
      <w:r w:rsidRPr="002E0521" w:rsidR="00B675D7">
        <w:t>. De vaste commissie voor Buitenlandse Zaken heeft tevens in de procedurevergadering van 17 april 2025 verzocht om een brief over de kabinetsinzet ten aanzien van de EU Actieplannen met Israël en met de Palestijnse Autoriteit (PA).</w:t>
      </w:r>
      <w:r w:rsidRPr="002E0521" w:rsidR="00B675D7">
        <w:rPr>
          <w:vertAlign w:val="superscript"/>
        </w:rPr>
        <w:footnoteReference w:id="2"/>
      </w:r>
      <w:r w:rsidRPr="002E0521" w:rsidR="00B675D7">
        <w:t xml:space="preserve"> In deze</w:t>
      </w:r>
      <w:r w:rsidRPr="00B675D7" w:rsidR="00B675D7">
        <w:t xml:space="preserve"> brief zal de kabinetsinzet worden gedeeld.</w:t>
      </w:r>
    </w:p>
    <w:p w:rsidRPr="002D0770" w:rsidR="00DD6E5F" w:rsidP="002D0770" w:rsidRDefault="00DD6E5F" w14:paraId="23590434" w14:textId="77777777">
      <w:pPr>
        <w:spacing w:line="276" w:lineRule="auto"/>
      </w:pPr>
    </w:p>
    <w:p w:rsidRPr="002D0770" w:rsidR="00B230D2" w:rsidP="002D0770" w:rsidRDefault="00B947B1" w14:paraId="7354A577" w14:textId="4FA57F90">
      <w:pPr>
        <w:spacing w:line="276" w:lineRule="auto"/>
      </w:pPr>
      <w:r w:rsidRPr="002D0770">
        <w:t>Tot slot</w:t>
      </w:r>
      <w:r w:rsidRPr="002D0770" w:rsidR="00B230D2">
        <w:t xml:space="preserve"> zal ik van deze gelegenheid gebruik maken om in te gaan op de uitkomsten van de onderhandelingen van het </w:t>
      </w:r>
      <w:r w:rsidRPr="002D0770" w:rsidR="00835C00">
        <w:t>‘</w:t>
      </w:r>
      <w:r w:rsidRPr="002D0770" w:rsidR="00B230D2">
        <w:t>Palestijns Pakket</w:t>
      </w:r>
      <w:r w:rsidRPr="002D0770" w:rsidR="00835C00">
        <w:t>’ aan resoluties</w:t>
      </w:r>
      <w:r w:rsidRPr="002D0770" w:rsidR="00B230D2">
        <w:t xml:space="preserve"> in de </w:t>
      </w:r>
      <w:r w:rsidRPr="002D0770" w:rsidR="00DA1E93">
        <w:t>VN-</w:t>
      </w:r>
      <w:r w:rsidRPr="002D0770" w:rsidR="00B230D2">
        <w:t xml:space="preserve">Mensenrechtenraad 58, in lijn met motie </w:t>
      </w:r>
      <w:proofErr w:type="spellStart"/>
      <w:r w:rsidRPr="002D0770" w:rsidR="00B230D2">
        <w:t>Helvert</w:t>
      </w:r>
      <w:proofErr w:type="spellEnd"/>
      <w:r w:rsidRPr="002D0770" w:rsidR="00B230D2">
        <w:t>-Van der Staaij</w:t>
      </w:r>
      <w:r w:rsidR="00091A9E">
        <w:t>.</w:t>
      </w:r>
      <w:r w:rsidRPr="002D0770" w:rsidR="00F74612">
        <w:rPr>
          <w:rStyle w:val="FootnoteReference"/>
        </w:rPr>
        <w:footnoteReference w:id="3"/>
      </w:r>
      <w:r w:rsidRPr="002D0770" w:rsidR="009B4F0D">
        <w:t xml:space="preserve"> </w:t>
      </w:r>
    </w:p>
    <w:bookmarkEnd w:id="1"/>
    <w:p w:rsidRPr="002D0770" w:rsidR="00B230D2" w:rsidP="002D0770" w:rsidRDefault="00B230D2" w14:paraId="596E0260" w14:textId="77777777">
      <w:pPr>
        <w:spacing w:line="276" w:lineRule="auto"/>
      </w:pPr>
    </w:p>
    <w:p w:rsidRPr="002D0770" w:rsidR="00041A5F" w:rsidP="002D0770" w:rsidRDefault="00041A5F" w14:paraId="63BBF128" w14:textId="5A0510CA">
      <w:pPr>
        <w:spacing w:line="276" w:lineRule="auto"/>
        <w:rPr>
          <w:b/>
          <w:bCs/>
        </w:rPr>
      </w:pPr>
      <w:r w:rsidRPr="002D0770">
        <w:rPr>
          <w:b/>
          <w:bCs/>
        </w:rPr>
        <w:t>Humanitaire blokkade</w:t>
      </w:r>
    </w:p>
    <w:p w:rsidRPr="00B675D7" w:rsidR="00B675D7" w:rsidP="00B675D7" w:rsidRDefault="00B675D7" w14:paraId="56B768D4" w14:textId="011C999C">
      <w:pPr>
        <w:spacing w:line="276" w:lineRule="auto"/>
      </w:pPr>
      <w:r w:rsidRPr="00B675D7">
        <w:t xml:space="preserve">Sinds 2 maart 2025 blokkeert Israël de toevoer van humanitaire hulp tot de Gazastrook en sinds 9 maart 2025 ook de basisvoorziening elektriciteit. Dit is </w:t>
      </w:r>
      <w:r w:rsidRPr="000E0A16" w:rsidR="001863C6">
        <w:t>catastrofaal</w:t>
      </w:r>
      <w:r w:rsidRPr="000E0A16">
        <w:t>, gezien de grote humanitaire noden die bestaan in de Gazastrook. Het kabinet veroordeelt deze aanhoudende blokkade door Israël. Humanitaire hulp mag niet ingezet worden als drukmiddel in de onderhandelingen over het staakt-het-vuren. Daarom heb ik op 9 april jl. besloten de Israëlische ambassadeur te ontbieden</w:t>
      </w:r>
      <w:r w:rsidRPr="000E0A16" w:rsidR="001863C6">
        <w:t xml:space="preserve">. Daarnaast heb ik op 6 mei jl. </w:t>
      </w:r>
      <w:r w:rsidRPr="000E0A16">
        <w:t xml:space="preserve">de Hoge Vertegenwoordiger Kallas verzocht om een evaluatie van de naleving door Israël van Artikel 2 van het EU-Israël Associatieakkoord. </w:t>
      </w:r>
      <w:r w:rsidRPr="000E0A16" w:rsidR="001863C6">
        <w:t xml:space="preserve">Dit laat onverlet </w:t>
      </w:r>
      <w:r w:rsidRPr="000E0A16">
        <w:t xml:space="preserve">het kabinet zich </w:t>
      </w:r>
      <w:r w:rsidRPr="000E0A16" w:rsidR="001863C6">
        <w:t xml:space="preserve">blijft </w:t>
      </w:r>
      <w:r w:rsidRPr="000E0A16">
        <w:t xml:space="preserve">inzetten voor </w:t>
      </w:r>
      <w:r w:rsidRPr="000E0A16" w:rsidR="001863C6">
        <w:t xml:space="preserve">het bestaansrecht en het recht op veiligheid van de staat Israël, de vrijlating van de gegijzelden, het neerleggen van de wapens door Hamas en een duurzaam staakt-het-vuren. </w:t>
      </w:r>
    </w:p>
    <w:p w:rsidRPr="002D0770" w:rsidR="00F4285F" w:rsidP="002D0770" w:rsidRDefault="00F4285F" w14:paraId="1FA84F56" w14:textId="77777777">
      <w:pPr>
        <w:spacing w:line="276" w:lineRule="auto"/>
      </w:pPr>
    </w:p>
    <w:p w:rsidRPr="002D0770" w:rsidR="0016784F" w:rsidP="002D0770" w:rsidRDefault="00F62FDD" w14:paraId="16F85303" w14:textId="5DB97205">
      <w:pPr>
        <w:spacing w:line="276" w:lineRule="auto"/>
      </w:pPr>
      <w:r w:rsidRPr="000E0A16">
        <w:lastRenderedPageBreak/>
        <w:t>Professionele en gemandateerde hulporganisaties, waaronder de V</w:t>
      </w:r>
      <w:r w:rsidRPr="000E0A16" w:rsidR="00091A9E">
        <w:t xml:space="preserve">erenigde </w:t>
      </w:r>
      <w:r w:rsidRPr="000E0A16">
        <w:t>N</w:t>
      </w:r>
      <w:r w:rsidRPr="000E0A16" w:rsidR="00091A9E">
        <w:t>aties (VN)</w:t>
      </w:r>
      <w:r w:rsidRPr="000E0A16">
        <w:t xml:space="preserve"> en de Rode Kruis- en Halve Maanbeweging</w:t>
      </w:r>
      <w:r w:rsidRPr="000E0A16" w:rsidR="00A312A1">
        <w:t>,</w:t>
      </w:r>
      <w:r w:rsidRPr="000E0A16">
        <w:t xml:space="preserve"> moeten vrije</w:t>
      </w:r>
      <w:r w:rsidRPr="000E0A16" w:rsidR="002D4428">
        <w:t>, ongehinderde</w:t>
      </w:r>
      <w:r w:rsidRPr="000E0A16">
        <w:t xml:space="preserve"> en veilige toeg</w:t>
      </w:r>
      <w:r w:rsidRPr="000E0A16" w:rsidR="00945039">
        <w:t>a</w:t>
      </w:r>
      <w:r w:rsidRPr="000E0A16">
        <w:t xml:space="preserve">ng hebben tot mensen in nood in de Gazastrook. </w:t>
      </w:r>
      <w:r w:rsidRPr="000E0A16" w:rsidR="000E4491">
        <w:t>Conform</w:t>
      </w:r>
      <w:r w:rsidRPr="000E0A16" w:rsidR="001863C6">
        <w:t xml:space="preserve"> de</w:t>
      </w:r>
      <w:r w:rsidRPr="000E0A16" w:rsidR="000E4491">
        <w:t xml:space="preserve"> motie Ceder</w:t>
      </w:r>
      <w:r w:rsidRPr="000E0A16" w:rsidR="00CD3EFB">
        <w:rPr>
          <w:rStyle w:val="FootnoteReference"/>
        </w:rPr>
        <w:footnoteReference w:id="4"/>
      </w:r>
      <w:r w:rsidRPr="000E0A16" w:rsidR="000E4491">
        <w:t xml:space="preserve"> blijft </w:t>
      </w:r>
      <w:r w:rsidRPr="000E0A16" w:rsidR="005E0CC5">
        <w:t>het kabinet</w:t>
      </w:r>
      <w:r w:rsidRPr="000E0A16" w:rsidR="000E4491">
        <w:t xml:space="preserve"> pleiten voor het onmiddellijk opheffen van deze blokkade zowel in bilateraal- als in multilateraal verband. Zo heeft Nederland zich onder meer aangesloten bij de recente publieke oproep aan Israël van Frankrijk, Duitsland en het Verenigd Koninkrijk (de zogenaamde E3) om hulp aan de Gazastrook direct weer toe te staan</w:t>
      </w:r>
      <w:r w:rsidRPr="000E0A16" w:rsidR="00091A9E">
        <w:t>.</w:t>
      </w:r>
      <w:r w:rsidRPr="000E0A16" w:rsidR="000E4491">
        <w:rPr>
          <w:rStyle w:val="FootnoteReference"/>
        </w:rPr>
        <w:footnoteReference w:id="5"/>
      </w:r>
      <w:r w:rsidRPr="000E0A16" w:rsidR="000E4491">
        <w:t xml:space="preserve"> In de directe contacten met Israël is duidelijk onderstreept dat de humanitaire blokkade indruist tegen het internationaal recht. De blokkade </w:t>
      </w:r>
      <w:r w:rsidRPr="000E0A16" w:rsidR="005E0CC5">
        <w:t xml:space="preserve">staat </w:t>
      </w:r>
      <w:r w:rsidRPr="000E0A16" w:rsidR="000E4491">
        <w:t xml:space="preserve">ook </w:t>
      </w:r>
      <w:r w:rsidRPr="000E0A16" w:rsidR="005E0CC5">
        <w:t>op gespannen voet met</w:t>
      </w:r>
      <w:r w:rsidRPr="000E0A16" w:rsidR="006001BA">
        <w:t xml:space="preserve"> </w:t>
      </w:r>
      <w:r w:rsidRPr="000E0A16">
        <w:t>de afspraken die hierover zijn gemaakt</w:t>
      </w:r>
      <w:r w:rsidRPr="000E0A16" w:rsidR="002D4428">
        <w:t xml:space="preserve"> onder andere</w:t>
      </w:r>
      <w:r w:rsidRPr="000E0A16">
        <w:t xml:space="preserve"> in </w:t>
      </w:r>
      <w:r w:rsidRPr="000E0A16" w:rsidR="00D252C8">
        <w:t xml:space="preserve">de </w:t>
      </w:r>
      <w:r w:rsidRPr="000E0A16" w:rsidR="00711DC9">
        <w:t>VN Veiligheidsraad</w:t>
      </w:r>
      <w:r w:rsidRPr="000E0A16">
        <w:t xml:space="preserve">-resolutie 2417 </w:t>
      </w:r>
      <w:r w:rsidRPr="000E0A16" w:rsidR="00D252C8">
        <w:t xml:space="preserve">daterend uit </w:t>
      </w:r>
      <w:r w:rsidRPr="000E0A16">
        <w:t xml:space="preserve">2018. Deze resolutie veroordeelt het uithongeren van </w:t>
      </w:r>
      <w:r w:rsidRPr="000E0A16" w:rsidR="00D252C8">
        <w:t xml:space="preserve">een </w:t>
      </w:r>
      <w:r w:rsidRPr="000E0A16">
        <w:t>burger</w:t>
      </w:r>
      <w:r w:rsidRPr="000E0A16" w:rsidR="00D252C8">
        <w:t>bevolking</w:t>
      </w:r>
      <w:r w:rsidRPr="000E0A16">
        <w:t xml:space="preserve"> als methode van oorlogsvoering. </w:t>
      </w:r>
      <w:r w:rsidRPr="000E0A16" w:rsidR="0016784F">
        <w:t>In lijn met resolutie 2417 wijst Nederland Israël consequent op de verplichtingen onder het</w:t>
      </w:r>
      <w:r w:rsidRPr="000E0A16" w:rsidR="001863C6">
        <w:t xml:space="preserve"> internationaal humanitair recht c.q.</w:t>
      </w:r>
      <w:r w:rsidRPr="000E0A16" w:rsidR="0016784F">
        <w:t xml:space="preserve"> humanitair oorlogsrecht</w:t>
      </w:r>
      <w:r w:rsidRPr="002D0770" w:rsidR="0016784F">
        <w:t>.</w:t>
      </w:r>
    </w:p>
    <w:p w:rsidRPr="002D0770" w:rsidR="002D4428" w:rsidP="002D0770" w:rsidRDefault="002D4428" w14:paraId="1A29C3D5" w14:textId="77777777">
      <w:pPr>
        <w:spacing w:line="276" w:lineRule="auto"/>
      </w:pPr>
    </w:p>
    <w:p w:rsidRPr="002D0770" w:rsidR="00F62FDD" w:rsidP="002D0770" w:rsidRDefault="00F62FDD" w14:paraId="7A99B8D0" w14:textId="1A432AF5">
      <w:pPr>
        <w:spacing w:line="276" w:lineRule="auto"/>
      </w:pPr>
      <w:r w:rsidRPr="002D0770">
        <w:t>Nederland</w:t>
      </w:r>
      <w:r w:rsidRPr="002D0770" w:rsidR="002D4428">
        <w:t xml:space="preserve"> heeft op </w:t>
      </w:r>
      <w:r w:rsidRPr="002D0770" w:rsidR="004D1D15">
        <w:t>28 februari</w:t>
      </w:r>
      <w:r w:rsidRPr="002D0770" w:rsidR="00CD2604">
        <w:t xml:space="preserve"> </w:t>
      </w:r>
      <w:r w:rsidRPr="002D0770" w:rsidR="00F22E3B">
        <w:t>2025</w:t>
      </w:r>
      <w:r w:rsidRPr="002D0770">
        <w:t xml:space="preserve"> in zijn schriftelijke zienswijze bij het Internationaal Gerechtshof in de adviesprocedure over de verplichtingen van </w:t>
      </w:r>
      <w:r w:rsidRPr="002D0770" w:rsidR="00D16165">
        <w:t xml:space="preserve">Israël </w:t>
      </w:r>
      <w:r w:rsidRPr="002D0770">
        <w:t xml:space="preserve">als bezettende macht </w:t>
      </w:r>
      <w:r w:rsidRPr="002D0770" w:rsidR="008442FB">
        <w:t xml:space="preserve">inzake </w:t>
      </w:r>
      <w:r w:rsidRPr="002D0770">
        <w:t>het verlenen of faciliteren van humanitaire hulp</w:t>
      </w:r>
      <w:r w:rsidRPr="002D0770" w:rsidR="34B46F20">
        <w:t>,</w:t>
      </w:r>
      <w:r w:rsidRPr="002D0770">
        <w:t xml:space="preserve"> gesteld dat </w:t>
      </w:r>
      <w:bookmarkStart w:name="_Hlk196398641" w:id="2"/>
      <w:r w:rsidRPr="002D0770">
        <w:t xml:space="preserve">het </w:t>
      </w:r>
      <w:r w:rsidRPr="002D0770" w:rsidR="008442FB">
        <w:t xml:space="preserve">humanitair oorlogsrecht </w:t>
      </w:r>
      <w:bookmarkEnd w:id="2"/>
      <w:r w:rsidRPr="002D0770">
        <w:t>een bezettende macht</w:t>
      </w:r>
      <w:r w:rsidRPr="002D0770" w:rsidDel="00E45DC9">
        <w:t xml:space="preserve"> </w:t>
      </w:r>
      <w:r w:rsidRPr="002D0770">
        <w:t>verplicht om de bevolking van bezet gebied te voorzien van</w:t>
      </w:r>
      <w:r w:rsidRPr="002D0770" w:rsidR="00E45DC9">
        <w:t xml:space="preserve"> onder andere </w:t>
      </w:r>
      <w:r w:rsidRPr="002D0770" w:rsidR="00907B51">
        <w:t>voldoende</w:t>
      </w:r>
      <w:r w:rsidRPr="002D0770">
        <w:t xml:space="preserve"> voedsel en water</w:t>
      </w:r>
      <w:r w:rsidRPr="002D0770" w:rsidR="00E06787">
        <w:t xml:space="preserve"> of humanitaire hulp door onpartijdige humanitaire organisaties toe te staan en te faciliteren</w:t>
      </w:r>
      <w:r w:rsidRPr="002D0770">
        <w:t>.</w:t>
      </w:r>
      <w:r w:rsidRPr="002D0770" w:rsidR="0086406B">
        <w:t xml:space="preserve"> Deze zienswijze is </w:t>
      </w:r>
      <w:r w:rsidRPr="002D0770" w:rsidR="00E06787">
        <w:t>van toepassing</w:t>
      </w:r>
      <w:r w:rsidRPr="002D0770" w:rsidR="0086406B">
        <w:t xml:space="preserve"> </w:t>
      </w:r>
      <w:r w:rsidRPr="002D0770" w:rsidR="00E06787">
        <w:t xml:space="preserve">op iedere situatie van bezetting, waaronder de </w:t>
      </w:r>
      <w:r w:rsidRPr="002D0770" w:rsidR="0086406B">
        <w:t>huidige situatie in de Gazastrook.</w:t>
      </w:r>
      <w:r w:rsidRPr="002D0770">
        <w:t xml:space="preserve"> </w:t>
      </w:r>
      <w:r w:rsidRPr="002D0770" w:rsidR="0086406B">
        <w:t>De Nederlandse</w:t>
      </w:r>
      <w:r w:rsidRPr="002D0770" w:rsidR="00E45DC9">
        <w:t xml:space="preserve"> </w:t>
      </w:r>
      <w:r w:rsidRPr="002D0770" w:rsidR="005E4299">
        <w:t xml:space="preserve">schriftelijke </w:t>
      </w:r>
      <w:r w:rsidRPr="002D0770" w:rsidR="00E45DC9">
        <w:t>zienswijze is openbaar gemaakt door het Internationaal Gerechtshof.</w:t>
      </w:r>
      <w:r w:rsidRPr="002D0770">
        <w:t xml:space="preserve"> </w:t>
      </w:r>
    </w:p>
    <w:p w:rsidRPr="002D0770" w:rsidR="00041A5F" w:rsidP="002D0770" w:rsidRDefault="00041A5F" w14:paraId="27F07DDA" w14:textId="77777777">
      <w:pPr>
        <w:spacing w:line="276" w:lineRule="auto"/>
        <w:rPr>
          <w:b/>
          <w:bCs/>
        </w:rPr>
      </w:pPr>
    </w:p>
    <w:p w:rsidRPr="002D0770" w:rsidR="00B230D2" w:rsidP="002D0770" w:rsidRDefault="00B230D2" w14:paraId="658533C5" w14:textId="538C20A6">
      <w:pPr>
        <w:spacing w:line="276" w:lineRule="auto"/>
        <w:rPr>
          <w:b/>
        </w:rPr>
      </w:pPr>
      <w:r w:rsidRPr="002D0770">
        <w:rPr>
          <w:b/>
          <w:bCs/>
        </w:rPr>
        <w:t>Bombardement Al-</w:t>
      </w:r>
      <w:proofErr w:type="spellStart"/>
      <w:r w:rsidRPr="002D0770">
        <w:rPr>
          <w:b/>
          <w:bCs/>
        </w:rPr>
        <w:t>Ahli</w:t>
      </w:r>
      <w:proofErr w:type="spellEnd"/>
      <w:r w:rsidRPr="002D0770">
        <w:rPr>
          <w:b/>
          <w:bCs/>
        </w:rPr>
        <w:t>-ziekenhuis</w:t>
      </w:r>
    </w:p>
    <w:p w:rsidRPr="002D0770" w:rsidR="00CC1DFA" w:rsidP="002D0770" w:rsidRDefault="00C9218B" w14:paraId="3962028E" w14:textId="599994D0">
      <w:pPr>
        <w:spacing w:line="276" w:lineRule="auto"/>
      </w:pPr>
      <w:r w:rsidRPr="002D0770">
        <w:t>Op 13 april</w:t>
      </w:r>
      <w:r w:rsidRPr="002D0770" w:rsidR="00BB2E2A">
        <w:t xml:space="preserve"> </w:t>
      </w:r>
      <w:r w:rsidRPr="002D0770" w:rsidR="0086406B">
        <w:t>2025</w:t>
      </w:r>
      <w:r w:rsidRPr="002D0770">
        <w:t xml:space="preserve"> is het </w:t>
      </w:r>
      <w:r w:rsidRPr="002D0770">
        <w:rPr>
          <w:iCs/>
        </w:rPr>
        <w:t>Al-</w:t>
      </w:r>
      <w:proofErr w:type="spellStart"/>
      <w:r w:rsidRPr="002D0770">
        <w:rPr>
          <w:iCs/>
        </w:rPr>
        <w:t>Ahli</w:t>
      </w:r>
      <w:proofErr w:type="spellEnd"/>
      <w:r w:rsidRPr="002D0770">
        <w:rPr>
          <w:iCs/>
        </w:rPr>
        <w:t>-</w:t>
      </w:r>
      <w:r w:rsidRPr="002D0770">
        <w:t xml:space="preserve">ziekenhuis in Gaza-stad </w:t>
      </w:r>
      <w:r w:rsidRPr="002D0770" w:rsidR="005E0CC5">
        <w:t>getroffen</w:t>
      </w:r>
      <w:r w:rsidRPr="002D0770">
        <w:t xml:space="preserve"> door twee Israëlische raketten. </w:t>
      </w:r>
      <w:r w:rsidRPr="002D0770" w:rsidR="00A84472">
        <w:t>Dit was het enige</w:t>
      </w:r>
      <w:r w:rsidRPr="002D0770" w:rsidR="004A2278">
        <w:t xml:space="preserve"> </w:t>
      </w:r>
      <w:r w:rsidRPr="002D0770" w:rsidR="00A84472">
        <w:t xml:space="preserve">nog werkende ziekenhuis in Gaza-stad. </w:t>
      </w:r>
      <w:r w:rsidRPr="002D0770" w:rsidR="006E52C1">
        <w:t>Als gevolg</w:t>
      </w:r>
      <w:r w:rsidRPr="002D0770" w:rsidR="00A84472">
        <w:t xml:space="preserve"> van </w:t>
      </w:r>
      <w:r w:rsidRPr="002D0770" w:rsidR="005E0CC5">
        <w:t>deze aanval</w:t>
      </w:r>
      <w:r w:rsidRPr="002D0770" w:rsidR="00A84472">
        <w:t xml:space="preserve"> meldde de W</w:t>
      </w:r>
      <w:r w:rsidRPr="002D0770" w:rsidR="00B47682">
        <w:t>ereldgezondheidsorganisatie (W</w:t>
      </w:r>
      <w:r w:rsidRPr="002D0770" w:rsidR="00A84472">
        <w:t>HO</w:t>
      </w:r>
      <w:r w:rsidRPr="002D0770" w:rsidR="00B47682">
        <w:t>)</w:t>
      </w:r>
      <w:r w:rsidRPr="002D0770" w:rsidR="00A84472">
        <w:t xml:space="preserve"> dat het ziekenhuis niet meer in gebruik is en alle patiënten zijn geëvacueerd. </w:t>
      </w:r>
      <w:r w:rsidRPr="002D0770" w:rsidR="34B46F20">
        <w:t>De</w:t>
      </w:r>
      <w:r w:rsidRPr="002D0770">
        <w:t xml:space="preserve"> gezondheidszorg in </w:t>
      </w:r>
      <w:r w:rsidRPr="002D0770" w:rsidR="00B47682">
        <w:t>de Gazastrook</w:t>
      </w:r>
      <w:r w:rsidRPr="002D0770" w:rsidR="005E0CC5">
        <w:t>, die zich kenmerkt door</w:t>
      </w:r>
      <w:r w:rsidRPr="002D0770" w:rsidR="00A84472">
        <w:t xml:space="preserve"> een ernstig tekort aan bedden, medische goederen en medicijnen</w:t>
      </w:r>
      <w:r w:rsidRPr="002D0770" w:rsidR="005E0CC5">
        <w:t>, wordt hierdoor verder bemoeilijkt</w:t>
      </w:r>
      <w:r w:rsidRPr="002D0770" w:rsidR="00B47682">
        <w:t>.</w:t>
      </w:r>
    </w:p>
    <w:p w:rsidRPr="002D0770" w:rsidR="00CC1DFA" w:rsidP="002D0770" w:rsidRDefault="00CC1DFA" w14:paraId="53A2C408" w14:textId="43F138BA">
      <w:pPr>
        <w:spacing w:line="276" w:lineRule="auto"/>
      </w:pPr>
    </w:p>
    <w:p w:rsidRPr="002D0770" w:rsidR="00C91C8A" w:rsidP="002D0770" w:rsidRDefault="00C9218B" w14:paraId="794577FF" w14:textId="58979DB3">
      <w:pPr>
        <w:spacing w:line="276" w:lineRule="auto"/>
      </w:pPr>
      <w:r w:rsidRPr="002D0770">
        <w:t xml:space="preserve">Volgens het humanitair oorlogsrecht zijn ziekenhuizen en medische voorzieningen tijdens gewapende conflicten uitdrukkelijk beschermd. </w:t>
      </w:r>
      <w:r w:rsidRPr="002D0770" w:rsidR="00CC1DFA">
        <w:t xml:space="preserve">Het doelbewust aanvallen van ziekenhuizen of medische voorzieningen is een schending van het humanitair oorlogsrecht. </w:t>
      </w:r>
      <w:r w:rsidRPr="002D0770" w:rsidR="000A41EC">
        <w:t>Het is echter complex om</w:t>
      </w:r>
      <w:r w:rsidRPr="002D0770" w:rsidR="00C91C8A">
        <w:t xml:space="preserve"> op afstand</w:t>
      </w:r>
      <w:r w:rsidR="00830E8D">
        <w:t>,</w:t>
      </w:r>
      <w:r w:rsidRPr="002D0770" w:rsidR="00C91C8A">
        <w:t xml:space="preserve"> zonder de </w:t>
      </w:r>
      <w:r w:rsidRPr="002D0770" w:rsidR="34B46F20">
        <w:t xml:space="preserve">beschikbaarheid over het </w:t>
      </w:r>
      <w:r w:rsidRPr="002D0770" w:rsidR="00C91C8A">
        <w:t xml:space="preserve">benodigde </w:t>
      </w:r>
      <w:r w:rsidRPr="002D0770" w:rsidR="34B46F20">
        <w:t>bewijsmateriaal</w:t>
      </w:r>
      <w:r w:rsidR="00830E8D">
        <w:t>,</w:t>
      </w:r>
      <w:r w:rsidRPr="002D0770" w:rsidR="000A41EC">
        <w:t xml:space="preserve"> een oordeel te vormen over de naleving van het humanitair oorlogsrecht in relatie tot concrete gevechtshandelingen</w:t>
      </w:r>
      <w:r w:rsidRPr="002D0770" w:rsidR="34B46F20">
        <w:t>.</w:t>
      </w:r>
      <w:r w:rsidRPr="002D0770" w:rsidR="000A41EC">
        <w:t xml:space="preserve"> </w:t>
      </w:r>
      <w:r w:rsidRPr="002D0770" w:rsidR="00C91C8A">
        <w:t xml:space="preserve">Op </w:t>
      </w:r>
      <w:r w:rsidRPr="000E0A16" w:rsidR="00C91C8A">
        <w:t xml:space="preserve">verschillende niveaus is er contact met Israël waarbij </w:t>
      </w:r>
      <w:r w:rsidRPr="000E0A16" w:rsidR="34B46F20">
        <w:t>consequent</w:t>
      </w:r>
      <w:r w:rsidRPr="000E0A16" w:rsidR="00C91C8A">
        <w:t xml:space="preserve"> wordt opgeroepen tot </w:t>
      </w:r>
      <w:r w:rsidRPr="000E0A16" w:rsidR="34B46F20">
        <w:t xml:space="preserve">de noodzaak van het </w:t>
      </w:r>
      <w:r w:rsidRPr="000E0A16" w:rsidR="00C91C8A">
        <w:t xml:space="preserve">naleven van het internationaal recht. </w:t>
      </w:r>
      <w:r w:rsidRPr="000E0A16" w:rsidR="34B46F20">
        <w:t>Het Israëlisch optreden sinds het verbreken van het staakt-het-vuren baart ernstig zorgen</w:t>
      </w:r>
      <w:r w:rsidRPr="000E0A16" w:rsidR="00EA685B">
        <w:t xml:space="preserve">, zoals ik ook heb onderstreept in mijn brief aan Hoge Vertegenwoordiger Kallas. In het bijzonder het aspect </w:t>
      </w:r>
      <w:r w:rsidRPr="000E0A16" w:rsidR="001863C6">
        <w:t>van</w:t>
      </w:r>
      <w:r w:rsidRPr="000E0A16" w:rsidR="34B46F20">
        <w:t xml:space="preserve"> proportionaliteit</w:t>
      </w:r>
      <w:r w:rsidRPr="000E0A16" w:rsidR="00EA685B">
        <w:t xml:space="preserve"> roept urgente vragen op gezien het</w:t>
      </w:r>
      <w:r w:rsidRPr="000E0A16" w:rsidR="34B46F20">
        <w:t xml:space="preserve"> relatief groot aantal slachtoffers.</w:t>
      </w:r>
    </w:p>
    <w:p w:rsidRPr="002D0770" w:rsidR="007032D7" w:rsidP="002D0770" w:rsidRDefault="007032D7" w14:paraId="1582A191" w14:textId="77777777">
      <w:pPr>
        <w:spacing w:line="276" w:lineRule="auto"/>
      </w:pPr>
    </w:p>
    <w:p w:rsidRPr="000E0A16" w:rsidR="00B675D7" w:rsidP="00B675D7" w:rsidRDefault="00B675D7" w14:paraId="2DC83BE4" w14:textId="63FDD694">
      <w:pPr>
        <w:spacing w:line="276" w:lineRule="auto"/>
      </w:pPr>
      <w:bookmarkStart w:name="_Hlk196809437" w:id="3"/>
      <w:r w:rsidRPr="000E0A16">
        <w:lastRenderedPageBreak/>
        <w:t xml:space="preserve">Gedegen en onafhankelijk onderzoek zal nodig zijn om feiten te verzamelen over </w:t>
      </w:r>
      <w:r w:rsidRPr="000E0A16" w:rsidR="001863C6">
        <w:t>(</w:t>
      </w:r>
      <w:r w:rsidRPr="000E0A16">
        <w:t>vermeende</w:t>
      </w:r>
      <w:r w:rsidRPr="000E0A16" w:rsidR="001863C6">
        <w:t>)</w:t>
      </w:r>
      <w:r w:rsidRPr="000E0A16">
        <w:t xml:space="preserve"> schendingen. </w:t>
      </w:r>
      <w:r w:rsidRPr="000E0A16" w:rsidR="00FF0268">
        <w:t>H</w:t>
      </w:r>
      <w:r w:rsidRPr="000E0A16">
        <w:t>et</w:t>
      </w:r>
      <w:r w:rsidRPr="000E0A16" w:rsidR="00FF0268">
        <w:t xml:space="preserve"> is</w:t>
      </w:r>
      <w:r w:rsidRPr="000E0A16">
        <w:t xml:space="preserve"> in beginsel aan een (internationale) rechter om op basis van alle feiten na hoor-en wederhoor schendingen vast te stellen. </w:t>
      </w:r>
      <w:r w:rsidRPr="000E0A16" w:rsidR="00FF0268">
        <w:t>Daarbij is het</w:t>
      </w:r>
      <w:r w:rsidRPr="000E0A16">
        <w:t xml:space="preserve"> in eerste instantie aan de meest betrokken staat of staten die ter zake rechtsmacht hebben om internationale misdrijven te onderzoeken en degenen die daarvoor verantwoordelijk zijn te vervolgen en berechten. Internationale mechanismen – zoals </w:t>
      </w:r>
      <w:proofErr w:type="spellStart"/>
      <w:r w:rsidRPr="000E0A16">
        <w:t>onderzoeksmechanismen</w:t>
      </w:r>
      <w:proofErr w:type="spellEnd"/>
      <w:r w:rsidRPr="000E0A16">
        <w:t xml:space="preserve">, bewijzenbanken en internationale of hybride tribunalen – zijn complementair aan de nationale strafrechtelijke procedures. Zo kan het Internationaal Strafhof optreden indien de staat in kwestie niet bereid of in staat is om het onderzoek of de vervolging van de relevante internationale misdrijven uit te voeren. </w:t>
      </w:r>
    </w:p>
    <w:p w:rsidRPr="000E0A16" w:rsidR="007D7297" w:rsidP="002D0770" w:rsidRDefault="007D7297" w14:paraId="5F738E2D" w14:textId="77777777">
      <w:pPr>
        <w:spacing w:line="276" w:lineRule="auto"/>
      </w:pPr>
    </w:p>
    <w:p w:rsidRPr="000E0A16" w:rsidR="0077404B" w:rsidP="002D0770" w:rsidRDefault="0044688E" w14:paraId="0235BA75" w14:textId="5755C716">
      <w:pPr>
        <w:spacing w:line="276" w:lineRule="auto"/>
      </w:pPr>
      <w:r w:rsidRPr="000E0A16">
        <w:t xml:space="preserve">Tegengaan van straffeloosheid is voor Nederland van belang. </w:t>
      </w:r>
      <w:r w:rsidRPr="000E0A16" w:rsidR="00C91C8A">
        <w:t xml:space="preserve">Ik heb u reeds </w:t>
      </w:r>
      <w:r w:rsidRPr="000E0A16" w:rsidR="001863C6">
        <w:t xml:space="preserve">eerder </w:t>
      </w:r>
      <w:r w:rsidRPr="000E0A16" w:rsidR="00C91C8A">
        <w:t xml:space="preserve">geïnformeerd over additionele Nederlandse bijdragen in dit kader aan </w:t>
      </w:r>
      <w:r w:rsidRPr="000E0A16">
        <w:t xml:space="preserve">het Internationaal Strafhof </w:t>
      </w:r>
      <w:r w:rsidRPr="000E0A16" w:rsidR="00C91C8A">
        <w:t>en</w:t>
      </w:r>
      <w:r w:rsidRPr="000E0A16">
        <w:t xml:space="preserve"> het kantoor van de VN</w:t>
      </w:r>
      <w:r w:rsidRPr="000E0A16" w:rsidR="00B26AD0">
        <w:t>-</w:t>
      </w:r>
      <w:r w:rsidRPr="000E0A16">
        <w:t xml:space="preserve">Hoge Vertegenwoordiger voor de Mensenrechten (OHCHR). Het OHCHR-kantoor in de Palestijnse Gebieden zal in 2025 opnieuw een bijdrage ontvangen van één miljoen </w:t>
      </w:r>
      <w:r w:rsidRPr="000E0A16" w:rsidR="001863C6">
        <w:t xml:space="preserve">euro </w:t>
      </w:r>
      <w:r w:rsidRPr="000E0A16">
        <w:t>voor monitoring en onderzoek naar mogelijke mensenrechtenschendingen.</w:t>
      </w:r>
    </w:p>
    <w:bookmarkEnd w:id="3"/>
    <w:p w:rsidRPr="000E0A16" w:rsidR="00A41D25" w:rsidP="002D0770" w:rsidRDefault="00A41D25" w14:paraId="5B55A46A" w14:textId="77777777">
      <w:pPr>
        <w:spacing w:line="276" w:lineRule="auto"/>
        <w:rPr>
          <w:b/>
          <w:bCs/>
        </w:rPr>
      </w:pPr>
    </w:p>
    <w:p w:rsidRPr="000E0A16" w:rsidR="00B675D7" w:rsidP="00B675D7" w:rsidRDefault="00B675D7" w14:paraId="6E0E95ED" w14:textId="77777777">
      <w:pPr>
        <w:spacing w:line="276" w:lineRule="auto"/>
        <w:rPr>
          <w:b/>
          <w:bCs/>
        </w:rPr>
      </w:pPr>
      <w:r w:rsidRPr="000E0A16">
        <w:rPr>
          <w:b/>
          <w:bCs/>
        </w:rPr>
        <w:t>EU Actieplannen met Israël en met de Palestijnse Autoriteit</w:t>
      </w:r>
    </w:p>
    <w:p w:rsidRPr="000E0A16" w:rsidR="00B675D7" w:rsidP="00B675D7" w:rsidRDefault="00B675D7" w14:paraId="409A92DE" w14:textId="77777777">
      <w:pPr>
        <w:spacing w:line="276" w:lineRule="auto"/>
      </w:pPr>
      <w:r w:rsidRPr="000E0A16">
        <w:t xml:space="preserve">Zoals verzocht door uw Kamer informeer ik uw Kamer over de stand van zaken met betrekking tot de verlenging van het Actieplan van de EU met Israël en het Actieplan van de EU met de PA. </w:t>
      </w:r>
    </w:p>
    <w:p w:rsidRPr="000E0A16" w:rsidR="00B675D7" w:rsidP="00B675D7" w:rsidRDefault="00B675D7" w14:paraId="05012C8A" w14:textId="77777777">
      <w:pPr>
        <w:spacing w:line="276" w:lineRule="auto"/>
      </w:pPr>
    </w:p>
    <w:p w:rsidRPr="000E0A16" w:rsidR="00B675D7" w:rsidP="00B675D7" w:rsidRDefault="00B675D7" w14:paraId="19164E1A" w14:textId="31265BF7">
      <w:pPr>
        <w:spacing w:line="276" w:lineRule="auto"/>
      </w:pPr>
      <w:r w:rsidRPr="000E0A16">
        <w:t xml:space="preserve">Het EU Actieplan met Israël is in 2005 overeengekomen en werkt de samenwerking verder uit op gebieden </w:t>
      </w:r>
      <w:r w:rsidRPr="000E0A16" w:rsidR="001863C6">
        <w:t xml:space="preserve">van onder andere </w:t>
      </w:r>
      <w:r w:rsidRPr="000E0A16">
        <w:t>eerbiedig</w:t>
      </w:r>
      <w:r w:rsidRPr="000E0A16" w:rsidR="001863C6">
        <w:t xml:space="preserve">en </w:t>
      </w:r>
      <w:r w:rsidRPr="000E0A16">
        <w:t>van de mensenrechten</w:t>
      </w:r>
      <w:r w:rsidRPr="000E0A16" w:rsidR="003B068A">
        <w:t xml:space="preserve"> en humanitair oorlogsrecht</w:t>
      </w:r>
      <w:r w:rsidRPr="000E0A16">
        <w:t xml:space="preserve">. Politieke dialoog is bijvoorbeeld door Nederland ingezet om in EU verband te spreken met Israël over de zorgelijke ontwikkelingen in de Gazastrook tijdens de Associatieraad op 24 februari 2025. </w:t>
      </w:r>
    </w:p>
    <w:p w:rsidRPr="000E0A16" w:rsidR="00B675D7" w:rsidP="00B675D7" w:rsidRDefault="00B675D7" w14:paraId="07BEF61E" w14:textId="77777777">
      <w:pPr>
        <w:spacing w:line="276" w:lineRule="auto"/>
      </w:pPr>
    </w:p>
    <w:p w:rsidRPr="000E0A16" w:rsidR="00B675D7" w:rsidP="00B675D7" w:rsidRDefault="00B675D7" w14:paraId="43F498FE" w14:textId="7092B632">
      <w:pPr>
        <w:spacing w:line="276" w:lineRule="auto"/>
      </w:pPr>
      <w:r w:rsidRPr="000E0A16">
        <w:t>Het EU Actieplan met de Palestijns</w:t>
      </w:r>
      <w:r w:rsidRPr="000E0A16" w:rsidR="001863C6">
        <w:t>e</w:t>
      </w:r>
      <w:r w:rsidRPr="000E0A16">
        <w:t xml:space="preserve"> Autoriteit is in 2013 overeengekomen en richt zich voornamelijk op bestuurlijke hervormingen, EU-steun bij de ontwikkeling van instituties</w:t>
      </w:r>
      <w:r w:rsidRPr="000E0A16" w:rsidR="001863C6">
        <w:t xml:space="preserve"> van de Palestijnse Autoriteit</w:t>
      </w:r>
      <w:r w:rsidRPr="000E0A16">
        <w:t xml:space="preserve"> op een breed scala aan thema’s, </w:t>
      </w:r>
      <w:r w:rsidRPr="000E0A16" w:rsidR="001863C6">
        <w:t xml:space="preserve">alsook </w:t>
      </w:r>
      <w:r w:rsidRPr="000E0A16">
        <w:t xml:space="preserve">de politieke stabiliteit van de PA. Het actieplan dient bij te dragen aan een formeel Associatieakkoord dat - in lijn met de Nederlandse positie op de </w:t>
      </w:r>
      <w:proofErr w:type="spellStart"/>
      <w:r w:rsidRPr="000E0A16">
        <w:t>tweestatenoplossing</w:t>
      </w:r>
      <w:proofErr w:type="spellEnd"/>
      <w:r w:rsidRPr="000E0A16">
        <w:t xml:space="preserve"> - bij de totstandkoming van een toekomstige Palestijnse staat van kracht wordt.  </w:t>
      </w:r>
    </w:p>
    <w:p w:rsidRPr="000E0A16" w:rsidR="00B675D7" w:rsidP="00B675D7" w:rsidRDefault="00B675D7" w14:paraId="199E15AD" w14:textId="77777777">
      <w:pPr>
        <w:spacing w:line="276" w:lineRule="auto"/>
      </w:pPr>
    </w:p>
    <w:p w:rsidRPr="000E0A16" w:rsidR="00B675D7" w:rsidP="00B675D7" w:rsidRDefault="00B675D7" w14:paraId="60B259AC" w14:textId="214B944C">
      <w:pPr>
        <w:spacing w:line="276" w:lineRule="auto"/>
      </w:pPr>
      <w:r w:rsidRPr="000E0A16">
        <w:t xml:space="preserve">Het EU-PA Actieplan staat </w:t>
      </w:r>
      <w:r w:rsidRPr="000E0A16" w:rsidR="001863C6">
        <w:t xml:space="preserve">formeel </w:t>
      </w:r>
      <w:r w:rsidRPr="000E0A16">
        <w:t xml:space="preserve">los van het </w:t>
      </w:r>
      <w:proofErr w:type="spellStart"/>
      <w:r w:rsidRPr="000E0A16">
        <w:rPr>
          <w:i/>
          <w:iCs/>
        </w:rPr>
        <w:t>Multiannual</w:t>
      </w:r>
      <w:proofErr w:type="spellEnd"/>
      <w:r w:rsidRPr="000E0A16">
        <w:rPr>
          <w:i/>
          <w:iCs/>
        </w:rPr>
        <w:t xml:space="preserve"> Comprehensive Support </w:t>
      </w:r>
      <w:proofErr w:type="spellStart"/>
      <w:r w:rsidRPr="000E0A16">
        <w:rPr>
          <w:i/>
          <w:iCs/>
        </w:rPr>
        <w:t>Programme</w:t>
      </w:r>
      <w:proofErr w:type="spellEnd"/>
      <w:r w:rsidRPr="000E0A16">
        <w:rPr>
          <w:i/>
          <w:iCs/>
        </w:rPr>
        <w:t xml:space="preserve"> </w:t>
      </w:r>
      <w:r w:rsidRPr="000E0A16">
        <w:t xml:space="preserve">dat tijdens de </w:t>
      </w:r>
      <w:r w:rsidRPr="000E0A16">
        <w:rPr>
          <w:i/>
          <w:iCs/>
        </w:rPr>
        <w:t xml:space="preserve">High Level </w:t>
      </w:r>
      <w:proofErr w:type="spellStart"/>
      <w:r w:rsidRPr="000E0A16">
        <w:rPr>
          <w:i/>
          <w:iCs/>
        </w:rPr>
        <w:t>Dialogue</w:t>
      </w:r>
      <w:proofErr w:type="spellEnd"/>
      <w:r w:rsidRPr="000E0A16">
        <w:t xml:space="preserve"> tussen de EU en de PA en marge van de Raad Buitenlandse Zaken van 14 april jl. is gepresenteerd door de Europese Commissie. Voor deze gelden is de hervormingsagenda van de PA voorwaardelijk. Tijdens de </w:t>
      </w:r>
      <w:r w:rsidRPr="000E0A16">
        <w:rPr>
          <w:i/>
          <w:iCs/>
        </w:rPr>
        <w:t xml:space="preserve">High Level </w:t>
      </w:r>
      <w:proofErr w:type="spellStart"/>
      <w:r w:rsidRPr="000E0A16">
        <w:rPr>
          <w:i/>
          <w:iCs/>
        </w:rPr>
        <w:t>Dialogue</w:t>
      </w:r>
      <w:proofErr w:type="spellEnd"/>
      <w:r w:rsidRPr="000E0A16">
        <w:t xml:space="preserve"> zijn zorgen die ook in uw Kamer leven over het onderwijs en de schoolboeken, als ook de betalingen aan families van gevangenen gedeeld. De Kamer is hierover geïnformeerd in het verslag van de desbetreffende Raad Buitenlandse Zaken. </w:t>
      </w:r>
    </w:p>
    <w:p w:rsidRPr="000E0A16" w:rsidR="00B675D7" w:rsidP="00B675D7" w:rsidRDefault="00B675D7" w14:paraId="352714CB" w14:textId="77777777">
      <w:pPr>
        <w:spacing w:line="276" w:lineRule="auto"/>
      </w:pPr>
    </w:p>
    <w:p w:rsidRPr="000E0A16" w:rsidR="00B675D7" w:rsidP="00B675D7" w:rsidRDefault="00B675D7" w14:paraId="37558C82" w14:textId="6DB2A1FC">
      <w:pPr>
        <w:spacing w:line="276" w:lineRule="auto"/>
      </w:pPr>
      <w:r w:rsidRPr="000E0A16">
        <w:t xml:space="preserve">Beide Actieplannen worden periodiek verlengd, zoals in 2018 en 2022. </w:t>
      </w:r>
      <w:r w:rsidRPr="000E0A16" w:rsidR="00BC74C4">
        <w:t xml:space="preserve">Hierover wordt in de Raad van de EU gestemd. Welke stemregel van toepassing is, hangt af van de inhoud van de voorliggende verlengingsbesluiten. Dit verschilt voor beide </w:t>
      </w:r>
      <w:r w:rsidRPr="000E0A16" w:rsidR="00BC74C4">
        <w:lastRenderedPageBreak/>
        <w:t>Actieplannen. Voor verlenging van het EU-PA Actieplan is een gekwalificeerde meerderheid vereist. Voor verlenging van het EU-Israël Actieplan is unanimiteit vereist. Aangezien de Actieplannen een nadere uitwerking zijn van de bredere kaders van samenwerking tussen de EU en Israël en de EU en de Palestijnse Autoriteit - namelijk de (interim) Associatieakkoorden - is besluitvorming van de plannen doorgaans een formaliteit.</w:t>
      </w:r>
    </w:p>
    <w:p w:rsidRPr="000E0A16" w:rsidR="00B675D7" w:rsidP="00B675D7" w:rsidRDefault="00B675D7" w14:paraId="67FC2C1E" w14:textId="77777777">
      <w:pPr>
        <w:spacing w:line="276" w:lineRule="auto"/>
      </w:pPr>
    </w:p>
    <w:p w:rsidRPr="000E0A16" w:rsidR="00B675D7" w:rsidP="00B675D7" w:rsidRDefault="00B675D7" w14:paraId="50357362" w14:textId="2FDCC890">
      <w:pPr>
        <w:spacing w:line="276" w:lineRule="auto"/>
      </w:pPr>
      <w:r w:rsidRPr="000E0A16">
        <w:t>Zoals reeds aan uw Kamer</w:t>
      </w:r>
      <w:r w:rsidRPr="000E0A16">
        <w:rPr>
          <w:vertAlign w:val="superscript"/>
        </w:rPr>
        <w:footnoteReference w:id="6"/>
      </w:r>
      <w:r w:rsidRPr="000E0A16">
        <w:t xml:space="preserve"> medegedeeld heeft Nederland middels een brief aan de EU Hoge Vertegenwoordiger Kallas verzocht om de naleving door Israël van Artikel 2 van het Associatieakkoord te evalueren. </w:t>
      </w:r>
      <w:r w:rsidRPr="000E0A16" w:rsidR="001863C6">
        <w:t xml:space="preserve">Daarbij is aangegeven dat in afwachting </w:t>
      </w:r>
      <w:r w:rsidRPr="000E0A16">
        <w:t xml:space="preserve">hiervan Nederland niet </w:t>
      </w:r>
      <w:r w:rsidRPr="000E0A16" w:rsidR="001863C6">
        <w:t xml:space="preserve">zal </w:t>
      </w:r>
      <w:r w:rsidRPr="000E0A16">
        <w:t xml:space="preserve">instemmen met verlenging van het EU-Israël Actieplan. </w:t>
      </w:r>
    </w:p>
    <w:p w:rsidRPr="000E0A16" w:rsidR="00C9218B" w:rsidP="002D0770" w:rsidRDefault="00A41D25" w14:paraId="3D18A288" w14:textId="7358C7CE">
      <w:pPr>
        <w:spacing w:line="276" w:lineRule="auto"/>
      </w:pPr>
      <w:r w:rsidRPr="000E0A16">
        <w:t xml:space="preserve"> </w:t>
      </w:r>
    </w:p>
    <w:p w:rsidRPr="000E0A16" w:rsidR="002D4123" w:rsidP="002D0770" w:rsidRDefault="002C1D24" w14:paraId="680A99F7" w14:textId="77777777">
      <w:pPr>
        <w:spacing w:line="276" w:lineRule="auto"/>
        <w:rPr>
          <w:b/>
          <w:bCs/>
        </w:rPr>
      </w:pPr>
      <w:r w:rsidRPr="000E0A16">
        <w:rPr>
          <w:b/>
          <w:bCs/>
        </w:rPr>
        <w:t>Uitkomsten onderhandelingen Palestijns Pakket</w:t>
      </w:r>
    </w:p>
    <w:p w:rsidRPr="002D0770" w:rsidR="002C1D24" w:rsidP="002D0770" w:rsidRDefault="001863C6" w14:paraId="55C46F43" w14:textId="6F9CDC75">
      <w:pPr>
        <w:spacing w:line="276" w:lineRule="auto"/>
      </w:pPr>
      <w:r w:rsidRPr="000E0A16">
        <w:t>Graag</w:t>
      </w:r>
      <w:r w:rsidRPr="000E0A16" w:rsidR="00826125">
        <w:t xml:space="preserve"> </w:t>
      </w:r>
      <w:r w:rsidRPr="000E0A16" w:rsidR="00A26E6C">
        <w:t>informeer</w:t>
      </w:r>
      <w:r w:rsidRPr="002D0770" w:rsidR="00A26E6C">
        <w:t xml:space="preserve"> ik uw Kamer </w:t>
      </w:r>
      <w:r w:rsidRPr="002D0770" w:rsidR="00D06678">
        <w:t>tot slot</w:t>
      </w:r>
      <w:r w:rsidRPr="002D0770" w:rsidR="0089571A">
        <w:t xml:space="preserve"> </w:t>
      </w:r>
      <w:r w:rsidRPr="002D0770" w:rsidR="00A26E6C">
        <w:t>over de Nederlandse inzet in VN-gremia ten aanzien van resoluties</w:t>
      </w:r>
      <w:r w:rsidRPr="002D0770" w:rsidR="00892E97">
        <w:t>. Onderdeel van</w:t>
      </w:r>
      <w:r w:rsidRPr="002D0770" w:rsidR="00C91C8A">
        <w:t xml:space="preserve"> </w:t>
      </w:r>
      <w:r w:rsidRPr="002D0770" w:rsidR="0089571A">
        <w:t xml:space="preserve">de </w:t>
      </w:r>
      <w:r w:rsidRPr="002D0770" w:rsidR="00C91C8A">
        <w:t>58</w:t>
      </w:r>
      <w:r w:rsidRPr="002D0770" w:rsidR="00C91C8A">
        <w:rPr>
          <w:vertAlign w:val="superscript"/>
        </w:rPr>
        <w:t>e</w:t>
      </w:r>
      <w:r w:rsidRPr="002D0770" w:rsidR="00C91C8A">
        <w:t xml:space="preserve"> zitting van de VN-Mensenrechtenraad (MRR</w:t>
      </w:r>
      <w:r w:rsidRPr="002D0770" w:rsidR="0089571A">
        <w:t>), die liep van 24 februari tot 4 april 2025,</w:t>
      </w:r>
      <w:r w:rsidRPr="002D0770" w:rsidR="00892E97">
        <w:t xml:space="preserve"> </w:t>
      </w:r>
      <w:r w:rsidRPr="002D0770" w:rsidR="00C91C8A">
        <w:t>was het</w:t>
      </w:r>
      <w:r w:rsidRPr="002D0770" w:rsidR="00892E97">
        <w:t xml:space="preserve"> </w:t>
      </w:r>
      <w:r w:rsidRPr="002D0770" w:rsidR="00CC60C5">
        <w:t>‘</w:t>
      </w:r>
      <w:r w:rsidRPr="002D0770" w:rsidR="00892E97">
        <w:t>Palestijns Pakket</w:t>
      </w:r>
      <w:r w:rsidRPr="002D0770" w:rsidR="00CC60C5">
        <w:t>’</w:t>
      </w:r>
      <w:r w:rsidRPr="002D0770" w:rsidR="00892E97">
        <w:t>, een jaarlijks terugkerende set van vier resoluties over het Midden-Oosten Vredesproces.</w:t>
      </w:r>
      <w:r w:rsidRPr="002D0770" w:rsidR="00826125">
        <w:rPr>
          <w:rStyle w:val="FootnoteReference"/>
        </w:rPr>
        <w:footnoteReference w:id="7"/>
      </w:r>
    </w:p>
    <w:p w:rsidRPr="002D0770" w:rsidR="00892E97" w:rsidP="002D0770" w:rsidRDefault="00892E97" w14:paraId="17C3E3F7" w14:textId="77777777">
      <w:pPr>
        <w:spacing w:line="276" w:lineRule="auto"/>
      </w:pPr>
    </w:p>
    <w:p w:rsidRPr="002D0770" w:rsidR="00A26E6C" w:rsidP="002D0770" w:rsidRDefault="00A26E6C" w14:paraId="0242B7BF" w14:textId="76C7FC69">
      <w:pPr>
        <w:spacing w:line="276" w:lineRule="auto"/>
        <w:rPr>
          <w:i/>
          <w:iCs/>
        </w:rPr>
      </w:pPr>
      <w:r w:rsidRPr="002D0770">
        <w:rPr>
          <w:i/>
          <w:iCs/>
        </w:rPr>
        <w:t>Nederlandse inzet</w:t>
      </w:r>
    </w:p>
    <w:p w:rsidRPr="002D0770" w:rsidR="00A26E6C" w:rsidP="002D0770" w:rsidRDefault="00892E97" w14:paraId="4422294C" w14:textId="784A03DE">
      <w:pPr>
        <w:spacing w:line="276" w:lineRule="auto"/>
      </w:pPr>
      <w:r w:rsidRPr="002D0770">
        <w:t xml:space="preserve">In de onderhandelingen heeft Nederland </w:t>
      </w:r>
      <w:r w:rsidRPr="002D0770" w:rsidR="00826125">
        <w:t xml:space="preserve">de </w:t>
      </w:r>
      <w:r w:rsidRPr="002D0770" w:rsidR="00A26E6C">
        <w:t xml:space="preserve">voorgelegde </w:t>
      </w:r>
      <w:r w:rsidRPr="002D0770" w:rsidR="00826125">
        <w:t>resoluties op merites beoordeeld. Er is</w:t>
      </w:r>
      <w:r w:rsidRPr="002D0770">
        <w:t xml:space="preserve"> ingezet op</w:t>
      </w:r>
      <w:r w:rsidRPr="002D0770" w:rsidR="00CC60C5">
        <w:t xml:space="preserve"> </w:t>
      </w:r>
      <w:r w:rsidRPr="002D0770">
        <w:t>gebalanceerde resolutieteksten die recht doen aan de verslechterende situatie in de Palestijnse Gebieden</w:t>
      </w:r>
      <w:r w:rsidRPr="002D0770" w:rsidR="00C91C8A">
        <w:t xml:space="preserve">, </w:t>
      </w:r>
      <w:r w:rsidRPr="002D0770" w:rsidR="00B26AD0">
        <w:t>onder andere</w:t>
      </w:r>
      <w:r w:rsidRPr="002D0770" w:rsidR="00C91C8A">
        <w:t xml:space="preserve"> als gevolg van het conflict in de Gazastrook</w:t>
      </w:r>
      <w:r w:rsidRPr="002D0770">
        <w:t>.</w:t>
      </w:r>
      <w:r w:rsidRPr="002D0770" w:rsidR="00A26E6C">
        <w:t xml:space="preserve"> </w:t>
      </w:r>
      <w:r w:rsidRPr="002D0770" w:rsidR="00826125">
        <w:t xml:space="preserve">Daarbij werd ook </w:t>
      </w:r>
      <w:r w:rsidRPr="002D0770" w:rsidDel="00D74AB9" w:rsidR="00826125">
        <w:t xml:space="preserve">het uitgekomen </w:t>
      </w:r>
      <w:r w:rsidRPr="002D0770" w:rsidR="00826125">
        <w:t xml:space="preserve">advies van het </w:t>
      </w:r>
      <w:r w:rsidRPr="002D0770">
        <w:t>Internationaal Gerechtshof (IGH)</w:t>
      </w:r>
      <w:r w:rsidRPr="002D0770" w:rsidR="00826125">
        <w:t xml:space="preserve"> </w:t>
      </w:r>
      <w:r w:rsidRPr="002D0770">
        <w:t>van 19 juli 2024 over de onrechtmatigheid van de bezetting</w:t>
      </w:r>
      <w:r w:rsidRPr="002D0770" w:rsidR="00826125">
        <w:t xml:space="preserve"> in ogenschouw genomen. Conform motie van der Staaij</w:t>
      </w:r>
      <w:r w:rsidRPr="002D0770" w:rsidR="00826125">
        <w:rPr>
          <w:rStyle w:val="FootnoteReference"/>
        </w:rPr>
        <w:footnoteReference w:id="8"/>
      </w:r>
      <w:r w:rsidRPr="002D0770" w:rsidR="00826125">
        <w:t xml:space="preserve"> heeft Nederland zich</w:t>
      </w:r>
      <w:r w:rsidRPr="002D0770" w:rsidR="00B65F8E">
        <w:t xml:space="preserve"> </w:t>
      </w:r>
      <w:r w:rsidRPr="002D0770" w:rsidR="00826125">
        <w:t xml:space="preserve">ingezet om disproportionele aandacht voor </w:t>
      </w:r>
      <w:r w:rsidRPr="002D0770" w:rsidR="002A14E4">
        <w:t>Israël</w:t>
      </w:r>
      <w:r w:rsidRPr="002D0770" w:rsidR="00826125">
        <w:t xml:space="preserve"> tegen te gaan. </w:t>
      </w:r>
    </w:p>
    <w:p w:rsidRPr="002D0770" w:rsidR="00A26E6C" w:rsidP="002D0770" w:rsidRDefault="00A26E6C" w14:paraId="509E3061" w14:textId="77777777">
      <w:pPr>
        <w:autoSpaceDE w:val="0"/>
        <w:adjustRightInd w:val="0"/>
        <w:spacing w:line="276" w:lineRule="auto"/>
        <w:textAlignment w:val="auto"/>
      </w:pPr>
    </w:p>
    <w:p w:rsidRPr="002D0770" w:rsidR="00A26E6C" w:rsidP="002D0770" w:rsidRDefault="00A26E6C" w14:paraId="3EBE4341" w14:textId="1568529B">
      <w:pPr>
        <w:autoSpaceDE w:val="0"/>
        <w:adjustRightInd w:val="0"/>
        <w:spacing w:line="276" w:lineRule="auto"/>
        <w:textAlignment w:val="auto"/>
        <w:rPr>
          <w:i/>
          <w:iCs/>
        </w:rPr>
      </w:pPr>
      <w:r w:rsidRPr="002D0770">
        <w:rPr>
          <w:i/>
          <w:iCs/>
        </w:rPr>
        <w:t>Item 2</w:t>
      </w:r>
      <w:r w:rsidRPr="002D0770" w:rsidR="00B46BBA">
        <w:rPr>
          <w:i/>
          <w:iCs/>
        </w:rPr>
        <w:t xml:space="preserve">: </w:t>
      </w:r>
      <w:r w:rsidRPr="002D0770" w:rsidR="34B46F20">
        <w:rPr>
          <w:i/>
          <w:iCs/>
        </w:rPr>
        <w:t>Dialoog</w:t>
      </w:r>
      <w:r w:rsidRPr="002D0770" w:rsidR="00B46BBA">
        <w:rPr>
          <w:i/>
          <w:iCs/>
        </w:rPr>
        <w:t xml:space="preserve"> met </w:t>
      </w:r>
      <w:r w:rsidRPr="002D0770" w:rsidR="00111271">
        <w:rPr>
          <w:i/>
          <w:iCs/>
        </w:rPr>
        <w:t>VN</w:t>
      </w:r>
      <w:r w:rsidRPr="002D0770" w:rsidR="00B46BBA">
        <w:rPr>
          <w:i/>
          <w:iCs/>
        </w:rPr>
        <w:t xml:space="preserve"> Hoge Commissaris </w:t>
      </w:r>
      <w:r w:rsidRPr="002D0770" w:rsidR="00111271">
        <w:rPr>
          <w:i/>
          <w:iCs/>
        </w:rPr>
        <w:t>voor de Mensenrechten</w:t>
      </w:r>
      <w:r w:rsidRPr="002D0770" w:rsidR="00B46BBA">
        <w:rPr>
          <w:i/>
          <w:iCs/>
        </w:rPr>
        <w:t xml:space="preserve"> over </w:t>
      </w:r>
      <w:r w:rsidRPr="002D0770" w:rsidR="002A14E4">
        <w:rPr>
          <w:i/>
          <w:iCs/>
        </w:rPr>
        <w:t>Israël</w:t>
      </w:r>
      <w:r w:rsidRPr="002D0770" w:rsidR="00B46BBA">
        <w:rPr>
          <w:i/>
          <w:iCs/>
        </w:rPr>
        <w:t xml:space="preserve"> en Palestijnse Gebieden</w:t>
      </w:r>
    </w:p>
    <w:p w:rsidRPr="002D0770" w:rsidR="007D08A8" w:rsidP="002D0770" w:rsidRDefault="00A26E6C" w14:paraId="0929552B" w14:textId="61E82A67">
      <w:pPr>
        <w:autoSpaceDN/>
        <w:spacing w:line="276" w:lineRule="auto"/>
        <w:textAlignment w:val="auto"/>
      </w:pPr>
      <w:r w:rsidRPr="002D0770">
        <w:t xml:space="preserve">Onder </w:t>
      </w:r>
      <w:r w:rsidRPr="002D0770" w:rsidR="00111271">
        <w:t>agendapunt</w:t>
      </w:r>
      <w:r w:rsidRPr="002D0770">
        <w:t xml:space="preserve"> Item 2 </w:t>
      </w:r>
      <w:r w:rsidRPr="002D0770" w:rsidR="00047E8F">
        <w:t>stond</w:t>
      </w:r>
      <w:r w:rsidRPr="002D0770" w:rsidR="007D08A8">
        <w:t xml:space="preserve"> dit jaar een rapport</w:t>
      </w:r>
      <w:r w:rsidRPr="002D0770" w:rsidR="00B65F8E">
        <w:rPr>
          <w:rStyle w:val="FootnoteReference"/>
        </w:rPr>
        <w:footnoteReference w:id="9"/>
      </w:r>
      <w:r w:rsidRPr="002D0770" w:rsidR="007D08A8">
        <w:t xml:space="preserve"> van </w:t>
      </w:r>
      <w:r w:rsidRPr="002D0770" w:rsidR="00111271">
        <w:t>VN</w:t>
      </w:r>
      <w:r w:rsidRPr="002D0770" w:rsidR="007D08A8">
        <w:t xml:space="preserve"> </w:t>
      </w:r>
      <w:r w:rsidRPr="002D0770" w:rsidR="00B65F8E">
        <w:t xml:space="preserve">Hoge </w:t>
      </w:r>
      <w:r w:rsidRPr="002D0770" w:rsidR="007D08A8">
        <w:t xml:space="preserve">Commissaris </w:t>
      </w:r>
      <w:r w:rsidRPr="002D0770" w:rsidR="00111271">
        <w:t xml:space="preserve">voor de Mensenrechten, </w:t>
      </w:r>
      <w:proofErr w:type="spellStart"/>
      <w:r w:rsidRPr="002D0770" w:rsidR="00111271">
        <w:t>Volker</w:t>
      </w:r>
      <w:proofErr w:type="spellEnd"/>
      <w:r w:rsidRPr="002D0770" w:rsidR="007D08A8">
        <w:t xml:space="preserve"> </w:t>
      </w:r>
      <w:proofErr w:type="spellStart"/>
      <w:r w:rsidRPr="002D0770" w:rsidR="007D08A8">
        <w:t>Türk</w:t>
      </w:r>
      <w:proofErr w:type="spellEnd"/>
      <w:r w:rsidR="00DB1682">
        <w:t>,</w:t>
      </w:r>
      <w:r w:rsidRPr="002D0770" w:rsidR="007D08A8">
        <w:t xml:space="preserve"> op de agenda. Nederland</w:t>
      </w:r>
      <w:r w:rsidRPr="002D0770" w:rsidR="00B20BEC">
        <w:t xml:space="preserve"> sprak </w:t>
      </w:r>
      <w:r w:rsidRPr="002D0770" w:rsidR="0089571A">
        <w:t>in</w:t>
      </w:r>
      <w:r w:rsidRPr="002D0770" w:rsidR="00B20BEC">
        <w:t xml:space="preserve"> het debat</w:t>
      </w:r>
      <w:r w:rsidRPr="002D0770" w:rsidR="00473B3C">
        <w:t xml:space="preserve"> met de Hoge Commissaris</w:t>
      </w:r>
      <w:r w:rsidRPr="002D0770" w:rsidR="007D08A8">
        <w:t xml:space="preserve"> zorgen uit over de bevindingen uit het rapport,</w:t>
      </w:r>
      <w:r w:rsidRPr="002D0770" w:rsidR="00B20BEC">
        <w:t xml:space="preserve"> onder andere op het gebied van gender</w:t>
      </w:r>
      <w:r w:rsidR="00DB1682">
        <w:t>-</w:t>
      </w:r>
      <w:r w:rsidRPr="002D0770" w:rsidR="00B20BEC">
        <w:t xml:space="preserve">gerelateerd geweld, </w:t>
      </w:r>
      <w:r w:rsidRPr="002D0770" w:rsidR="007D08A8">
        <w:t xml:space="preserve">benadrukte het belang van </w:t>
      </w:r>
      <w:r w:rsidRPr="002D0770" w:rsidR="007D08A8">
        <w:rPr>
          <w:i/>
          <w:iCs/>
        </w:rPr>
        <w:t>accountability</w:t>
      </w:r>
      <w:r w:rsidRPr="002D0770" w:rsidR="00B20BEC">
        <w:rPr>
          <w:i/>
          <w:iCs/>
        </w:rPr>
        <w:t>,</w:t>
      </w:r>
      <w:r w:rsidRPr="002D0770" w:rsidR="007D08A8">
        <w:t xml:space="preserve"> </w:t>
      </w:r>
      <w:r w:rsidRPr="002D0770" w:rsidR="00B20BEC">
        <w:t xml:space="preserve">en </w:t>
      </w:r>
      <w:r w:rsidRPr="002D0770" w:rsidR="0089571A">
        <w:t xml:space="preserve">riep, </w:t>
      </w:r>
      <w:r w:rsidRPr="002D0770" w:rsidR="00B20BEC">
        <w:t>conform</w:t>
      </w:r>
      <w:r w:rsidRPr="002D0770" w:rsidR="007D08A8">
        <w:t xml:space="preserve"> motie Veldkamp c.s.</w:t>
      </w:r>
      <w:r w:rsidRPr="002D0770" w:rsidR="00B46BBA">
        <w:rPr>
          <w:rStyle w:val="FootnoteReference"/>
        </w:rPr>
        <w:footnoteReference w:id="10"/>
      </w:r>
      <w:r w:rsidRPr="002D0770" w:rsidR="00B46BBA">
        <w:t xml:space="preserve"> </w:t>
      </w:r>
      <w:r w:rsidRPr="002D0770" w:rsidR="00811FD5">
        <w:t xml:space="preserve">alle partijen </w:t>
      </w:r>
      <w:r w:rsidRPr="002D0770" w:rsidR="0089571A">
        <w:t>op</w:t>
      </w:r>
      <w:r w:rsidRPr="002D0770" w:rsidR="007D08A8">
        <w:t xml:space="preserve"> </w:t>
      </w:r>
      <w:r w:rsidRPr="002D0770" w:rsidR="00811FD5">
        <w:t xml:space="preserve">ongehinderde </w:t>
      </w:r>
      <w:r w:rsidRPr="002D0770" w:rsidR="007D08A8">
        <w:t xml:space="preserve">toegang </w:t>
      </w:r>
      <w:r w:rsidRPr="002D0770" w:rsidR="00DE6011">
        <w:t xml:space="preserve">voor </w:t>
      </w:r>
      <w:r w:rsidRPr="002D0770" w:rsidR="00B20BEC">
        <w:t xml:space="preserve">het </w:t>
      </w:r>
      <w:r w:rsidRPr="002D47FD" w:rsidR="0089571A">
        <w:rPr>
          <w:i/>
          <w:iCs/>
        </w:rPr>
        <w:t xml:space="preserve">International </w:t>
      </w:r>
      <w:proofErr w:type="spellStart"/>
      <w:r w:rsidRPr="002D47FD" w:rsidR="0089571A">
        <w:rPr>
          <w:i/>
          <w:iCs/>
        </w:rPr>
        <w:t>Committee</w:t>
      </w:r>
      <w:proofErr w:type="spellEnd"/>
      <w:r w:rsidRPr="002D47FD" w:rsidR="0089571A">
        <w:rPr>
          <w:i/>
          <w:iCs/>
        </w:rPr>
        <w:t xml:space="preserve"> of </w:t>
      </w:r>
      <w:proofErr w:type="spellStart"/>
      <w:r w:rsidRPr="002D47FD" w:rsidR="0089571A">
        <w:rPr>
          <w:i/>
          <w:iCs/>
        </w:rPr>
        <w:t>the</w:t>
      </w:r>
      <w:proofErr w:type="spellEnd"/>
      <w:r w:rsidRPr="002D47FD" w:rsidR="0089571A">
        <w:rPr>
          <w:i/>
          <w:iCs/>
        </w:rPr>
        <w:t xml:space="preserve"> Red Cross</w:t>
      </w:r>
      <w:r w:rsidRPr="002D0770" w:rsidR="0089571A">
        <w:t xml:space="preserve"> (</w:t>
      </w:r>
      <w:r w:rsidRPr="002D0770" w:rsidR="007D08A8">
        <w:t>ICRC</w:t>
      </w:r>
      <w:r w:rsidRPr="002D0770" w:rsidR="0089571A">
        <w:t>)</w:t>
      </w:r>
      <w:r w:rsidRPr="002D0770" w:rsidR="007D08A8">
        <w:t xml:space="preserve"> </w:t>
      </w:r>
      <w:r w:rsidRPr="002D0770" w:rsidR="00A62992">
        <w:t>tot detentiefaciliteiten</w:t>
      </w:r>
      <w:r w:rsidRPr="002D0770" w:rsidR="007D08A8">
        <w:t xml:space="preserve"> </w:t>
      </w:r>
      <w:r w:rsidRPr="002D0770" w:rsidR="00811FD5">
        <w:t xml:space="preserve">te </w:t>
      </w:r>
      <w:r w:rsidRPr="002D0770" w:rsidR="005577DE">
        <w:t>verlenen</w:t>
      </w:r>
      <w:r w:rsidRPr="002D0770" w:rsidR="007D08A8">
        <w:t>.</w:t>
      </w:r>
    </w:p>
    <w:p w:rsidRPr="002D0770" w:rsidR="007D08A8" w:rsidP="002D0770" w:rsidRDefault="007D08A8" w14:paraId="56857CB3" w14:textId="77777777">
      <w:pPr>
        <w:autoSpaceDN/>
        <w:spacing w:line="276" w:lineRule="auto"/>
        <w:textAlignment w:val="auto"/>
      </w:pPr>
    </w:p>
    <w:p w:rsidRPr="002D0770" w:rsidR="0044688E" w:rsidP="002D0770" w:rsidRDefault="0044688E" w14:paraId="45444AFE" w14:textId="5A98894A">
      <w:pPr>
        <w:autoSpaceDN/>
        <w:spacing w:line="276" w:lineRule="auto"/>
        <w:textAlignment w:val="auto"/>
      </w:pPr>
      <w:r w:rsidRPr="000E0A16">
        <w:t xml:space="preserve">Tevens werd onder item 2 de </w:t>
      </w:r>
      <w:proofErr w:type="spellStart"/>
      <w:r w:rsidRPr="000E0A16">
        <w:rPr>
          <w:i/>
          <w:iCs/>
        </w:rPr>
        <w:t>Acccountability</w:t>
      </w:r>
      <w:proofErr w:type="spellEnd"/>
      <w:r w:rsidRPr="000E0A16">
        <w:t xml:space="preserve">-resolutie in stemming gebracht. Deze resolutie ziet </w:t>
      </w:r>
      <w:r w:rsidRPr="000E0A16" w:rsidR="34B46F20">
        <w:t xml:space="preserve">toe </w:t>
      </w:r>
      <w:r w:rsidRPr="000E0A16">
        <w:t>op</w:t>
      </w:r>
      <w:r w:rsidRPr="000E0A16" w:rsidDel="00135087">
        <w:t xml:space="preserve"> </w:t>
      </w:r>
      <w:r w:rsidRPr="000E0A16">
        <w:t>de mensenrechtensituatie in de Palestijnse Gebieden, inclusief Oost-</w:t>
      </w:r>
      <w:r w:rsidRPr="000E0A16" w:rsidR="00DB1682">
        <w:t>Jeruzalem</w:t>
      </w:r>
      <w:r w:rsidRPr="000E0A16">
        <w:t>, en</w:t>
      </w:r>
      <w:r w:rsidRPr="002D0770">
        <w:t xml:space="preserve"> de verplichting om </w:t>
      </w:r>
      <w:r w:rsidRPr="002D0770">
        <w:rPr>
          <w:i/>
          <w:iCs/>
        </w:rPr>
        <w:t>accountability</w:t>
      </w:r>
      <w:r w:rsidRPr="002D0770">
        <w:t xml:space="preserve"> te waarborgen. </w:t>
      </w:r>
      <w:r w:rsidRPr="002D0770" w:rsidR="34B46F20">
        <w:lastRenderedPageBreak/>
        <w:t xml:space="preserve">Nederland hecht aan </w:t>
      </w:r>
      <w:r w:rsidRPr="002D0770" w:rsidR="34B46F20">
        <w:rPr>
          <w:i/>
          <w:iCs/>
        </w:rPr>
        <w:t>accountability</w:t>
      </w:r>
      <w:r w:rsidRPr="002D0770" w:rsidR="34B46F20">
        <w:t xml:space="preserve"> en heeft</w:t>
      </w:r>
      <w:r w:rsidRPr="002D0770">
        <w:t xml:space="preserve"> </w:t>
      </w:r>
      <w:r w:rsidRPr="002D0770" w:rsidR="34B46F20">
        <w:t xml:space="preserve">grote zorgen over de mensenrechtensituatie. In lijn met vorig jaar en in goed gezelschap, heeft Nederland </w:t>
      </w:r>
      <w:r w:rsidRPr="002D0770">
        <w:t xml:space="preserve">zich onthouden bij de stemming over </w:t>
      </w:r>
      <w:r w:rsidRPr="002D0770" w:rsidR="34B46F20">
        <w:t xml:space="preserve">deze </w:t>
      </w:r>
      <w:r w:rsidRPr="002D0770">
        <w:t>resolutie. De resolutietekst was</w:t>
      </w:r>
      <w:r w:rsidRPr="002D0770" w:rsidDel="00135087">
        <w:t xml:space="preserve"> </w:t>
      </w:r>
      <w:r w:rsidRPr="002D0770">
        <w:t>voor Nederland onvoldoende gebalanceerd</w:t>
      </w:r>
      <w:r w:rsidRPr="002D0770" w:rsidR="34B46F20">
        <w:t xml:space="preserve">. Zo werd </w:t>
      </w:r>
      <w:r w:rsidRPr="002D0770">
        <w:t xml:space="preserve">de rol van Hamas in dit conflict </w:t>
      </w:r>
      <w:r w:rsidRPr="002D0770" w:rsidR="00A62992">
        <w:t>onvoldoende</w:t>
      </w:r>
      <w:r w:rsidRPr="002D0770">
        <w:t xml:space="preserve"> belicht. </w:t>
      </w:r>
      <w:r w:rsidRPr="002D0770" w:rsidR="00141442">
        <w:t xml:space="preserve">Daarnaast was de resolutietekst over de (door)levering van militaire goederen </w:t>
      </w:r>
      <w:r w:rsidRPr="002D0770" w:rsidR="34B46F20">
        <w:t xml:space="preserve">die nodig zouden zijn voor zelfverdediging </w:t>
      </w:r>
      <w:r w:rsidRPr="002D0770" w:rsidR="00141442">
        <w:t>onvoldoende helder geformuleerd.</w:t>
      </w:r>
      <w:r w:rsidRPr="002D0770" w:rsidR="00C13E13">
        <w:t xml:space="preserve"> </w:t>
      </w:r>
      <w:r w:rsidRPr="002D0770" w:rsidR="34B46F20">
        <w:t xml:space="preserve"> </w:t>
      </w:r>
    </w:p>
    <w:p w:rsidRPr="002D0770" w:rsidR="0044688E" w:rsidP="002D0770" w:rsidRDefault="002D0770" w14:paraId="67FDDC98" w14:textId="5EC0402D">
      <w:pPr>
        <w:tabs>
          <w:tab w:val="left" w:pos="4610"/>
        </w:tabs>
        <w:autoSpaceDN/>
        <w:spacing w:line="276" w:lineRule="auto"/>
        <w:textAlignment w:val="auto"/>
      </w:pPr>
      <w:r>
        <w:tab/>
      </w:r>
    </w:p>
    <w:p w:rsidRPr="00C14B05" w:rsidR="0044688E" w:rsidP="002D0770" w:rsidRDefault="0044688E" w14:paraId="1314CCC7" w14:textId="1D4C277D">
      <w:pPr>
        <w:autoSpaceDN/>
        <w:spacing w:line="276" w:lineRule="auto"/>
        <w:textAlignment w:val="auto"/>
        <w:rPr>
          <w:i/>
          <w:lang w:val="en-US"/>
        </w:rPr>
      </w:pPr>
      <w:r w:rsidRPr="002D0770">
        <w:rPr>
          <w:i/>
          <w:lang w:val="en-US"/>
        </w:rPr>
        <w:t>Item 7: Human Rights Situation in Palestine and Other Occupied Arab Territories</w:t>
      </w:r>
    </w:p>
    <w:p w:rsidRPr="000E0A16" w:rsidR="0044688E" w:rsidP="002D0770" w:rsidRDefault="0044688E" w14:paraId="2000B28E" w14:textId="17D6BF3C">
      <w:pPr>
        <w:spacing w:line="276" w:lineRule="auto"/>
      </w:pPr>
      <w:r w:rsidRPr="000E0A16">
        <w:t>Onder Item 7 zijn dit jaar drie resoluties in stemming gebracht</w:t>
      </w:r>
      <w:r w:rsidRPr="000E0A16" w:rsidR="00B20BEC">
        <w:t>.</w:t>
      </w:r>
      <w:r w:rsidRPr="000E0A16">
        <w:t xml:space="preserve"> Nederland heeft voorgestemd op de </w:t>
      </w:r>
      <w:r w:rsidRPr="000E0A16" w:rsidDel="00062E7B">
        <w:t xml:space="preserve">resolutie </w:t>
      </w:r>
      <w:proofErr w:type="spellStart"/>
      <w:r w:rsidRPr="000E0A16" w:rsidDel="00893F38">
        <w:rPr>
          <w:i/>
          <w:iCs/>
        </w:rPr>
        <w:t>Settlements</w:t>
      </w:r>
      <w:proofErr w:type="spellEnd"/>
      <w:r w:rsidRPr="000E0A16" w:rsidDel="00893F38">
        <w:t xml:space="preserve"> </w:t>
      </w:r>
      <w:r w:rsidRPr="000E0A16">
        <w:t>over de</w:t>
      </w:r>
      <w:r w:rsidRPr="000E0A16" w:rsidDel="00BB5E69">
        <w:t xml:space="preserve"> </w:t>
      </w:r>
      <w:r w:rsidRPr="000E0A16">
        <w:t>Israëlische nederzettingen in de Palestijnse Gebieden, inclusief Oost-</w:t>
      </w:r>
      <w:r w:rsidRPr="000E0A16" w:rsidR="00DB1682">
        <w:t xml:space="preserve">Jeruzalem </w:t>
      </w:r>
      <w:r w:rsidRPr="000E0A16">
        <w:t xml:space="preserve">en de </w:t>
      </w:r>
      <w:r w:rsidRPr="000E0A16" w:rsidR="007760B2">
        <w:t>geannexeerde</w:t>
      </w:r>
      <w:r w:rsidRPr="000E0A16">
        <w:t xml:space="preserve"> </w:t>
      </w:r>
      <w:proofErr w:type="spellStart"/>
      <w:r w:rsidRPr="000E0A16">
        <w:t>Golanhoog</w:t>
      </w:r>
      <w:r w:rsidRPr="000E0A16" w:rsidR="00DB1682">
        <w:t>vlakte</w:t>
      </w:r>
      <w:proofErr w:type="spellEnd"/>
      <w:r w:rsidRPr="000E0A16">
        <w:t>. De inhoud van de resolutie was in lijn met het Nederlandse standpunt ten aanzien van het Israëlische nederzettingenbeleid</w:t>
      </w:r>
      <w:r w:rsidRPr="000E0A16" w:rsidR="00B20BEC">
        <w:t xml:space="preserve">. </w:t>
      </w:r>
      <w:r w:rsidRPr="000E0A16">
        <w:t>Tevens deed de resolutie recht aan de huidige situatie op de grond en volgt de Nederlandse stempositie van eerdere jaren. In de nationale verklaring is Nederland ingegaan op de onrechtmatigheid van de bezetting en heeft</w:t>
      </w:r>
      <w:r w:rsidRPr="000E0A16" w:rsidR="34B46F20">
        <w:t xml:space="preserve"> tevens</w:t>
      </w:r>
      <w:r w:rsidRPr="000E0A16">
        <w:t xml:space="preserve">, conform </w:t>
      </w:r>
      <w:r w:rsidRPr="000E0A16" w:rsidR="00DB1682">
        <w:t xml:space="preserve">de </w:t>
      </w:r>
      <w:r w:rsidRPr="000E0A16">
        <w:t>motie van der Staaij</w:t>
      </w:r>
      <w:r w:rsidRPr="000E0A16" w:rsidR="00CD3EFB">
        <w:rPr>
          <w:rStyle w:val="FootnoteReference"/>
        </w:rPr>
        <w:footnoteReference w:id="11"/>
      </w:r>
      <w:r w:rsidRPr="000E0A16">
        <w:t xml:space="preserve">, ingebracht dat Israël–Palestijnse Gebieden, als enige landensituatie, </w:t>
      </w:r>
      <w:r w:rsidRPr="000E0A16" w:rsidR="007760B2">
        <w:t>geen</w:t>
      </w:r>
      <w:r w:rsidRPr="000E0A16">
        <w:t xml:space="preserve"> apart en vast agenda-onderdeel moet zijn in de MRR.</w:t>
      </w:r>
    </w:p>
    <w:p w:rsidRPr="000E0A16" w:rsidR="0044688E" w:rsidP="002D0770" w:rsidRDefault="0044688E" w14:paraId="55CEB745" w14:textId="77777777">
      <w:pPr>
        <w:autoSpaceDN/>
        <w:spacing w:line="276" w:lineRule="auto"/>
        <w:textAlignment w:val="auto"/>
      </w:pPr>
    </w:p>
    <w:p w:rsidRPr="000E0A16" w:rsidR="0044688E" w:rsidP="002D0770" w:rsidRDefault="0044688E" w14:paraId="7659A90E" w14:textId="600CFB1D">
      <w:pPr>
        <w:autoSpaceDE w:val="0"/>
        <w:adjustRightInd w:val="0"/>
        <w:spacing w:line="276" w:lineRule="auto"/>
      </w:pPr>
      <w:r w:rsidRPr="000E0A16">
        <w:t xml:space="preserve">Nederland heeft, </w:t>
      </w:r>
      <w:r w:rsidRPr="000E0A16" w:rsidR="0020044F">
        <w:t xml:space="preserve">net zoals </w:t>
      </w:r>
      <w:r w:rsidRPr="000E0A16" w:rsidR="34B46F20">
        <w:t>in</w:t>
      </w:r>
      <w:r w:rsidRPr="000E0A16">
        <w:t xml:space="preserve"> eerdere jaren, tevens voorgestemd bij de stemming over de </w:t>
      </w:r>
      <w:r w:rsidRPr="000E0A16" w:rsidDel="00893F38">
        <w:t xml:space="preserve">resolutie </w:t>
      </w:r>
      <w:proofErr w:type="spellStart"/>
      <w:r w:rsidRPr="000E0A16" w:rsidDel="00893F38">
        <w:rPr>
          <w:i/>
          <w:iCs/>
        </w:rPr>
        <w:t>Self-</w:t>
      </w:r>
      <w:r w:rsidRPr="000E0A16">
        <w:rPr>
          <w:i/>
          <w:iCs/>
        </w:rPr>
        <w:t>determination</w:t>
      </w:r>
      <w:proofErr w:type="spellEnd"/>
      <w:r w:rsidRPr="000E0A16">
        <w:t>,</w:t>
      </w:r>
      <w:r w:rsidRPr="000E0A16" w:rsidR="003C2376">
        <w:t xml:space="preserve"> </w:t>
      </w:r>
      <w:r w:rsidRPr="000E0A16">
        <w:t>die ingaat op het zelfbeschikkingsrecht van Palestijnen</w:t>
      </w:r>
      <w:r w:rsidRPr="000E0A16" w:rsidR="00DA4127">
        <w:t>.</w:t>
      </w:r>
      <w:r w:rsidRPr="000E0A16" w:rsidR="006A630C">
        <w:t xml:space="preserve"> De resolutie deed recht aan de situatie op de grond</w:t>
      </w:r>
      <w:r w:rsidRPr="000E0A16" w:rsidR="00B71DDE">
        <w:t xml:space="preserve"> </w:t>
      </w:r>
      <w:r w:rsidRPr="000E0A16" w:rsidR="34B46F20">
        <w:t xml:space="preserve">en verwoordde correct </w:t>
      </w:r>
      <w:r w:rsidRPr="000E0A16" w:rsidR="006A630C">
        <w:t xml:space="preserve">de </w:t>
      </w:r>
      <w:r w:rsidRPr="000E0A16" w:rsidR="34B46F20">
        <w:t>toegenomen</w:t>
      </w:r>
      <w:r w:rsidRPr="000E0A16" w:rsidR="006A630C">
        <w:t xml:space="preserve"> druk op het Palestijnse zelfbeschikkingsrecht.</w:t>
      </w:r>
    </w:p>
    <w:p w:rsidRPr="000E0A16" w:rsidR="0044688E" w:rsidP="002D0770" w:rsidRDefault="0044688E" w14:paraId="68B779DE" w14:textId="77777777">
      <w:pPr>
        <w:autoSpaceDE w:val="0"/>
        <w:adjustRightInd w:val="0"/>
        <w:spacing w:line="276" w:lineRule="auto"/>
        <w:textAlignment w:val="auto"/>
        <w:rPr>
          <w:rFonts w:eastAsia="Times New Roman"/>
        </w:rPr>
      </w:pPr>
    </w:p>
    <w:p w:rsidR="00301DE0" w:rsidP="002D0770" w:rsidRDefault="0044688E" w14:paraId="48F5961E" w14:textId="307CDACB">
      <w:pPr>
        <w:autoSpaceDE w:val="0"/>
        <w:adjustRightInd w:val="0"/>
        <w:spacing w:line="276" w:lineRule="auto"/>
        <w:rPr>
          <w:rFonts w:eastAsia="Times New Roman"/>
        </w:rPr>
      </w:pPr>
      <w:r w:rsidRPr="000E0A16">
        <w:rPr>
          <w:rFonts w:eastAsia="Times New Roman"/>
        </w:rPr>
        <w:t xml:space="preserve">Onder item 7 is tevens de resolutie </w:t>
      </w:r>
      <w:r w:rsidRPr="000E0A16" w:rsidR="007760B2">
        <w:rPr>
          <w:rFonts w:eastAsia="Times New Roman"/>
        </w:rPr>
        <w:t>ten aanzien van de</w:t>
      </w:r>
      <w:r w:rsidRPr="000E0A16">
        <w:rPr>
          <w:rFonts w:eastAsia="Times New Roman"/>
        </w:rPr>
        <w:t xml:space="preserve"> </w:t>
      </w:r>
      <w:proofErr w:type="spellStart"/>
      <w:r w:rsidRPr="000E0A16" w:rsidDel="00730327">
        <w:rPr>
          <w:rFonts w:eastAsia="Times New Roman"/>
          <w:i/>
          <w:iCs/>
        </w:rPr>
        <w:t>Syrian</w:t>
      </w:r>
      <w:proofErr w:type="spellEnd"/>
      <w:r w:rsidRPr="000E0A16" w:rsidDel="00730327">
        <w:rPr>
          <w:rFonts w:eastAsia="Times New Roman"/>
          <w:i/>
          <w:iCs/>
        </w:rPr>
        <w:t xml:space="preserve"> </w:t>
      </w:r>
      <w:proofErr w:type="spellStart"/>
      <w:r w:rsidRPr="000E0A16" w:rsidDel="00730327">
        <w:rPr>
          <w:rFonts w:eastAsia="Times New Roman"/>
          <w:i/>
          <w:iCs/>
        </w:rPr>
        <w:t>Golan</w:t>
      </w:r>
      <w:proofErr w:type="spellEnd"/>
      <w:r w:rsidRPr="000E0A16" w:rsidDel="00730327">
        <w:rPr>
          <w:rFonts w:eastAsia="Times New Roman"/>
        </w:rPr>
        <w:t xml:space="preserve"> </w:t>
      </w:r>
      <w:r w:rsidRPr="000E0A16">
        <w:rPr>
          <w:rFonts w:eastAsia="Times New Roman"/>
        </w:rPr>
        <w:t xml:space="preserve">in stemming gebracht, die ingaat op de mensenrechtensituatie op de </w:t>
      </w:r>
      <w:r w:rsidRPr="000E0A16" w:rsidR="007760B2">
        <w:rPr>
          <w:rFonts w:eastAsia="Times New Roman"/>
        </w:rPr>
        <w:t xml:space="preserve">door Israël geannexeerde </w:t>
      </w:r>
      <w:proofErr w:type="spellStart"/>
      <w:r w:rsidRPr="000E0A16" w:rsidR="00DB1682">
        <w:t>Golanhoogvlakte</w:t>
      </w:r>
      <w:proofErr w:type="spellEnd"/>
      <w:r w:rsidRPr="000E0A16">
        <w:rPr>
          <w:rFonts w:eastAsia="Times New Roman"/>
        </w:rPr>
        <w:t xml:space="preserve">. Waar voorheen werd tegengestemd vanwege het EU-beleid om niet te engageren met het regime van Assad, is de Nederlandse stem dit jaar verschoven naar onthouden. Dit werd onder andere ingegeven door de inzet van het kabinet om te engageren met de nieuwe Syrische overgangsregering en </w:t>
      </w:r>
      <w:r w:rsidRPr="000E0A16" w:rsidR="0020044F">
        <w:rPr>
          <w:rFonts w:eastAsia="Times New Roman"/>
        </w:rPr>
        <w:t>dat</w:t>
      </w:r>
      <w:r w:rsidRPr="000E0A16">
        <w:rPr>
          <w:rFonts w:eastAsia="Times New Roman"/>
        </w:rPr>
        <w:t xml:space="preserve"> aan te sporen actief deel te nemen aan multilaterale fora. Daarnaast beschouwt Nederland de Israëlische </w:t>
      </w:r>
      <w:r w:rsidRPr="000E0A16" w:rsidR="005C55F5">
        <w:rPr>
          <w:rFonts w:eastAsia="Times New Roman"/>
        </w:rPr>
        <w:t xml:space="preserve">annexatie </w:t>
      </w:r>
      <w:r w:rsidRPr="000E0A16">
        <w:rPr>
          <w:rFonts w:eastAsia="Times New Roman"/>
        </w:rPr>
        <w:t xml:space="preserve">van de </w:t>
      </w:r>
      <w:proofErr w:type="spellStart"/>
      <w:r w:rsidRPr="000E0A16" w:rsidR="00DB1682">
        <w:t>Golanhoogvlakte</w:t>
      </w:r>
      <w:proofErr w:type="spellEnd"/>
      <w:r w:rsidRPr="000E0A16" w:rsidDel="00DB1682" w:rsidR="00DB1682">
        <w:rPr>
          <w:rFonts w:eastAsia="Times New Roman"/>
        </w:rPr>
        <w:t xml:space="preserve"> </w:t>
      </w:r>
      <w:r w:rsidRPr="000E0A16">
        <w:rPr>
          <w:rFonts w:eastAsia="Times New Roman"/>
        </w:rPr>
        <w:t>als onrechtmatig</w:t>
      </w:r>
      <w:r w:rsidRPr="000E0A16" w:rsidR="007760B2">
        <w:rPr>
          <w:rFonts w:eastAsia="Times New Roman"/>
        </w:rPr>
        <w:t xml:space="preserve">. </w:t>
      </w:r>
      <w:r w:rsidRPr="000E0A16" w:rsidR="0089571A">
        <w:rPr>
          <w:rFonts w:eastAsia="Times New Roman"/>
        </w:rPr>
        <w:t xml:space="preserve">Uitbreiding van Israëlische nederzettingen op de </w:t>
      </w:r>
      <w:proofErr w:type="spellStart"/>
      <w:r w:rsidRPr="000E0A16" w:rsidR="00DB1682">
        <w:t>Golanhoogvlakte</w:t>
      </w:r>
      <w:proofErr w:type="spellEnd"/>
      <w:r w:rsidRPr="000E0A16" w:rsidDel="00DB1682" w:rsidR="00DB1682">
        <w:rPr>
          <w:rFonts w:eastAsia="Times New Roman"/>
        </w:rPr>
        <w:t xml:space="preserve"> </w:t>
      </w:r>
      <w:r w:rsidRPr="000E0A16" w:rsidR="0089571A">
        <w:rPr>
          <w:rFonts w:eastAsia="Times New Roman"/>
        </w:rPr>
        <w:t xml:space="preserve">zou in strijd zijn met internationaal recht. </w:t>
      </w:r>
      <w:r w:rsidRPr="000E0A16" w:rsidR="007760B2">
        <w:rPr>
          <w:rFonts w:eastAsia="Times New Roman"/>
        </w:rPr>
        <w:t xml:space="preserve">In </w:t>
      </w:r>
      <w:r w:rsidRPr="000E0A16">
        <w:rPr>
          <w:rFonts w:eastAsia="Times New Roman"/>
        </w:rPr>
        <w:t xml:space="preserve">lijn met motie </w:t>
      </w:r>
      <w:r w:rsidRPr="000E0A16" w:rsidR="00DB1682">
        <w:rPr>
          <w:rFonts w:eastAsia="Times New Roman"/>
        </w:rPr>
        <w:t xml:space="preserve">de </w:t>
      </w:r>
      <w:proofErr w:type="spellStart"/>
      <w:r w:rsidRPr="000E0A16" w:rsidR="00DA4127">
        <w:rPr>
          <w:rFonts w:eastAsia="Times New Roman"/>
        </w:rPr>
        <w:t>Paternotte</w:t>
      </w:r>
      <w:proofErr w:type="spellEnd"/>
      <w:r w:rsidRPr="000E0A16">
        <w:rPr>
          <w:rFonts w:eastAsia="Times New Roman"/>
        </w:rPr>
        <w:t xml:space="preserve"> en </w:t>
      </w:r>
      <w:proofErr w:type="spellStart"/>
      <w:r w:rsidRPr="000E0A16">
        <w:rPr>
          <w:rFonts w:eastAsia="Times New Roman"/>
        </w:rPr>
        <w:t>Piri</w:t>
      </w:r>
      <w:proofErr w:type="spellEnd"/>
      <w:r w:rsidRPr="000E0A16">
        <w:rPr>
          <w:rStyle w:val="FootnoteReference"/>
          <w:rFonts w:eastAsia="Times New Roman"/>
        </w:rPr>
        <w:footnoteReference w:id="12"/>
      </w:r>
      <w:r w:rsidRPr="000E0A16">
        <w:rPr>
          <w:rFonts w:eastAsia="Times New Roman"/>
        </w:rPr>
        <w:t xml:space="preserve"> </w:t>
      </w:r>
      <w:r w:rsidRPr="000E0A16" w:rsidR="0089571A">
        <w:rPr>
          <w:rFonts w:eastAsia="Times New Roman"/>
        </w:rPr>
        <w:t xml:space="preserve">en </w:t>
      </w:r>
      <w:r w:rsidRPr="000E0A16" w:rsidR="00DB1682">
        <w:rPr>
          <w:rFonts w:eastAsia="Times New Roman"/>
        </w:rPr>
        <w:t xml:space="preserve">de </w:t>
      </w:r>
      <w:r w:rsidRPr="000E0A16" w:rsidR="0089571A">
        <w:rPr>
          <w:rFonts w:eastAsia="Times New Roman"/>
        </w:rPr>
        <w:t>motie van Baarle</w:t>
      </w:r>
      <w:r w:rsidRPr="000E0A16" w:rsidR="0089571A">
        <w:rPr>
          <w:rStyle w:val="FootnoteReference"/>
          <w:rFonts w:eastAsia="Times New Roman"/>
        </w:rPr>
        <w:footnoteReference w:id="13"/>
      </w:r>
      <w:r w:rsidRPr="000E0A16" w:rsidR="0089571A">
        <w:rPr>
          <w:rFonts w:eastAsia="Times New Roman"/>
        </w:rPr>
        <w:t xml:space="preserve"> </w:t>
      </w:r>
      <w:r w:rsidRPr="000E0A16">
        <w:rPr>
          <w:rFonts w:eastAsia="Times New Roman"/>
        </w:rPr>
        <w:t xml:space="preserve">spreekt Nederland zich hier ook tegen uit. </w:t>
      </w:r>
      <w:r w:rsidRPr="000E0A16" w:rsidR="0089571A">
        <w:rPr>
          <w:rFonts w:eastAsia="Times New Roman"/>
        </w:rPr>
        <w:t xml:space="preserve">De huidige </w:t>
      </w:r>
      <w:r w:rsidRPr="000E0A16">
        <w:rPr>
          <w:rFonts w:eastAsia="Times New Roman"/>
        </w:rPr>
        <w:t xml:space="preserve">resolutietekst was echter </w:t>
      </w:r>
      <w:r w:rsidRPr="000E0A16" w:rsidR="0089571A">
        <w:rPr>
          <w:rFonts w:eastAsia="Times New Roman"/>
        </w:rPr>
        <w:t>niet geactualiseerd</w:t>
      </w:r>
      <w:r w:rsidRPr="000E0A16" w:rsidR="006A630C">
        <w:rPr>
          <w:rFonts w:eastAsia="Times New Roman"/>
        </w:rPr>
        <w:t xml:space="preserve"> waardoor een onthouding </w:t>
      </w:r>
      <w:r w:rsidRPr="000E0A16" w:rsidR="0089571A">
        <w:rPr>
          <w:rFonts w:eastAsia="Times New Roman"/>
        </w:rPr>
        <w:t xml:space="preserve">als </w:t>
      </w:r>
      <w:r w:rsidRPr="000E0A16" w:rsidR="006A630C">
        <w:rPr>
          <w:rFonts w:eastAsia="Times New Roman"/>
        </w:rPr>
        <w:t xml:space="preserve">gepast </w:t>
      </w:r>
      <w:r w:rsidRPr="000E0A16" w:rsidR="0089571A">
        <w:rPr>
          <w:rFonts w:eastAsia="Times New Roman"/>
        </w:rPr>
        <w:t>werd beschouwd.</w:t>
      </w:r>
      <w:r w:rsidRPr="000E0A16">
        <w:rPr>
          <w:rFonts w:eastAsia="Times New Roman"/>
        </w:rPr>
        <w:t xml:space="preserve"> In een stemverklaring heeft Nederland toegelicht dat de resolutie de</w:t>
      </w:r>
      <w:r w:rsidRPr="002D0770">
        <w:rPr>
          <w:rFonts w:eastAsia="Times New Roman"/>
        </w:rPr>
        <w:t xml:space="preserve"> huidige situatie op de grond te weinig reflecteert en</w:t>
      </w:r>
      <w:r w:rsidRPr="002D0770" w:rsidR="0089571A">
        <w:rPr>
          <w:rFonts w:eastAsia="Times New Roman"/>
        </w:rPr>
        <w:t xml:space="preserve"> dat</w:t>
      </w:r>
      <w:r w:rsidRPr="002D0770">
        <w:rPr>
          <w:rFonts w:eastAsia="Times New Roman"/>
        </w:rPr>
        <w:t xml:space="preserve"> er een wens bestaat om in de komende jaren in de MRR in gesprek te blijven over deze tekst.</w:t>
      </w:r>
    </w:p>
    <w:p w:rsidR="002E0521" w:rsidP="002D0770" w:rsidRDefault="002E0521" w14:paraId="240C15B5" w14:textId="77777777">
      <w:pPr>
        <w:autoSpaceDE w:val="0"/>
        <w:adjustRightInd w:val="0"/>
        <w:spacing w:line="276" w:lineRule="auto"/>
        <w:rPr>
          <w:rFonts w:eastAsia="Times New Roman"/>
        </w:rPr>
      </w:pPr>
    </w:p>
    <w:p w:rsidR="002E0521" w:rsidP="002D0770" w:rsidRDefault="002E0521" w14:paraId="481033C2" w14:textId="77777777">
      <w:pPr>
        <w:autoSpaceDE w:val="0"/>
        <w:adjustRightInd w:val="0"/>
        <w:spacing w:line="276" w:lineRule="auto"/>
        <w:rPr>
          <w:rFonts w:eastAsia="Times New Roman"/>
        </w:rPr>
      </w:pPr>
    </w:p>
    <w:p w:rsidR="002E0521" w:rsidP="002D0770" w:rsidRDefault="002E0521" w14:paraId="495EC03C" w14:textId="77777777">
      <w:pPr>
        <w:autoSpaceDE w:val="0"/>
        <w:adjustRightInd w:val="0"/>
        <w:spacing w:line="276" w:lineRule="auto"/>
        <w:rPr>
          <w:rFonts w:eastAsia="Times New Roman"/>
        </w:rPr>
      </w:pPr>
    </w:p>
    <w:p w:rsidR="002E0521" w:rsidP="002D0770" w:rsidRDefault="002E0521" w14:paraId="0195BDB3" w14:textId="77777777">
      <w:pPr>
        <w:autoSpaceDE w:val="0"/>
        <w:adjustRightInd w:val="0"/>
        <w:spacing w:line="276" w:lineRule="auto"/>
        <w:rPr>
          <w:rFonts w:eastAsia="Times New Roman"/>
        </w:rPr>
      </w:pPr>
    </w:p>
    <w:p w:rsidRPr="002D0770" w:rsidR="002E0521" w:rsidP="002D0770" w:rsidRDefault="002E0521" w14:paraId="2201D5FD" w14:textId="77777777">
      <w:pPr>
        <w:autoSpaceDE w:val="0"/>
        <w:adjustRightInd w:val="0"/>
        <w:spacing w:line="276" w:lineRule="auto"/>
      </w:pPr>
    </w:p>
    <w:p w:rsidRPr="002D0770" w:rsidR="0089571A" w:rsidP="002D0770" w:rsidRDefault="0089571A" w14:paraId="7441B4FC" w14:textId="77777777">
      <w:pPr>
        <w:autoSpaceDN/>
        <w:spacing w:line="276" w:lineRule="auto"/>
        <w:textAlignment w:val="auto"/>
      </w:pPr>
    </w:p>
    <w:p w:rsidRPr="002D0770" w:rsidR="00A1118A" w:rsidP="002D0770" w:rsidRDefault="34B46F20" w14:paraId="6C4F4320" w14:textId="50E3A487">
      <w:pPr>
        <w:autoSpaceDN/>
        <w:spacing w:line="276" w:lineRule="auto"/>
        <w:textAlignment w:val="auto"/>
      </w:pPr>
      <w:r w:rsidRPr="002D0770">
        <w:lastRenderedPageBreak/>
        <w:t>Hiermee hoop ik aan de verschillende verzoeken vanuit uw Kamer te hebben voldaan.</w:t>
      </w:r>
    </w:p>
    <w:p w:rsidRPr="002D0770" w:rsidR="00FC049B" w:rsidP="002D0770" w:rsidRDefault="00FC049B" w14:paraId="0409001D" w14:textId="67AB65FA">
      <w:pPr>
        <w:spacing w:line="276" w:lineRule="auto"/>
      </w:pPr>
    </w:p>
    <w:p w:rsidRPr="002D0770" w:rsidR="00892E97" w:rsidP="002D0770" w:rsidRDefault="00892E97" w14:paraId="4CCBDC3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2D0770" w:rsidR="001A04F0" w14:paraId="69D50028" w14:textId="77777777">
        <w:tc>
          <w:tcPr>
            <w:tcW w:w="3620" w:type="dxa"/>
          </w:tcPr>
          <w:p w:rsidRPr="002D0770" w:rsidR="001A04F0" w:rsidP="002D0770" w:rsidRDefault="00F74612" w14:paraId="69D50026" w14:textId="77777777">
            <w:pPr>
              <w:spacing w:line="276" w:lineRule="auto"/>
            </w:pPr>
            <w:r w:rsidRPr="002D0770">
              <w:t>De minister van Buitenlandse Zaken,</w:t>
            </w:r>
            <w:r w:rsidRPr="002D0770">
              <w:br/>
            </w:r>
            <w:r w:rsidRPr="002D0770">
              <w:br/>
            </w:r>
            <w:r w:rsidRPr="002D0770">
              <w:br/>
            </w:r>
            <w:r w:rsidRPr="002D0770">
              <w:br/>
            </w:r>
            <w:r w:rsidRPr="002D0770">
              <w:br/>
            </w:r>
            <w:r w:rsidRPr="002D0770">
              <w:br/>
              <w:t>Caspar Veldkamp</w:t>
            </w:r>
          </w:p>
        </w:tc>
        <w:tc>
          <w:tcPr>
            <w:tcW w:w="3921" w:type="dxa"/>
          </w:tcPr>
          <w:p w:rsidRPr="002D0770" w:rsidR="001A04F0" w:rsidP="002D0770" w:rsidRDefault="001A04F0" w14:paraId="69D50027" w14:textId="77777777">
            <w:pPr>
              <w:spacing w:line="276" w:lineRule="auto"/>
            </w:pPr>
          </w:p>
        </w:tc>
      </w:tr>
    </w:tbl>
    <w:p w:rsidRPr="002D0770" w:rsidR="001A04F0" w:rsidP="002D0770" w:rsidRDefault="001A04F0" w14:paraId="69D50029" w14:textId="77777777">
      <w:pPr>
        <w:spacing w:line="276" w:lineRule="auto"/>
      </w:pPr>
    </w:p>
    <w:sectPr w:rsidRPr="002D0770" w:rsidR="001A04F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4FE4" w14:textId="77777777" w:rsidR="00F74612" w:rsidRDefault="00F74612">
      <w:pPr>
        <w:spacing w:line="240" w:lineRule="auto"/>
      </w:pPr>
      <w:r>
        <w:separator/>
      </w:r>
    </w:p>
  </w:endnote>
  <w:endnote w:type="continuationSeparator" w:id="0">
    <w:p w14:paraId="2209EDF1" w14:textId="77777777" w:rsidR="00F74612" w:rsidRDefault="00F74612">
      <w:pPr>
        <w:spacing w:line="240" w:lineRule="auto"/>
      </w:pPr>
      <w:r>
        <w:continuationSeparator/>
      </w:r>
    </w:p>
  </w:endnote>
  <w:endnote w:type="continuationNotice" w:id="1">
    <w:p w14:paraId="2011AC7D" w14:textId="77777777" w:rsidR="00AA675F" w:rsidRDefault="00AA67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C12E" w14:textId="77777777" w:rsidR="000E0A16" w:rsidRDefault="000E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13114"/>
      <w:docPartObj>
        <w:docPartGallery w:val="Page Numbers (Bottom of Page)"/>
        <w:docPartUnique/>
      </w:docPartObj>
    </w:sdtPr>
    <w:sdtEndPr/>
    <w:sdtContent>
      <w:p w14:paraId="7E35CAFD" w14:textId="6BFBCDC2" w:rsidR="002D0770" w:rsidRDefault="002D0770">
        <w:pPr>
          <w:pStyle w:val="Footer"/>
          <w:jc w:val="center"/>
        </w:pPr>
        <w:r>
          <w:fldChar w:fldCharType="begin"/>
        </w:r>
        <w:r>
          <w:instrText>PAGE   \* MERGEFORMAT</w:instrText>
        </w:r>
        <w:r>
          <w:fldChar w:fldCharType="separate"/>
        </w:r>
        <w:r>
          <w:t>2</w:t>
        </w:r>
        <w:r>
          <w:fldChar w:fldCharType="end"/>
        </w:r>
      </w:p>
    </w:sdtContent>
  </w:sdt>
  <w:p w14:paraId="1CD68A95" w14:textId="77777777" w:rsidR="002D0770" w:rsidRDefault="002D0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626703"/>
      <w:docPartObj>
        <w:docPartGallery w:val="Page Numbers (Bottom of Page)"/>
        <w:docPartUnique/>
      </w:docPartObj>
    </w:sdtPr>
    <w:sdtEndPr/>
    <w:sdtContent>
      <w:p w14:paraId="24503AE3" w14:textId="485E1ABA" w:rsidR="002D0770" w:rsidRDefault="002D0770">
        <w:pPr>
          <w:pStyle w:val="Footer"/>
          <w:jc w:val="center"/>
        </w:pPr>
        <w:r>
          <w:fldChar w:fldCharType="begin"/>
        </w:r>
        <w:r>
          <w:instrText>PAGE   \* MERGEFORMAT</w:instrText>
        </w:r>
        <w:r>
          <w:fldChar w:fldCharType="separate"/>
        </w:r>
        <w:r>
          <w:t>2</w:t>
        </w:r>
        <w:r>
          <w:fldChar w:fldCharType="end"/>
        </w:r>
      </w:p>
    </w:sdtContent>
  </w:sdt>
  <w:p w14:paraId="0FE3CF5E" w14:textId="77777777" w:rsidR="002D0770" w:rsidRDefault="002D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D47A" w14:textId="77777777" w:rsidR="00F74612" w:rsidRDefault="00F74612">
      <w:pPr>
        <w:spacing w:line="240" w:lineRule="auto"/>
      </w:pPr>
      <w:r>
        <w:separator/>
      </w:r>
    </w:p>
  </w:footnote>
  <w:footnote w:type="continuationSeparator" w:id="0">
    <w:p w14:paraId="7DD524F3" w14:textId="77777777" w:rsidR="00F74612" w:rsidRDefault="00F74612">
      <w:pPr>
        <w:spacing w:line="240" w:lineRule="auto"/>
      </w:pPr>
      <w:r>
        <w:continuationSeparator/>
      </w:r>
    </w:p>
  </w:footnote>
  <w:footnote w:type="continuationNotice" w:id="1">
    <w:p w14:paraId="578511F1" w14:textId="77777777" w:rsidR="00AA675F" w:rsidRDefault="00AA675F">
      <w:pPr>
        <w:spacing w:line="240" w:lineRule="auto"/>
      </w:pPr>
    </w:p>
  </w:footnote>
  <w:footnote w:id="2">
    <w:p w14:paraId="2F56BA9F" w14:textId="77777777" w:rsidR="00B675D7" w:rsidRDefault="00B675D7" w:rsidP="00B675D7">
      <w:pPr>
        <w:pStyle w:val="FootnoteText"/>
        <w:rPr>
          <w:sz w:val="16"/>
          <w:szCs w:val="16"/>
        </w:rPr>
      </w:pPr>
      <w:r>
        <w:rPr>
          <w:rStyle w:val="FootnoteReference"/>
          <w:sz w:val="16"/>
          <w:szCs w:val="16"/>
        </w:rPr>
        <w:footnoteRef/>
      </w:r>
      <w:r>
        <w:rPr>
          <w:sz w:val="16"/>
          <w:szCs w:val="16"/>
        </w:rPr>
        <w:t xml:space="preserve"> </w:t>
      </w:r>
      <w:hyperlink r:id="rId1" w:history="1">
        <w:r>
          <w:rPr>
            <w:rStyle w:val="Hyperlink"/>
            <w:sz w:val="16"/>
            <w:szCs w:val="16"/>
          </w:rPr>
          <w:t>https://enlargement.ec.europa.eu/system/files/2019-11/eu-israel_action_plan_2005.pdf</w:t>
        </w:r>
      </w:hyperlink>
    </w:p>
    <w:p w14:paraId="2D423FF0" w14:textId="77777777" w:rsidR="00B675D7" w:rsidRDefault="000E0A16" w:rsidP="00B675D7">
      <w:pPr>
        <w:jc w:val="both"/>
        <w:rPr>
          <w:sz w:val="16"/>
          <w:szCs w:val="16"/>
        </w:rPr>
      </w:pPr>
      <w:hyperlink r:id="rId2" w:history="1">
        <w:r w:rsidR="00B675D7">
          <w:rPr>
            <w:rStyle w:val="Hyperlink"/>
            <w:sz w:val="16"/>
            <w:szCs w:val="16"/>
          </w:rPr>
          <w:t>https://enlargement.ec.europa.eu/system/files/2019-01/eu-palestine_action_plan_2013.pdf</w:t>
        </w:r>
      </w:hyperlink>
    </w:p>
  </w:footnote>
  <w:footnote w:id="3">
    <w:p w14:paraId="12A64BCD" w14:textId="75626974" w:rsidR="00F74612" w:rsidRPr="002D0770" w:rsidRDefault="00F74612">
      <w:pPr>
        <w:pStyle w:val="FootnoteText"/>
        <w:rPr>
          <w:sz w:val="16"/>
          <w:szCs w:val="16"/>
        </w:rPr>
      </w:pPr>
      <w:r w:rsidRPr="002D0770">
        <w:rPr>
          <w:rStyle w:val="FootnoteReference"/>
          <w:sz w:val="16"/>
          <w:szCs w:val="16"/>
        </w:rPr>
        <w:footnoteRef/>
      </w:r>
      <w:r w:rsidRPr="002D0770">
        <w:rPr>
          <w:sz w:val="16"/>
          <w:szCs w:val="16"/>
        </w:rPr>
        <w:t xml:space="preserve"> Kamerstuk 35 570 V, nr. 56</w:t>
      </w:r>
    </w:p>
  </w:footnote>
  <w:footnote w:id="4">
    <w:p w14:paraId="05A48725" w14:textId="2D84A2DF" w:rsidR="00CD3EFB" w:rsidRPr="002E0521" w:rsidRDefault="00CD3EFB">
      <w:pPr>
        <w:pStyle w:val="FootnoteText"/>
        <w:rPr>
          <w:sz w:val="16"/>
          <w:szCs w:val="16"/>
        </w:rPr>
      </w:pPr>
      <w:r w:rsidRPr="002E0521">
        <w:rPr>
          <w:rStyle w:val="FootnoteReference"/>
          <w:sz w:val="16"/>
          <w:szCs w:val="16"/>
        </w:rPr>
        <w:footnoteRef/>
      </w:r>
      <w:r w:rsidRPr="002E0521">
        <w:rPr>
          <w:sz w:val="16"/>
          <w:szCs w:val="16"/>
        </w:rPr>
        <w:t xml:space="preserve"> </w:t>
      </w:r>
      <w:r w:rsidR="00C14B05" w:rsidRPr="00C14B05">
        <w:rPr>
          <w:sz w:val="16"/>
          <w:szCs w:val="16"/>
        </w:rPr>
        <w:t>21 501-02 nr. 3121</w:t>
      </w:r>
    </w:p>
  </w:footnote>
  <w:footnote w:id="5">
    <w:p w14:paraId="2F9690C9" w14:textId="10D27AC0" w:rsidR="000E4491" w:rsidRPr="002D0770" w:rsidRDefault="000E4491" w:rsidP="34B46F20">
      <w:pPr>
        <w:pStyle w:val="FootnoteText"/>
        <w:rPr>
          <w:sz w:val="16"/>
          <w:szCs w:val="16"/>
        </w:rPr>
      </w:pPr>
      <w:r w:rsidRPr="002D0770">
        <w:rPr>
          <w:rStyle w:val="FootnoteReference"/>
          <w:sz w:val="16"/>
          <w:szCs w:val="16"/>
        </w:rPr>
        <w:footnoteRef/>
      </w:r>
      <w:r w:rsidRPr="002D0770">
        <w:rPr>
          <w:sz w:val="16"/>
          <w:szCs w:val="16"/>
        </w:rPr>
        <w:t xml:space="preserve"> </w:t>
      </w:r>
      <w:r w:rsidR="00731BFC" w:rsidRPr="002D0770">
        <w:rPr>
          <w:sz w:val="16"/>
          <w:szCs w:val="16"/>
        </w:rPr>
        <w:t>https://www.gov.uk/government/news/aid-to-gaza-e3-foreign-ministers-statement-23-april-2025</w:t>
      </w:r>
      <w:r w:rsidRPr="002D0770">
        <w:rPr>
          <w:sz w:val="16"/>
          <w:szCs w:val="16"/>
        </w:rPr>
        <w:fldChar w:fldCharType="begin"/>
      </w:r>
      <w:r w:rsidRPr="002D0770">
        <w:rPr>
          <w:sz w:val="16"/>
          <w:szCs w:val="16"/>
        </w:rPr>
        <w:instrText xml:space="preserve"> "https://www.gov.uk/government/news/aid-to-gaza-e3-foreign-ministers-statement-23-april-2025"</w:instrText>
      </w:r>
      <w:r w:rsidRPr="002D0770">
        <w:rPr>
          <w:sz w:val="16"/>
          <w:szCs w:val="16"/>
        </w:rPr>
        <w:fldChar w:fldCharType="separate"/>
      </w:r>
      <w:r w:rsidRPr="002D0770">
        <w:rPr>
          <w:rStyle w:val="Hyperlink"/>
          <w:sz w:val="16"/>
          <w:szCs w:val="16"/>
        </w:rPr>
        <w:t>Aid to Gaza: E3 foreign ministers' statement, 23 April 2025 - GOV.UK</w:t>
      </w:r>
      <w:r w:rsidRPr="002D0770">
        <w:rPr>
          <w:sz w:val="16"/>
          <w:szCs w:val="16"/>
        </w:rPr>
        <w:fldChar w:fldCharType="end"/>
      </w:r>
    </w:p>
  </w:footnote>
  <w:footnote w:id="6">
    <w:p w14:paraId="2D985370" w14:textId="77777777" w:rsidR="00B675D7" w:rsidRDefault="00B675D7" w:rsidP="00B675D7">
      <w:pPr>
        <w:pStyle w:val="FootnoteText"/>
        <w:rPr>
          <w:sz w:val="16"/>
          <w:szCs w:val="16"/>
          <w:lang w:val="en-US"/>
        </w:rPr>
      </w:pPr>
      <w:r>
        <w:rPr>
          <w:rStyle w:val="FootnoteReference"/>
          <w:sz w:val="16"/>
          <w:szCs w:val="16"/>
        </w:rPr>
        <w:footnoteRef/>
      </w:r>
      <w:r>
        <w:rPr>
          <w:sz w:val="16"/>
          <w:szCs w:val="16"/>
          <w:lang w:val="en-US"/>
        </w:rPr>
        <w:t xml:space="preserve"> </w:t>
      </w:r>
      <w:proofErr w:type="spellStart"/>
      <w:r>
        <w:rPr>
          <w:sz w:val="16"/>
          <w:szCs w:val="16"/>
          <w:lang w:val="en-US"/>
        </w:rPr>
        <w:t>Kamerstuk</w:t>
      </w:r>
      <w:proofErr w:type="spellEnd"/>
      <w:r>
        <w:rPr>
          <w:sz w:val="16"/>
          <w:szCs w:val="16"/>
          <w:lang w:val="en-US"/>
        </w:rPr>
        <w:t xml:space="preserve"> 32 623, nr. 352</w:t>
      </w:r>
    </w:p>
  </w:footnote>
  <w:footnote w:id="7">
    <w:p w14:paraId="2495CBB9" w14:textId="12D779C4" w:rsidR="00826125" w:rsidRPr="002D0770" w:rsidRDefault="00826125" w:rsidP="001E4E5C">
      <w:pPr>
        <w:autoSpaceDN/>
        <w:spacing w:line="240" w:lineRule="auto"/>
        <w:jc w:val="both"/>
        <w:textAlignment w:val="auto"/>
        <w:rPr>
          <w:sz w:val="16"/>
          <w:szCs w:val="16"/>
          <w:lang w:val="en-US"/>
        </w:rPr>
      </w:pPr>
      <w:r w:rsidRPr="002D0770">
        <w:rPr>
          <w:rStyle w:val="FootnoteReference"/>
          <w:sz w:val="16"/>
          <w:szCs w:val="16"/>
        </w:rPr>
        <w:footnoteRef/>
      </w:r>
      <w:r w:rsidR="001A1600">
        <w:rPr>
          <w:sz w:val="16"/>
          <w:szCs w:val="16"/>
          <w:lang w:val="en-US"/>
        </w:rPr>
        <w:t xml:space="preserve"> </w:t>
      </w:r>
      <w:r w:rsidRPr="002D0770">
        <w:rPr>
          <w:sz w:val="16"/>
          <w:szCs w:val="16"/>
          <w:lang w:val="en-US"/>
        </w:rPr>
        <w:t xml:space="preserve">De </w:t>
      </w:r>
      <w:proofErr w:type="spellStart"/>
      <w:r w:rsidRPr="002D0770">
        <w:rPr>
          <w:sz w:val="16"/>
          <w:szCs w:val="16"/>
          <w:lang w:val="en-US"/>
        </w:rPr>
        <w:t>resoluties</w:t>
      </w:r>
      <w:proofErr w:type="spellEnd"/>
      <w:r w:rsidRPr="002D0770">
        <w:rPr>
          <w:sz w:val="16"/>
          <w:szCs w:val="16"/>
          <w:lang w:val="en-US"/>
        </w:rPr>
        <w:t xml:space="preserve"> </w:t>
      </w:r>
      <w:proofErr w:type="spellStart"/>
      <w:r w:rsidR="00A26E6C" w:rsidRPr="002D0770">
        <w:rPr>
          <w:sz w:val="16"/>
          <w:szCs w:val="16"/>
          <w:lang w:val="en-US"/>
        </w:rPr>
        <w:t>betreffen</w:t>
      </w:r>
      <w:proofErr w:type="spellEnd"/>
      <w:r w:rsidRPr="002D0770">
        <w:rPr>
          <w:sz w:val="16"/>
          <w:szCs w:val="16"/>
          <w:lang w:val="en-US"/>
        </w:rPr>
        <w:t>: Accountability (“Human Rights situation in the OPT, incl. East Jerusalem, and the obligation to ensure accountability and justice”), Self-determination (“Right of the Palestinian people to self-determination”), Settlements (“Israeli settlements in the OPT, incl East Jerusalem, and the Occupied Syrian Golan”)</w:t>
      </w:r>
      <w:r w:rsidR="002D0770">
        <w:rPr>
          <w:sz w:val="16"/>
          <w:szCs w:val="16"/>
          <w:lang w:val="en-US"/>
        </w:rPr>
        <w:t xml:space="preserve"> </w:t>
      </w:r>
      <w:proofErr w:type="spellStart"/>
      <w:r w:rsidRPr="002D0770">
        <w:rPr>
          <w:sz w:val="16"/>
          <w:szCs w:val="16"/>
          <w:lang w:val="en-US"/>
        </w:rPr>
        <w:t>en</w:t>
      </w:r>
      <w:proofErr w:type="spellEnd"/>
      <w:r w:rsidRPr="002D0770">
        <w:rPr>
          <w:sz w:val="16"/>
          <w:szCs w:val="16"/>
          <w:lang w:val="en-US"/>
        </w:rPr>
        <w:t xml:space="preserve"> Syrian Golan.</w:t>
      </w:r>
    </w:p>
  </w:footnote>
  <w:footnote w:id="8">
    <w:p w14:paraId="4BC3FC51" w14:textId="5D3F4F6A" w:rsidR="00826125" w:rsidRPr="002D0770" w:rsidRDefault="00826125">
      <w:pPr>
        <w:pStyle w:val="FootnoteText"/>
        <w:rPr>
          <w:sz w:val="16"/>
          <w:szCs w:val="16"/>
        </w:rPr>
      </w:pPr>
      <w:r w:rsidRPr="002D0770">
        <w:rPr>
          <w:rStyle w:val="FootnoteReference"/>
          <w:sz w:val="16"/>
          <w:szCs w:val="16"/>
        </w:rPr>
        <w:footnoteRef/>
      </w:r>
      <w:r w:rsidRPr="002D0770">
        <w:rPr>
          <w:sz w:val="16"/>
          <w:szCs w:val="16"/>
        </w:rPr>
        <w:t xml:space="preserve"> Kamerstuk 34</w:t>
      </w:r>
      <w:r w:rsidR="00A76B0E">
        <w:rPr>
          <w:sz w:val="16"/>
          <w:szCs w:val="16"/>
        </w:rPr>
        <w:t xml:space="preserve"> </w:t>
      </w:r>
      <w:r w:rsidRPr="002D0770">
        <w:rPr>
          <w:sz w:val="16"/>
          <w:szCs w:val="16"/>
        </w:rPr>
        <w:t>775, n</w:t>
      </w:r>
      <w:r w:rsidR="00B46BBA" w:rsidRPr="002D0770">
        <w:rPr>
          <w:sz w:val="16"/>
          <w:szCs w:val="16"/>
        </w:rPr>
        <w:t>r</w:t>
      </w:r>
      <w:r w:rsidRPr="002D0770">
        <w:rPr>
          <w:sz w:val="16"/>
          <w:szCs w:val="16"/>
        </w:rPr>
        <w:t>. 44</w:t>
      </w:r>
    </w:p>
  </w:footnote>
  <w:footnote w:id="9">
    <w:p w14:paraId="5BB00058" w14:textId="082CC88A" w:rsidR="00B65F8E" w:rsidRPr="002D0770" w:rsidRDefault="00B65F8E">
      <w:pPr>
        <w:pStyle w:val="FootnoteText"/>
        <w:rPr>
          <w:sz w:val="16"/>
          <w:szCs w:val="16"/>
        </w:rPr>
      </w:pPr>
      <w:r w:rsidRPr="002D0770">
        <w:rPr>
          <w:rStyle w:val="FootnoteReference"/>
          <w:sz w:val="16"/>
          <w:szCs w:val="16"/>
        </w:rPr>
        <w:footnoteRef/>
      </w:r>
      <w:r w:rsidRPr="002D0770">
        <w:rPr>
          <w:sz w:val="16"/>
          <w:szCs w:val="16"/>
        </w:rPr>
        <w:t xml:space="preserve"> </w:t>
      </w:r>
      <w:r w:rsidR="006B0BC9" w:rsidRPr="002D0770">
        <w:rPr>
          <w:sz w:val="16"/>
          <w:szCs w:val="16"/>
        </w:rPr>
        <w:t>https://www.ohchr.org/en/documents/country-reports/ahrc5828-human-rights-situation-occupied-palestinian-territory-including</w:t>
      </w:r>
    </w:p>
  </w:footnote>
  <w:footnote w:id="10">
    <w:p w14:paraId="2E4B5C69" w14:textId="64EB1BC7" w:rsidR="00B46BBA" w:rsidRPr="002D0770" w:rsidRDefault="00B46BBA">
      <w:pPr>
        <w:pStyle w:val="FootnoteText"/>
        <w:rPr>
          <w:sz w:val="16"/>
          <w:szCs w:val="16"/>
        </w:rPr>
      </w:pPr>
      <w:r w:rsidRPr="002D0770">
        <w:rPr>
          <w:rStyle w:val="FootnoteReference"/>
          <w:sz w:val="16"/>
          <w:szCs w:val="16"/>
        </w:rPr>
        <w:footnoteRef/>
      </w:r>
      <w:r w:rsidRPr="002D0770">
        <w:rPr>
          <w:sz w:val="16"/>
          <w:szCs w:val="16"/>
        </w:rPr>
        <w:t xml:space="preserve"> Kamerstuk 23</w:t>
      </w:r>
      <w:r w:rsidR="00A76B0E">
        <w:rPr>
          <w:sz w:val="16"/>
          <w:szCs w:val="16"/>
        </w:rPr>
        <w:t xml:space="preserve"> </w:t>
      </w:r>
      <w:r w:rsidRPr="002D0770">
        <w:rPr>
          <w:sz w:val="16"/>
          <w:szCs w:val="16"/>
        </w:rPr>
        <w:t>432, nr. 525</w:t>
      </w:r>
    </w:p>
  </w:footnote>
  <w:footnote w:id="11">
    <w:p w14:paraId="64BA369B" w14:textId="40E9E0E5" w:rsidR="00CD3EFB" w:rsidRPr="00C14B05" w:rsidRDefault="00CD3EFB">
      <w:pPr>
        <w:pStyle w:val="FootnoteText"/>
      </w:pPr>
      <w:r w:rsidRPr="00A76B0E">
        <w:rPr>
          <w:rStyle w:val="FootnoteReference"/>
          <w:sz w:val="16"/>
          <w:szCs w:val="16"/>
        </w:rPr>
        <w:footnoteRef/>
      </w:r>
      <w:r w:rsidRPr="002E0521">
        <w:rPr>
          <w:sz w:val="16"/>
          <w:szCs w:val="16"/>
        </w:rPr>
        <w:t xml:space="preserve"> Kamerstuk 34 77</w:t>
      </w:r>
      <w:r w:rsidR="00C14B05" w:rsidRPr="002E0521">
        <w:rPr>
          <w:sz w:val="16"/>
          <w:szCs w:val="16"/>
        </w:rPr>
        <w:t>5, nr. 4</w:t>
      </w:r>
    </w:p>
  </w:footnote>
  <w:footnote w:id="12">
    <w:p w14:paraId="49208C57" w14:textId="110019CE" w:rsidR="0044688E" w:rsidRPr="002D0770" w:rsidRDefault="0044688E" w:rsidP="0044688E">
      <w:pPr>
        <w:pStyle w:val="FootnoteText"/>
        <w:rPr>
          <w:sz w:val="16"/>
          <w:szCs w:val="16"/>
        </w:rPr>
      </w:pPr>
      <w:r w:rsidRPr="002D0770">
        <w:rPr>
          <w:rStyle w:val="FootnoteReference"/>
          <w:sz w:val="16"/>
          <w:szCs w:val="16"/>
        </w:rPr>
        <w:footnoteRef/>
      </w:r>
      <w:r w:rsidRPr="002D0770">
        <w:rPr>
          <w:sz w:val="16"/>
          <w:szCs w:val="16"/>
        </w:rPr>
        <w:t xml:space="preserve"> Kamerstuk 32</w:t>
      </w:r>
      <w:r w:rsidR="00A76B0E">
        <w:rPr>
          <w:sz w:val="16"/>
          <w:szCs w:val="16"/>
        </w:rPr>
        <w:t xml:space="preserve"> </w:t>
      </w:r>
      <w:r w:rsidRPr="002D0770">
        <w:rPr>
          <w:sz w:val="16"/>
          <w:szCs w:val="16"/>
        </w:rPr>
        <w:t>623, nr. 341</w:t>
      </w:r>
    </w:p>
  </w:footnote>
  <w:footnote w:id="13">
    <w:p w14:paraId="6099B51E" w14:textId="11CC613D" w:rsidR="0089571A" w:rsidRPr="002D0770" w:rsidRDefault="0089571A" w:rsidP="0089571A">
      <w:pPr>
        <w:pStyle w:val="FootnoteText"/>
        <w:rPr>
          <w:sz w:val="16"/>
          <w:szCs w:val="16"/>
        </w:rPr>
      </w:pPr>
      <w:r w:rsidRPr="002D0770">
        <w:rPr>
          <w:rStyle w:val="FootnoteReference"/>
          <w:sz w:val="16"/>
          <w:szCs w:val="16"/>
        </w:rPr>
        <w:footnoteRef/>
      </w:r>
      <w:r w:rsidRPr="002D0770">
        <w:rPr>
          <w:sz w:val="16"/>
          <w:szCs w:val="16"/>
        </w:rPr>
        <w:t xml:space="preserve"> Kamerstuk 21</w:t>
      </w:r>
      <w:r w:rsidR="00A76B0E">
        <w:rPr>
          <w:sz w:val="16"/>
          <w:szCs w:val="16"/>
        </w:rPr>
        <w:t xml:space="preserve"> </w:t>
      </w:r>
      <w:r w:rsidRPr="002D0770">
        <w:rPr>
          <w:sz w:val="16"/>
          <w:szCs w:val="16"/>
        </w:rPr>
        <w:t>502-20, nr. 2145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FBBB" w14:textId="77777777" w:rsidR="000E0A16" w:rsidRDefault="000E0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002A" w14:textId="6457B61B" w:rsidR="001A04F0" w:rsidRDefault="00F74612">
    <w:r>
      <w:rPr>
        <w:noProof/>
      </w:rPr>
      <mc:AlternateContent>
        <mc:Choice Requires="wps">
          <w:drawing>
            <wp:anchor distT="0" distB="0" distL="0" distR="0" simplePos="0" relativeHeight="251658240" behindDoc="0" locked="1" layoutInCell="1" allowOverlap="1" wp14:anchorId="69D5002E" wp14:editId="1ED08E64">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69D5005E" w14:textId="77777777" w:rsidR="001A04F0" w:rsidRDefault="00F74612">
                          <w:pPr>
                            <w:pStyle w:val="Referentiegegevensbold"/>
                          </w:pPr>
                          <w:r>
                            <w:t>Ministerie van Buitenlandse Zaken</w:t>
                          </w:r>
                        </w:p>
                        <w:p w14:paraId="69D5005F" w14:textId="77777777" w:rsidR="001A04F0" w:rsidRDefault="001A04F0">
                          <w:pPr>
                            <w:pStyle w:val="WitregelW2"/>
                          </w:pPr>
                        </w:p>
                        <w:p w14:paraId="69D50060" w14:textId="77777777" w:rsidR="001A04F0" w:rsidRDefault="00F74612">
                          <w:pPr>
                            <w:pStyle w:val="Referentiegegevensbold"/>
                          </w:pPr>
                          <w:r>
                            <w:t>Onze referentie</w:t>
                          </w:r>
                        </w:p>
                        <w:p w14:paraId="69D50061" w14:textId="77777777" w:rsidR="001A04F0" w:rsidRDefault="00F74612">
                          <w:pPr>
                            <w:pStyle w:val="Referentiegegevens"/>
                          </w:pPr>
                          <w:r>
                            <w:t>BZ2515335</w:t>
                          </w:r>
                        </w:p>
                      </w:txbxContent>
                    </wps:txbx>
                    <wps:bodyPr vert="horz" wrap="square" lIns="0" tIns="0" rIns="0" bIns="0" anchor="t" anchorCtr="0"/>
                  </wps:wsp>
                </a:graphicData>
              </a:graphic>
              <wp14:sizeRelH relativeFrom="margin">
                <wp14:pctWidth>0</wp14:pctWidth>
              </wp14:sizeRelH>
            </wp:anchor>
          </w:drawing>
        </mc:Choice>
        <mc:Fallback>
          <w:pict>
            <v:shapetype w14:anchorId="69D5002E"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69D5005E" w14:textId="77777777" w:rsidR="001A04F0" w:rsidRDefault="00F74612">
                    <w:pPr>
                      <w:pStyle w:val="Referentiegegevensbold"/>
                    </w:pPr>
                    <w:r>
                      <w:t>Ministerie van Buitenlandse Zaken</w:t>
                    </w:r>
                  </w:p>
                  <w:p w14:paraId="69D5005F" w14:textId="77777777" w:rsidR="001A04F0" w:rsidRDefault="001A04F0">
                    <w:pPr>
                      <w:pStyle w:val="WitregelW2"/>
                    </w:pPr>
                  </w:p>
                  <w:p w14:paraId="69D50060" w14:textId="77777777" w:rsidR="001A04F0" w:rsidRDefault="00F74612">
                    <w:pPr>
                      <w:pStyle w:val="Referentiegegevensbold"/>
                    </w:pPr>
                    <w:r>
                      <w:t>Onze referentie</w:t>
                    </w:r>
                  </w:p>
                  <w:p w14:paraId="69D50061" w14:textId="77777777" w:rsidR="001A04F0" w:rsidRDefault="00F74612">
                    <w:pPr>
                      <w:pStyle w:val="Referentiegegevens"/>
                    </w:pPr>
                    <w:r>
                      <w:t>BZ2515335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9D50032" wp14:editId="13F2246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D50070" w14:textId="77777777" w:rsidR="00F74612" w:rsidRDefault="00F74612"/>
                      </w:txbxContent>
                    </wps:txbx>
                    <wps:bodyPr vert="horz" wrap="square" lIns="0" tIns="0" rIns="0" bIns="0" anchor="t" anchorCtr="0"/>
                  </wps:wsp>
                </a:graphicData>
              </a:graphic>
            </wp:anchor>
          </w:drawing>
        </mc:Choice>
        <mc:Fallback>
          <w:pict>
            <v:shape w14:anchorId="69D50032"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9D50070" w14:textId="77777777" w:rsidR="00F74612" w:rsidRDefault="00F7461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002C" w14:textId="000B287C" w:rsidR="001A04F0" w:rsidRDefault="00F74612">
    <w:pPr>
      <w:spacing w:after="7131" w:line="14" w:lineRule="exact"/>
    </w:pPr>
    <w:r>
      <w:rPr>
        <w:noProof/>
      </w:rPr>
      <mc:AlternateContent>
        <mc:Choice Requires="wps">
          <w:drawing>
            <wp:anchor distT="0" distB="0" distL="0" distR="0" simplePos="0" relativeHeight="251658242" behindDoc="0" locked="1" layoutInCell="1" allowOverlap="1" wp14:anchorId="69D50034" wp14:editId="69D500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9D50063" w14:textId="77777777" w:rsidR="00F74612" w:rsidRDefault="00F74612"/>
                      </w:txbxContent>
                    </wps:txbx>
                    <wps:bodyPr vert="horz" wrap="square" lIns="0" tIns="0" rIns="0" bIns="0" anchor="t" anchorCtr="0"/>
                  </wps:wsp>
                </a:graphicData>
              </a:graphic>
            </wp:anchor>
          </w:drawing>
        </mc:Choice>
        <mc:Fallback>
          <w:pict>
            <v:shapetype w14:anchorId="69D5003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9D50063" w14:textId="77777777" w:rsidR="00F74612" w:rsidRDefault="00F74612"/>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9D50036" wp14:editId="69D500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7E4904" w14:textId="77777777" w:rsidR="002D0770" w:rsidRPr="00CF7C5C" w:rsidRDefault="002D0770" w:rsidP="002D0770">
                          <w:r>
                            <w:t>Aan de Voorzitter van de</w:t>
                          </w:r>
                          <w:r>
                            <w:br/>
                            <w:t>Tweede Kamer der Staten-Generaal</w:t>
                          </w:r>
                          <w:r>
                            <w:br/>
                            <w:t>Prinses Irenestraat 6</w:t>
                          </w:r>
                          <w:r>
                            <w:br/>
                            <w:t>Den Haag</w:t>
                          </w:r>
                        </w:p>
                        <w:p w14:paraId="69D50044" w14:textId="59B54E00" w:rsidR="001A04F0" w:rsidRDefault="001A04F0">
                          <w:pPr>
                            <w:pStyle w:val="Rubricering"/>
                          </w:pPr>
                        </w:p>
                      </w:txbxContent>
                    </wps:txbx>
                    <wps:bodyPr vert="horz" wrap="square" lIns="0" tIns="0" rIns="0" bIns="0" anchor="t" anchorCtr="0"/>
                  </wps:wsp>
                </a:graphicData>
              </a:graphic>
            </wp:anchor>
          </w:drawing>
        </mc:Choice>
        <mc:Fallback>
          <w:pict>
            <v:shape w14:anchorId="69D50036"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7E4904" w14:textId="77777777" w:rsidR="002D0770" w:rsidRPr="00CF7C5C" w:rsidRDefault="002D0770" w:rsidP="002D0770">
                    <w:r>
                      <w:t>Aan de Voorzitter van de</w:t>
                    </w:r>
                    <w:r>
                      <w:br/>
                      <w:t>Tweede Kamer der Staten-Generaal</w:t>
                    </w:r>
                    <w:r>
                      <w:br/>
                      <w:t>Prinses Irenestraat 6</w:t>
                    </w:r>
                    <w:r>
                      <w:br/>
                      <w:t>Den Haag</w:t>
                    </w:r>
                  </w:p>
                  <w:p w14:paraId="69D50044" w14:textId="59B54E00" w:rsidR="001A04F0" w:rsidRDefault="001A04F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9D50038" wp14:editId="69D500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A04F0" w14:paraId="69D50047" w14:textId="77777777">
                            <w:tc>
                              <w:tcPr>
                                <w:tcW w:w="678" w:type="dxa"/>
                              </w:tcPr>
                              <w:p w14:paraId="69D50045" w14:textId="77777777" w:rsidR="001A04F0" w:rsidRDefault="00F74612">
                                <w:r>
                                  <w:t>Datum</w:t>
                                </w:r>
                              </w:p>
                            </w:tc>
                            <w:tc>
                              <w:tcPr>
                                <w:tcW w:w="6851" w:type="dxa"/>
                              </w:tcPr>
                              <w:p w14:paraId="69D50046" w14:textId="3BBCEA9B" w:rsidR="001A04F0" w:rsidRDefault="000E0A16">
                                <w:r>
                                  <w:t>12</w:t>
                                </w:r>
                                <w:r w:rsidR="002D0770">
                                  <w:t xml:space="preserve"> mei</w:t>
                                </w:r>
                                <w:r w:rsidR="00F74612">
                                  <w:t xml:space="preserve"> 2025</w:t>
                                </w:r>
                              </w:p>
                            </w:tc>
                          </w:tr>
                          <w:tr w:rsidR="001A04F0" w14:paraId="69D5004C" w14:textId="77777777">
                            <w:tc>
                              <w:tcPr>
                                <w:tcW w:w="678" w:type="dxa"/>
                              </w:tcPr>
                              <w:p w14:paraId="69D50048" w14:textId="77777777" w:rsidR="001A04F0" w:rsidRDefault="00F74612">
                                <w:r>
                                  <w:t>Betreft</w:t>
                                </w:r>
                              </w:p>
                              <w:p w14:paraId="69D50049" w14:textId="77777777" w:rsidR="001A04F0" w:rsidRDefault="001A04F0"/>
                            </w:tc>
                            <w:tc>
                              <w:tcPr>
                                <w:tcW w:w="6851" w:type="dxa"/>
                              </w:tcPr>
                              <w:p w14:paraId="69D5004B" w14:textId="76343228" w:rsidR="001A04F0" w:rsidRDefault="002D0770">
                                <w:r>
                                  <w:t>H</w:t>
                                </w:r>
                                <w:r w:rsidR="00976FDE" w:rsidRPr="00976FDE">
                                  <w:t>umanitaire situatie in de Gazastrook en multilaterale ontwikkelingen ten aanzien van Israël en de Palestijnse Gebieden</w:t>
                                </w:r>
                              </w:p>
                            </w:tc>
                          </w:tr>
                        </w:tbl>
                        <w:p w14:paraId="69D5004D" w14:textId="77777777" w:rsidR="001A04F0" w:rsidRDefault="001A04F0"/>
                        <w:p w14:paraId="69D5004E" w14:textId="77777777" w:rsidR="001A04F0" w:rsidRDefault="001A04F0"/>
                      </w:txbxContent>
                    </wps:txbx>
                    <wps:bodyPr vert="horz" wrap="square" lIns="0" tIns="0" rIns="0" bIns="0" anchor="t" anchorCtr="0"/>
                  </wps:wsp>
                </a:graphicData>
              </a:graphic>
            </wp:anchor>
          </w:drawing>
        </mc:Choice>
        <mc:Fallback>
          <w:pict>
            <v:shape w14:anchorId="69D50038"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A04F0" w14:paraId="69D50047" w14:textId="77777777">
                      <w:tc>
                        <w:tcPr>
                          <w:tcW w:w="678" w:type="dxa"/>
                        </w:tcPr>
                        <w:p w14:paraId="69D50045" w14:textId="77777777" w:rsidR="001A04F0" w:rsidRDefault="00F74612">
                          <w:r>
                            <w:t>Datum</w:t>
                          </w:r>
                        </w:p>
                      </w:tc>
                      <w:tc>
                        <w:tcPr>
                          <w:tcW w:w="6851" w:type="dxa"/>
                        </w:tcPr>
                        <w:p w14:paraId="69D50046" w14:textId="3BBCEA9B" w:rsidR="001A04F0" w:rsidRDefault="000E0A16">
                          <w:r>
                            <w:t>12</w:t>
                          </w:r>
                          <w:r w:rsidR="002D0770">
                            <w:t xml:space="preserve"> mei</w:t>
                          </w:r>
                          <w:r w:rsidR="00F74612">
                            <w:t xml:space="preserve"> 2025</w:t>
                          </w:r>
                        </w:p>
                      </w:tc>
                    </w:tr>
                    <w:tr w:rsidR="001A04F0" w14:paraId="69D5004C" w14:textId="77777777">
                      <w:tc>
                        <w:tcPr>
                          <w:tcW w:w="678" w:type="dxa"/>
                        </w:tcPr>
                        <w:p w14:paraId="69D50048" w14:textId="77777777" w:rsidR="001A04F0" w:rsidRDefault="00F74612">
                          <w:r>
                            <w:t>Betreft</w:t>
                          </w:r>
                        </w:p>
                        <w:p w14:paraId="69D50049" w14:textId="77777777" w:rsidR="001A04F0" w:rsidRDefault="001A04F0"/>
                      </w:tc>
                      <w:tc>
                        <w:tcPr>
                          <w:tcW w:w="6851" w:type="dxa"/>
                        </w:tcPr>
                        <w:p w14:paraId="69D5004B" w14:textId="76343228" w:rsidR="001A04F0" w:rsidRDefault="002D0770">
                          <w:r>
                            <w:t>H</w:t>
                          </w:r>
                          <w:r w:rsidR="00976FDE" w:rsidRPr="00976FDE">
                            <w:t>umanitaire situatie in de Gazastrook en multilaterale ontwikkelingen ten aanzien van Israël en de Palestijnse Gebieden</w:t>
                          </w:r>
                        </w:p>
                      </w:tc>
                    </w:tr>
                  </w:tbl>
                  <w:p w14:paraId="69D5004D" w14:textId="77777777" w:rsidR="001A04F0" w:rsidRDefault="001A04F0"/>
                  <w:p w14:paraId="69D5004E" w14:textId="77777777" w:rsidR="001A04F0" w:rsidRDefault="001A04F0"/>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9D5003A" wp14:editId="42D86D22">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681BB" w14:textId="77777777" w:rsidR="002D0770" w:rsidRPr="00F51C07" w:rsidRDefault="002D0770" w:rsidP="002D0770">
                              <w:pPr>
                                <w:rPr>
                                  <w:b/>
                                  <w:sz w:val="13"/>
                                  <w:szCs w:val="13"/>
                                </w:rPr>
                              </w:pPr>
                              <w:r w:rsidRPr="00FC13FA">
                                <w:rPr>
                                  <w:b/>
                                  <w:sz w:val="13"/>
                                  <w:szCs w:val="13"/>
                                </w:rPr>
                                <w:t>Ministerie van Buitenlandse Zaken</w:t>
                              </w:r>
                            </w:p>
                          </w:sdtContent>
                        </w:sdt>
                        <w:p w14:paraId="6BABCBD5" w14:textId="77777777" w:rsidR="002D0770" w:rsidRPr="00EE5E5D" w:rsidRDefault="002D0770" w:rsidP="002D0770">
                          <w:pPr>
                            <w:rPr>
                              <w:sz w:val="13"/>
                              <w:szCs w:val="13"/>
                            </w:rPr>
                          </w:pPr>
                          <w:r>
                            <w:rPr>
                              <w:sz w:val="13"/>
                              <w:szCs w:val="13"/>
                            </w:rPr>
                            <w:t>Rijnstraat 8</w:t>
                          </w:r>
                        </w:p>
                        <w:p w14:paraId="38B78F9C" w14:textId="77777777" w:rsidR="002D0770" w:rsidRPr="0059764A" w:rsidRDefault="002D0770" w:rsidP="002D0770">
                          <w:pPr>
                            <w:rPr>
                              <w:sz w:val="13"/>
                              <w:szCs w:val="13"/>
                              <w:lang w:val="da-DK"/>
                            </w:rPr>
                          </w:pPr>
                          <w:r w:rsidRPr="0059764A">
                            <w:rPr>
                              <w:sz w:val="13"/>
                              <w:szCs w:val="13"/>
                              <w:lang w:val="da-DK"/>
                            </w:rPr>
                            <w:t>2515 XP Den Haag</w:t>
                          </w:r>
                        </w:p>
                        <w:p w14:paraId="750D166E" w14:textId="77777777" w:rsidR="002D0770" w:rsidRPr="0059764A" w:rsidRDefault="002D0770" w:rsidP="002D0770">
                          <w:pPr>
                            <w:rPr>
                              <w:sz w:val="13"/>
                              <w:szCs w:val="13"/>
                              <w:lang w:val="da-DK"/>
                            </w:rPr>
                          </w:pPr>
                          <w:r w:rsidRPr="0059764A">
                            <w:rPr>
                              <w:sz w:val="13"/>
                              <w:szCs w:val="13"/>
                              <w:lang w:val="da-DK"/>
                            </w:rPr>
                            <w:t>Postbus 20061</w:t>
                          </w:r>
                        </w:p>
                        <w:p w14:paraId="12227419" w14:textId="77777777" w:rsidR="002D0770" w:rsidRPr="0059764A" w:rsidRDefault="002D0770" w:rsidP="002D0770">
                          <w:pPr>
                            <w:rPr>
                              <w:sz w:val="13"/>
                              <w:szCs w:val="13"/>
                              <w:lang w:val="da-DK"/>
                            </w:rPr>
                          </w:pPr>
                          <w:r w:rsidRPr="0059764A">
                            <w:rPr>
                              <w:sz w:val="13"/>
                              <w:szCs w:val="13"/>
                              <w:lang w:val="da-DK"/>
                            </w:rPr>
                            <w:t>Nederland</w:t>
                          </w:r>
                        </w:p>
                        <w:p w14:paraId="4ECC998E" w14:textId="77777777" w:rsidR="002D0770" w:rsidRPr="0059764A" w:rsidRDefault="002D0770" w:rsidP="002D0770">
                          <w:pPr>
                            <w:rPr>
                              <w:sz w:val="13"/>
                              <w:szCs w:val="13"/>
                              <w:lang w:val="da-DK"/>
                            </w:rPr>
                          </w:pPr>
                          <w:r w:rsidRPr="0059764A">
                            <w:rPr>
                              <w:sz w:val="13"/>
                              <w:szCs w:val="13"/>
                              <w:lang w:val="da-DK"/>
                            </w:rPr>
                            <w:t>www.rijksoverheid.nl</w:t>
                          </w:r>
                        </w:p>
                        <w:p w14:paraId="69D50053" w14:textId="77777777" w:rsidR="001A04F0" w:rsidRPr="002D0770" w:rsidRDefault="001A04F0">
                          <w:pPr>
                            <w:pStyle w:val="WitregelW2"/>
                            <w:rPr>
                              <w:lang w:val="da-DK"/>
                            </w:rPr>
                          </w:pPr>
                        </w:p>
                        <w:p w14:paraId="69D50054" w14:textId="77777777" w:rsidR="001A04F0" w:rsidRPr="002E0521" w:rsidRDefault="00F74612">
                          <w:pPr>
                            <w:pStyle w:val="Referentiegegevensbold"/>
                          </w:pPr>
                          <w:r w:rsidRPr="002E0521">
                            <w:t>Onze referentie</w:t>
                          </w:r>
                        </w:p>
                        <w:p w14:paraId="69D50055" w14:textId="77777777" w:rsidR="001A04F0" w:rsidRDefault="00F74612">
                          <w:pPr>
                            <w:pStyle w:val="Referentiegegevens"/>
                          </w:pPr>
                          <w:r>
                            <w:t>BZ2515335</w:t>
                          </w:r>
                        </w:p>
                        <w:p w14:paraId="69D50056" w14:textId="77777777" w:rsidR="001A04F0" w:rsidRDefault="001A04F0">
                          <w:pPr>
                            <w:pStyle w:val="WitregelW1"/>
                          </w:pPr>
                        </w:p>
                        <w:p w14:paraId="69D50057" w14:textId="77777777" w:rsidR="001A04F0" w:rsidRDefault="00F74612">
                          <w:pPr>
                            <w:pStyle w:val="Referentiegegevensbold"/>
                          </w:pPr>
                          <w:r>
                            <w:t>Uw referentie</w:t>
                          </w:r>
                        </w:p>
                        <w:p w14:paraId="69D50058" w14:textId="77777777" w:rsidR="001A04F0" w:rsidRDefault="00F74612">
                          <w:pPr>
                            <w:pStyle w:val="Referentiegegevens"/>
                          </w:pPr>
                          <w:r>
                            <w:t>2025Z07537</w:t>
                          </w:r>
                        </w:p>
                        <w:p w14:paraId="69D50059" w14:textId="77777777" w:rsidR="001A04F0" w:rsidRDefault="001A04F0">
                          <w:pPr>
                            <w:pStyle w:val="WitregelW1"/>
                          </w:pPr>
                        </w:p>
                        <w:p w14:paraId="69D5005A" w14:textId="77777777" w:rsidR="001A04F0" w:rsidRDefault="00F74612">
                          <w:pPr>
                            <w:pStyle w:val="Referentiegegevensbold"/>
                          </w:pPr>
                          <w:r>
                            <w:t>Bijlage(n)</w:t>
                          </w:r>
                        </w:p>
                        <w:p w14:paraId="69D5005B" w14:textId="77777777" w:rsidR="001A04F0" w:rsidRDefault="00F7461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9D5003A" id="41b10cd4-80a4-11ea-b356-6230a4311406" o:spid="_x0000_s1031" type="#_x0000_t202" style="position:absolute;margin-left:466.5pt;margin-top:155pt;width:10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681BB" w14:textId="77777777" w:rsidR="002D0770" w:rsidRPr="00F51C07" w:rsidRDefault="002D0770" w:rsidP="002D0770">
                        <w:pPr>
                          <w:rPr>
                            <w:b/>
                            <w:sz w:val="13"/>
                            <w:szCs w:val="13"/>
                          </w:rPr>
                        </w:pPr>
                        <w:r w:rsidRPr="00FC13FA">
                          <w:rPr>
                            <w:b/>
                            <w:sz w:val="13"/>
                            <w:szCs w:val="13"/>
                          </w:rPr>
                          <w:t>Ministerie van Buitenlandse Zaken</w:t>
                        </w:r>
                      </w:p>
                    </w:sdtContent>
                  </w:sdt>
                  <w:p w14:paraId="6BABCBD5" w14:textId="77777777" w:rsidR="002D0770" w:rsidRPr="00EE5E5D" w:rsidRDefault="002D0770" w:rsidP="002D0770">
                    <w:pPr>
                      <w:rPr>
                        <w:sz w:val="13"/>
                        <w:szCs w:val="13"/>
                      </w:rPr>
                    </w:pPr>
                    <w:r>
                      <w:rPr>
                        <w:sz w:val="13"/>
                        <w:szCs w:val="13"/>
                      </w:rPr>
                      <w:t>Rijnstraat 8</w:t>
                    </w:r>
                  </w:p>
                  <w:p w14:paraId="38B78F9C" w14:textId="77777777" w:rsidR="002D0770" w:rsidRPr="0059764A" w:rsidRDefault="002D0770" w:rsidP="002D0770">
                    <w:pPr>
                      <w:rPr>
                        <w:sz w:val="13"/>
                        <w:szCs w:val="13"/>
                        <w:lang w:val="da-DK"/>
                      </w:rPr>
                    </w:pPr>
                    <w:r w:rsidRPr="0059764A">
                      <w:rPr>
                        <w:sz w:val="13"/>
                        <w:szCs w:val="13"/>
                        <w:lang w:val="da-DK"/>
                      </w:rPr>
                      <w:t>2515 XP Den Haag</w:t>
                    </w:r>
                  </w:p>
                  <w:p w14:paraId="750D166E" w14:textId="77777777" w:rsidR="002D0770" w:rsidRPr="0059764A" w:rsidRDefault="002D0770" w:rsidP="002D0770">
                    <w:pPr>
                      <w:rPr>
                        <w:sz w:val="13"/>
                        <w:szCs w:val="13"/>
                        <w:lang w:val="da-DK"/>
                      </w:rPr>
                    </w:pPr>
                    <w:r w:rsidRPr="0059764A">
                      <w:rPr>
                        <w:sz w:val="13"/>
                        <w:szCs w:val="13"/>
                        <w:lang w:val="da-DK"/>
                      </w:rPr>
                      <w:t>Postbus 20061</w:t>
                    </w:r>
                  </w:p>
                  <w:p w14:paraId="12227419" w14:textId="77777777" w:rsidR="002D0770" w:rsidRPr="0059764A" w:rsidRDefault="002D0770" w:rsidP="002D0770">
                    <w:pPr>
                      <w:rPr>
                        <w:sz w:val="13"/>
                        <w:szCs w:val="13"/>
                        <w:lang w:val="da-DK"/>
                      </w:rPr>
                    </w:pPr>
                    <w:r w:rsidRPr="0059764A">
                      <w:rPr>
                        <w:sz w:val="13"/>
                        <w:szCs w:val="13"/>
                        <w:lang w:val="da-DK"/>
                      </w:rPr>
                      <w:t>Nederland</w:t>
                    </w:r>
                  </w:p>
                  <w:p w14:paraId="4ECC998E" w14:textId="77777777" w:rsidR="002D0770" w:rsidRPr="0059764A" w:rsidRDefault="002D0770" w:rsidP="002D0770">
                    <w:pPr>
                      <w:rPr>
                        <w:sz w:val="13"/>
                        <w:szCs w:val="13"/>
                        <w:lang w:val="da-DK"/>
                      </w:rPr>
                    </w:pPr>
                    <w:r w:rsidRPr="0059764A">
                      <w:rPr>
                        <w:sz w:val="13"/>
                        <w:szCs w:val="13"/>
                        <w:lang w:val="da-DK"/>
                      </w:rPr>
                      <w:t>www.rijksoverheid.nl</w:t>
                    </w:r>
                  </w:p>
                  <w:p w14:paraId="69D50053" w14:textId="77777777" w:rsidR="001A04F0" w:rsidRPr="002D0770" w:rsidRDefault="001A04F0">
                    <w:pPr>
                      <w:pStyle w:val="WitregelW2"/>
                      <w:rPr>
                        <w:lang w:val="da-DK"/>
                      </w:rPr>
                    </w:pPr>
                  </w:p>
                  <w:p w14:paraId="69D50054" w14:textId="77777777" w:rsidR="001A04F0" w:rsidRPr="002E0521" w:rsidRDefault="00F74612">
                    <w:pPr>
                      <w:pStyle w:val="Referentiegegevensbold"/>
                    </w:pPr>
                    <w:r w:rsidRPr="002E0521">
                      <w:t>Onze referentie</w:t>
                    </w:r>
                  </w:p>
                  <w:p w14:paraId="69D50055" w14:textId="77777777" w:rsidR="001A04F0" w:rsidRDefault="00F74612">
                    <w:pPr>
                      <w:pStyle w:val="Referentiegegevens"/>
                    </w:pPr>
                    <w:r>
                      <w:t>BZ2515335</w:t>
                    </w:r>
                  </w:p>
                  <w:p w14:paraId="69D50056" w14:textId="77777777" w:rsidR="001A04F0" w:rsidRDefault="001A04F0">
                    <w:pPr>
                      <w:pStyle w:val="WitregelW1"/>
                    </w:pPr>
                  </w:p>
                  <w:p w14:paraId="69D50057" w14:textId="77777777" w:rsidR="001A04F0" w:rsidRDefault="00F74612">
                    <w:pPr>
                      <w:pStyle w:val="Referentiegegevensbold"/>
                    </w:pPr>
                    <w:r>
                      <w:t>Uw referentie</w:t>
                    </w:r>
                  </w:p>
                  <w:p w14:paraId="69D50058" w14:textId="77777777" w:rsidR="001A04F0" w:rsidRDefault="00F74612">
                    <w:pPr>
                      <w:pStyle w:val="Referentiegegevens"/>
                    </w:pPr>
                    <w:r>
                      <w:t>2025Z07537</w:t>
                    </w:r>
                  </w:p>
                  <w:p w14:paraId="69D50059" w14:textId="77777777" w:rsidR="001A04F0" w:rsidRDefault="001A04F0">
                    <w:pPr>
                      <w:pStyle w:val="WitregelW1"/>
                    </w:pPr>
                  </w:p>
                  <w:p w14:paraId="69D5005A" w14:textId="77777777" w:rsidR="001A04F0" w:rsidRDefault="00F74612">
                    <w:pPr>
                      <w:pStyle w:val="Referentiegegevensbold"/>
                    </w:pPr>
                    <w:r>
                      <w:t>Bijlage(n)</w:t>
                    </w:r>
                  </w:p>
                  <w:p w14:paraId="69D5005B" w14:textId="77777777" w:rsidR="001A04F0" w:rsidRDefault="00F7461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9D5003E" wp14:editId="471CDC2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D50069" w14:textId="77777777" w:rsidR="00F74612" w:rsidRDefault="00F74612"/>
                      </w:txbxContent>
                    </wps:txbx>
                    <wps:bodyPr vert="horz" wrap="square" lIns="0" tIns="0" rIns="0" bIns="0" anchor="t" anchorCtr="0"/>
                  </wps:wsp>
                </a:graphicData>
              </a:graphic>
            </wp:anchor>
          </w:drawing>
        </mc:Choice>
        <mc:Fallback>
          <w:pict>
            <v:shape w14:anchorId="69D5003E"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9D50069" w14:textId="77777777" w:rsidR="00F74612" w:rsidRDefault="00F7461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9D50040" wp14:editId="69D500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D5006B" w14:textId="77777777" w:rsidR="00F74612" w:rsidRDefault="00F74612"/>
                      </w:txbxContent>
                    </wps:txbx>
                    <wps:bodyPr vert="horz" wrap="square" lIns="0" tIns="0" rIns="0" bIns="0" anchor="t" anchorCtr="0"/>
                  </wps:wsp>
                </a:graphicData>
              </a:graphic>
            </wp:anchor>
          </w:drawing>
        </mc:Choice>
        <mc:Fallback>
          <w:pict>
            <v:shape w14:anchorId="69D50040"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9D5006B" w14:textId="77777777" w:rsidR="00F74612" w:rsidRDefault="00F74612"/>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9D50042" wp14:editId="69D500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D5005D" w14:textId="21D29ECF" w:rsidR="001A04F0" w:rsidRDefault="00F74612">
                          <w:pPr>
                            <w:spacing w:line="240" w:lineRule="auto"/>
                          </w:pPr>
                          <w:r>
                            <w:rPr>
                              <w:noProof/>
                            </w:rPr>
                            <w:drawing>
                              <wp:inline distT="0" distB="0" distL="0" distR="0" wp14:anchorId="4D1B7C21" wp14:editId="69D5006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D50042"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9D5005D" w14:textId="21D29ECF" w:rsidR="001A04F0" w:rsidRDefault="00F74612">
                    <w:pPr>
                      <w:spacing w:line="240" w:lineRule="auto"/>
                    </w:pPr>
                    <w:r>
                      <w:rPr>
                        <w:noProof/>
                      </w:rPr>
                      <w:drawing>
                        <wp:inline distT="0" distB="0" distL="0" distR="0" wp14:anchorId="4D1B7C21" wp14:editId="69D5006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08612C"/>
    <w:multiLevelType w:val="multilevel"/>
    <w:tmpl w:val="781A097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B3494B7"/>
    <w:multiLevelType w:val="multilevel"/>
    <w:tmpl w:val="B2509E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C448B7"/>
    <w:multiLevelType w:val="hybridMultilevel"/>
    <w:tmpl w:val="E51ABB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AF65C7D"/>
    <w:multiLevelType w:val="multilevel"/>
    <w:tmpl w:val="A12F3E1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E755787"/>
    <w:multiLevelType w:val="multilevel"/>
    <w:tmpl w:val="0951275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37F7BFA"/>
    <w:multiLevelType w:val="multilevel"/>
    <w:tmpl w:val="CEA4F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417CA"/>
    <w:multiLevelType w:val="hybridMultilevel"/>
    <w:tmpl w:val="E1B6C594"/>
    <w:lvl w:ilvl="0" w:tplc="91CCCA70">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73D6AE"/>
    <w:multiLevelType w:val="multilevel"/>
    <w:tmpl w:val="3C09983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F55231"/>
    <w:multiLevelType w:val="multilevel"/>
    <w:tmpl w:val="B0BCB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89425974">
    <w:abstractNumId w:val="3"/>
  </w:num>
  <w:num w:numId="2" w16cid:durableId="65881247">
    <w:abstractNumId w:val="4"/>
  </w:num>
  <w:num w:numId="3" w16cid:durableId="167214212">
    <w:abstractNumId w:val="1"/>
  </w:num>
  <w:num w:numId="4" w16cid:durableId="268390279">
    <w:abstractNumId w:val="0"/>
  </w:num>
  <w:num w:numId="5" w16cid:durableId="1497382739">
    <w:abstractNumId w:val="7"/>
  </w:num>
  <w:num w:numId="6" w16cid:durableId="815684422">
    <w:abstractNumId w:val="6"/>
  </w:num>
  <w:num w:numId="7" w16cid:durableId="919824497">
    <w:abstractNumId w:val="2"/>
  </w:num>
  <w:num w:numId="8" w16cid:durableId="291135771">
    <w:abstractNumId w:val="5"/>
  </w:num>
  <w:num w:numId="9" w16cid:durableId="165610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F0"/>
    <w:rsid w:val="00003A8E"/>
    <w:rsid w:val="00005717"/>
    <w:rsid w:val="00010933"/>
    <w:rsid w:val="0001286A"/>
    <w:rsid w:val="00017406"/>
    <w:rsid w:val="0002292B"/>
    <w:rsid w:val="0003032B"/>
    <w:rsid w:val="00031B5A"/>
    <w:rsid w:val="000321E7"/>
    <w:rsid w:val="00032C59"/>
    <w:rsid w:val="00035936"/>
    <w:rsid w:val="000367A2"/>
    <w:rsid w:val="00041A5F"/>
    <w:rsid w:val="00042434"/>
    <w:rsid w:val="000453C5"/>
    <w:rsid w:val="00046E4B"/>
    <w:rsid w:val="00047E8F"/>
    <w:rsid w:val="00053566"/>
    <w:rsid w:val="0005767F"/>
    <w:rsid w:val="000615F2"/>
    <w:rsid w:val="00062974"/>
    <w:rsid w:val="00062E7B"/>
    <w:rsid w:val="000638B6"/>
    <w:rsid w:val="00063F35"/>
    <w:rsid w:val="00070974"/>
    <w:rsid w:val="000769A8"/>
    <w:rsid w:val="00077D4B"/>
    <w:rsid w:val="00080184"/>
    <w:rsid w:val="00086676"/>
    <w:rsid w:val="000902FA"/>
    <w:rsid w:val="00091A9E"/>
    <w:rsid w:val="000933C0"/>
    <w:rsid w:val="0009508E"/>
    <w:rsid w:val="0009635A"/>
    <w:rsid w:val="000A41EC"/>
    <w:rsid w:val="000A682B"/>
    <w:rsid w:val="000B06BF"/>
    <w:rsid w:val="000B4345"/>
    <w:rsid w:val="000C3813"/>
    <w:rsid w:val="000D08A3"/>
    <w:rsid w:val="000D65EC"/>
    <w:rsid w:val="000E0A16"/>
    <w:rsid w:val="000E4491"/>
    <w:rsid w:val="000E531B"/>
    <w:rsid w:val="000E54F5"/>
    <w:rsid w:val="000E554B"/>
    <w:rsid w:val="000E5AAB"/>
    <w:rsid w:val="000E671E"/>
    <w:rsid w:val="000E7462"/>
    <w:rsid w:val="000F451E"/>
    <w:rsid w:val="00100E60"/>
    <w:rsid w:val="0010274A"/>
    <w:rsid w:val="00102FD0"/>
    <w:rsid w:val="00110026"/>
    <w:rsid w:val="00111271"/>
    <w:rsid w:val="00121A98"/>
    <w:rsid w:val="00127A99"/>
    <w:rsid w:val="00130CE1"/>
    <w:rsid w:val="0013338E"/>
    <w:rsid w:val="00135087"/>
    <w:rsid w:val="0013614B"/>
    <w:rsid w:val="00136415"/>
    <w:rsid w:val="00141442"/>
    <w:rsid w:val="00157DD9"/>
    <w:rsid w:val="00165451"/>
    <w:rsid w:val="00165639"/>
    <w:rsid w:val="00165D1B"/>
    <w:rsid w:val="0016784F"/>
    <w:rsid w:val="001772A7"/>
    <w:rsid w:val="001863C6"/>
    <w:rsid w:val="00190F92"/>
    <w:rsid w:val="0019367C"/>
    <w:rsid w:val="00193E55"/>
    <w:rsid w:val="001A04F0"/>
    <w:rsid w:val="001A1265"/>
    <w:rsid w:val="001A1600"/>
    <w:rsid w:val="001A1CBD"/>
    <w:rsid w:val="001A76EC"/>
    <w:rsid w:val="001B5CFA"/>
    <w:rsid w:val="001C12AA"/>
    <w:rsid w:val="001C1B6B"/>
    <w:rsid w:val="001C29E2"/>
    <w:rsid w:val="001C7A5B"/>
    <w:rsid w:val="001D79E0"/>
    <w:rsid w:val="001E1E07"/>
    <w:rsid w:val="001E249A"/>
    <w:rsid w:val="001E4E5C"/>
    <w:rsid w:val="001E58DE"/>
    <w:rsid w:val="001F5DC0"/>
    <w:rsid w:val="001F7C79"/>
    <w:rsid w:val="0020044F"/>
    <w:rsid w:val="002011D9"/>
    <w:rsid w:val="00205F5A"/>
    <w:rsid w:val="00206AAE"/>
    <w:rsid w:val="00215256"/>
    <w:rsid w:val="002305F9"/>
    <w:rsid w:val="002320C6"/>
    <w:rsid w:val="002346EE"/>
    <w:rsid w:val="0023661D"/>
    <w:rsid w:val="00261335"/>
    <w:rsid w:val="00261C13"/>
    <w:rsid w:val="00265BDB"/>
    <w:rsid w:val="002725E6"/>
    <w:rsid w:val="00273527"/>
    <w:rsid w:val="00275152"/>
    <w:rsid w:val="00275FF5"/>
    <w:rsid w:val="0027761E"/>
    <w:rsid w:val="00283322"/>
    <w:rsid w:val="00287F31"/>
    <w:rsid w:val="002935F6"/>
    <w:rsid w:val="00294064"/>
    <w:rsid w:val="00297598"/>
    <w:rsid w:val="002A034F"/>
    <w:rsid w:val="002A128E"/>
    <w:rsid w:val="002A14E4"/>
    <w:rsid w:val="002A4FAB"/>
    <w:rsid w:val="002B0845"/>
    <w:rsid w:val="002B2AAA"/>
    <w:rsid w:val="002B4A0D"/>
    <w:rsid w:val="002B58B3"/>
    <w:rsid w:val="002B6731"/>
    <w:rsid w:val="002B7CE1"/>
    <w:rsid w:val="002C1D24"/>
    <w:rsid w:val="002C1EDF"/>
    <w:rsid w:val="002C2DD4"/>
    <w:rsid w:val="002C6776"/>
    <w:rsid w:val="002D0770"/>
    <w:rsid w:val="002D4123"/>
    <w:rsid w:val="002D4428"/>
    <w:rsid w:val="002D47FD"/>
    <w:rsid w:val="002D5594"/>
    <w:rsid w:val="002E0521"/>
    <w:rsid w:val="002E31D1"/>
    <w:rsid w:val="002F0FA5"/>
    <w:rsid w:val="002F17AD"/>
    <w:rsid w:val="00301666"/>
    <w:rsid w:val="00301DE0"/>
    <w:rsid w:val="00312F22"/>
    <w:rsid w:val="0031611F"/>
    <w:rsid w:val="00324622"/>
    <w:rsid w:val="00325E94"/>
    <w:rsid w:val="0033154C"/>
    <w:rsid w:val="003407C9"/>
    <w:rsid w:val="00340FEC"/>
    <w:rsid w:val="00341E0E"/>
    <w:rsid w:val="00350BD1"/>
    <w:rsid w:val="00350BEE"/>
    <w:rsid w:val="00350DD6"/>
    <w:rsid w:val="0035222A"/>
    <w:rsid w:val="00355CF7"/>
    <w:rsid w:val="003611DB"/>
    <w:rsid w:val="0036150B"/>
    <w:rsid w:val="00366A0A"/>
    <w:rsid w:val="00370D50"/>
    <w:rsid w:val="00371E63"/>
    <w:rsid w:val="0037326F"/>
    <w:rsid w:val="003739A5"/>
    <w:rsid w:val="0038116B"/>
    <w:rsid w:val="0039597B"/>
    <w:rsid w:val="003A24DD"/>
    <w:rsid w:val="003A2E41"/>
    <w:rsid w:val="003A2F70"/>
    <w:rsid w:val="003B068A"/>
    <w:rsid w:val="003C2376"/>
    <w:rsid w:val="003C3687"/>
    <w:rsid w:val="003C3FD9"/>
    <w:rsid w:val="003D5A9D"/>
    <w:rsid w:val="003E0DE4"/>
    <w:rsid w:val="003F1091"/>
    <w:rsid w:val="004036ED"/>
    <w:rsid w:val="004149F3"/>
    <w:rsid w:val="00416C16"/>
    <w:rsid w:val="00417472"/>
    <w:rsid w:val="0042176E"/>
    <w:rsid w:val="004258A9"/>
    <w:rsid w:val="00432A63"/>
    <w:rsid w:val="00435DC0"/>
    <w:rsid w:val="00437F5D"/>
    <w:rsid w:val="00440C46"/>
    <w:rsid w:val="004417C3"/>
    <w:rsid w:val="0044688E"/>
    <w:rsid w:val="00452264"/>
    <w:rsid w:val="0045402D"/>
    <w:rsid w:val="00454307"/>
    <w:rsid w:val="004654D3"/>
    <w:rsid w:val="0046578F"/>
    <w:rsid w:val="004732D0"/>
    <w:rsid w:val="00473B3C"/>
    <w:rsid w:val="00481250"/>
    <w:rsid w:val="00496F42"/>
    <w:rsid w:val="00497980"/>
    <w:rsid w:val="004A2278"/>
    <w:rsid w:val="004A3180"/>
    <w:rsid w:val="004A77A0"/>
    <w:rsid w:val="004A791F"/>
    <w:rsid w:val="004B0C29"/>
    <w:rsid w:val="004B1C33"/>
    <w:rsid w:val="004B1F21"/>
    <w:rsid w:val="004B5527"/>
    <w:rsid w:val="004C54BD"/>
    <w:rsid w:val="004D03E1"/>
    <w:rsid w:val="004D1D15"/>
    <w:rsid w:val="004D3543"/>
    <w:rsid w:val="004E2FE4"/>
    <w:rsid w:val="004E3515"/>
    <w:rsid w:val="004E6C9D"/>
    <w:rsid w:val="004F0EE7"/>
    <w:rsid w:val="004F24BB"/>
    <w:rsid w:val="004F5571"/>
    <w:rsid w:val="005030C8"/>
    <w:rsid w:val="005100E1"/>
    <w:rsid w:val="005104DB"/>
    <w:rsid w:val="00510C3E"/>
    <w:rsid w:val="00514590"/>
    <w:rsid w:val="00515902"/>
    <w:rsid w:val="00532F63"/>
    <w:rsid w:val="005333B3"/>
    <w:rsid w:val="005365FA"/>
    <w:rsid w:val="00540DA7"/>
    <w:rsid w:val="005427FC"/>
    <w:rsid w:val="00544CF7"/>
    <w:rsid w:val="005476CE"/>
    <w:rsid w:val="00556196"/>
    <w:rsid w:val="0055727B"/>
    <w:rsid w:val="005577DE"/>
    <w:rsid w:val="0056153B"/>
    <w:rsid w:val="0056216F"/>
    <w:rsid w:val="0056525E"/>
    <w:rsid w:val="00581A09"/>
    <w:rsid w:val="005828E8"/>
    <w:rsid w:val="005927BD"/>
    <w:rsid w:val="005930EA"/>
    <w:rsid w:val="005A02B7"/>
    <w:rsid w:val="005A311D"/>
    <w:rsid w:val="005A77AE"/>
    <w:rsid w:val="005A77CA"/>
    <w:rsid w:val="005B6A98"/>
    <w:rsid w:val="005B7164"/>
    <w:rsid w:val="005C142E"/>
    <w:rsid w:val="005C55F5"/>
    <w:rsid w:val="005C6949"/>
    <w:rsid w:val="005C75EA"/>
    <w:rsid w:val="005D1BE5"/>
    <w:rsid w:val="005E0CC5"/>
    <w:rsid w:val="005E2670"/>
    <w:rsid w:val="005E2C8F"/>
    <w:rsid w:val="005E4123"/>
    <w:rsid w:val="005E4299"/>
    <w:rsid w:val="005E4FD2"/>
    <w:rsid w:val="005E59D0"/>
    <w:rsid w:val="005F2D32"/>
    <w:rsid w:val="005F5750"/>
    <w:rsid w:val="006001BA"/>
    <w:rsid w:val="006018D1"/>
    <w:rsid w:val="00602420"/>
    <w:rsid w:val="006053DF"/>
    <w:rsid w:val="006104D8"/>
    <w:rsid w:val="00611A24"/>
    <w:rsid w:val="00612CBA"/>
    <w:rsid w:val="00612ED4"/>
    <w:rsid w:val="00614671"/>
    <w:rsid w:val="00621235"/>
    <w:rsid w:val="00624014"/>
    <w:rsid w:val="0062552F"/>
    <w:rsid w:val="0062715B"/>
    <w:rsid w:val="00634835"/>
    <w:rsid w:val="00642BEA"/>
    <w:rsid w:val="0064486B"/>
    <w:rsid w:val="006602C0"/>
    <w:rsid w:val="00660628"/>
    <w:rsid w:val="006609BE"/>
    <w:rsid w:val="006618C9"/>
    <w:rsid w:val="0066284C"/>
    <w:rsid w:val="006776C4"/>
    <w:rsid w:val="006A367B"/>
    <w:rsid w:val="006A54A4"/>
    <w:rsid w:val="006A5FE3"/>
    <w:rsid w:val="006A61E9"/>
    <w:rsid w:val="006A630C"/>
    <w:rsid w:val="006B0B93"/>
    <w:rsid w:val="006B0BC9"/>
    <w:rsid w:val="006B7EB6"/>
    <w:rsid w:val="006C2025"/>
    <w:rsid w:val="006C538B"/>
    <w:rsid w:val="006D0E33"/>
    <w:rsid w:val="006D2246"/>
    <w:rsid w:val="006D3122"/>
    <w:rsid w:val="006D394B"/>
    <w:rsid w:val="006D4606"/>
    <w:rsid w:val="006E31FF"/>
    <w:rsid w:val="006E335E"/>
    <w:rsid w:val="006E52C1"/>
    <w:rsid w:val="006E7106"/>
    <w:rsid w:val="006F003E"/>
    <w:rsid w:val="006F5A60"/>
    <w:rsid w:val="006F607F"/>
    <w:rsid w:val="007020AF"/>
    <w:rsid w:val="007032D7"/>
    <w:rsid w:val="00707D74"/>
    <w:rsid w:val="00711DC9"/>
    <w:rsid w:val="007122AB"/>
    <w:rsid w:val="00712DFC"/>
    <w:rsid w:val="00717230"/>
    <w:rsid w:val="007174E7"/>
    <w:rsid w:val="007274B5"/>
    <w:rsid w:val="007302D8"/>
    <w:rsid w:val="00730327"/>
    <w:rsid w:val="00731BFC"/>
    <w:rsid w:val="00732ED3"/>
    <w:rsid w:val="0073485C"/>
    <w:rsid w:val="0074022D"/>
    <w:rsid w:val="00740E72"/>
    <w:rsid w:val="007415AB"/>
    <w:rsid w:val="00745CA0"/>
    <w:rsid w:val="00747FA9"/>
    <w:rsid w:val="00750FDF"/>
    <w:rsid w:val="0075678F"/>
    <w:rsid w:val="00761F1B"/>
    <w:rsid w:val="0076749E"/>
    <w:rsid w:val="0077404B"/>
    <w:rsid w:val="0077469E"/>
    <w:rsid w:val="00774C1B"/>
    <w:rsid w:val="007760B2"/>
    <w:rsid w:val="00782374"/>
    <w:rsid w:val="00783496"/>
    <w:rsid w:val="00793FE3"/>
    <w:rsid w:val="007A0B09"/>
    <w:rsid w:val="007A1D5E"/>
    <w:rsid w:val="007A410E"/>
    <w:rsid w:val="007C7519"/>
    <w:rsid w:val="007D08A8"/>
    <w:rsid w:val="007D2701"/>
    <w:rsid w:val="007D6D4C"/>
    <w:rsid w:val="007D7297"/>
    <w:rsid w:val="007E0A22"/>
    <w:rsid w:val="007E4905"/>
    <w:rsid w:val="007E5CAA"/>
    <w:rsid w:val="007E63B6"/>
    <w:rsid w:val="007E70B4"/>
    <w:rsid w:val="007F0A17"/>
    <w:rsid w:val="00803765"/>
    <w:rsid w:val="0080624F"/>
    <w:rsid w:val="00806B7F"/>
    <w:rsid w:val="00807054"/>
    <w:rsid w:val="00811FD5"/>
    <w:rsid w:val="00812C3D"/>
    <w:rsid w:val="00813BEF"/>
    <w:rsid w:val="00816558"/>
    <w:rsid w:val="008173F0"/>
    <w:rsid w:val="00817F9E"/>
    <w:rsid w:val="008230FA"/>
    <w:rsid w:val="00826125"/>
    <w:rsid w:val="00830E8D"/>
    <w:rsid w:val="00832DFB"/>
    <w:rsid w:val="00835C00"/>
    <w:rsid w:val="00836FC5"/>
    <w:rsid w:val="00840520"/>
    <w:rsid w:val="00843302"/>
    <w:rsid w:val="008440CA"/>
    <w:rsid w:val="0084420A"/>
    <w:rsid w:val="008442FB"/>
    <w:rsid w:val="008477AD"/>
    <w:rsid w:val="00847CF2"/>
    <w:rsid w:val="008507B1"/>
    <w:rsid w:val="008517D8"/>
    <w:rsid w:val="00851B1F"/>
    <w:rsid w:val="00856C24"/>
    <w:rsid w:val="008609EB"/>
    <w:rsid w:val="00862D68"/>
    <w:rsid w:val="0086406B"/>
    <w:rsid w:val="00872C39"/>
    <w:rsid w:val="00877A1F"/>
    <w:rsid w:val="00884660"/>
    <w:rsid w:val="00886DBB"/>
    <w:rsid w:val="00892E97"/>
    <w:rsid w:val="008936BF"/>
    <w:rsid w:val="00893F38"/>
    <w:rsid w:val="0089571A"/>
    <w:rsid w:val="00896286"/>
    <w:rsid w:val="008A2DEA"/>
    <w:rsid w:val="008B149C"/>
    <w:rsid w:val="008B2FF9"/>
    <w:rsid w:val="008C48A3"/>
    <w:rsid w:val="008C6417"/>
    <w:rsid w:val="008C6EB5"/>
    <w:rsid w:val="008D171A"/>
    <w:rsid w:val="008D1BA7"/>
    <w:rsid w:val="008D5142"/>
    <w:rsid w:val="008D570D"/>
    <w:rsid w:val="008D6E60"/>
    <w:rsid w:val="008E202B"/>
    <w:rsid w:val="008E2680"/>
    <w:rsid w:val="008F28D2"/>
    <w:rsid w:val="008F5DB0"/>
    <w:rsid w:val="008F75B3"/>
    <w:rsid w:val="008F78F1"/>
    <w:rsid w:val="0090591B"/>
    <w:rsid w:val="00907B51"/>
    <w:rsid w:val="00914DCB"/>
    <w:rsid w:val="0092767A"/>
    <w:rsid w:val="00930E68"/>
    <w:rsid w:val="009313BE"/>
    <w:rsid w:val="00933D03"/>
    <w:rsid w:val="0094286F"/>
    <w:rsid w:val="0094377D"/>
    <w:rsid w:val="00945039"/>
    <w:rsid w:val="0094541B"/>
    <w:rsid w:val="0094635E"/>
    <w:rsid w:val="009466CB"/>
    <w:rsid w:val="00946ED5"/>
    <w:rsid w:val="00960595"/>
    <w:rsid w:val="00966183"/>
    <w:rsid w:val="00972777"/>
    <w:rsid w:val="009756EE"/>
    <w:rsid w:val="00976FDE"/>
    <w:rsid w:val="009773B4"/>
    <w:rsid w:val="00980186"/>
    <w:rsid w:val="00980BA1"/>
    <w:rsid w:val="00982CA3"/>
    <w:rsid w:val="00986991"/>
    <w:rsid w:val="0099534B"/>
    <w:rsid w:val="009A0B6F"/>
    <w:rsid w:val="009A1DC7"/>
    <w:rsid w:val="009A1FA6"/>
    <w:rsid w:val="009A2945"/>
    <w:rsid w:val="009A2B5A"/>
    <w:rsid w:val="009A2D55"/>
    <w:rsid w:val="009A343A"/>
    <w:rsid w:val="009A7925"/>
    <w:rsid w:val="009A7C7E"/>
    <w:rsid w:val="009B4E6C"/>
    <w:rsid w:val="009B4F0D"/>
    <w:rsid w:val="009C6F43"/>
    <w:rsid w:val="009C7126"/>
    <w:rsid w:val="009D333F"/>
    <w:rsid w:val="009E6F01"/>
    <w:rsid w:val="009F145C"/>
    <w:rsid w:val="009F1847"/>
    <w:rsid w:val="009F34F3"/>
    <w:rsid w:val="009F4E10"/>
    <w:rsid w:val="009F65DD"/>
    <w:rsid w:val="00A0149D"/>
    <w:rsid w:val="00A01F6A"/>
    <w:rsid w:val="00A0594D"/>
    <w:rsid w:val="00A07257"/>
    <w:rsid w:val="00A07E34"/>
    <w:rsid w:val="00A1118A"/>
    <w:rsid w:val="00A12EB6"/>
    <w:rsid w:val="00A1797E"/>
    <w:rsid w:val="00A17F0B"/>
    <w:rsid w:val="00A231F2"/>
    <w:rsid w:val="00A239BA"/>
    <w:rsid w:val="00A26E6C"/>
    <w:rsid w:val="00A312A1"/>
    <w:rsid w:val="00A33CC7"/>
    <w:rsid w:val="00A34195"/>
    <w:rsid w:val="00A3557E"/>
    <w:rsid w:val="00A36B7A"/>
    <w:rsid w:val="00A3741D"/>
    <w:rsid w:val="00A403F6"/>
    <w:rsid w:val="00A414E1"/>
    <w:rsid w:val="00A41D25"/>
    <w:rsid w:val="00A43E3C"/>
    <w:rsid w:val="00A57798"/>
    <w:rsid w:val="00A62992"/>
    <w:rsid w:val="00A62B0C"/>
    <w:rsid w:val="00A662F8"/>
    <w:rsid w:val="00A66453"/>
    <w:rsid w:val="00A75860"/>
    <w:rsid w:val="00A76B0E"/>
    <w:rsid w:val="00A77199"/>
    <w:rsid w:val="00A80A3E"/>
    <w:rsid w:val="00A814C3"/>
    <w:rsid w:val="00A82F6B"/>
    <w:rsid w:val="00A84472"/>
    <w:rsid w:val="00A85189"/>
    <w:rsid w:val="00A86B09"/>
    <w:rsid w:val="00A91203"/>
    <w:rsid w:val="00A91584"/>
    <w:rsid w:val="00A9297E"/>
    <w:rsid w:val="00A93A91"/>
    <w:rsid w:val="00AA305C"/>
    <w:rsid w:val="00AA4CE7"/>
    <w:rsid w:val="00AA536A"/>
    <w:rsid w:val="00AA675F"/>
    <w:rsid w:val="00AA780B"/>
    <w:rsid w:val="00AB1DD3"/>
    <w:rsid w:val="00AB3250"/>
    <w:rsid w:val="00AC00C7"/>
    <w:rsid w:val="00AC022D"/>
    <w:rsid w:val="00AC2B4A"/>
    <w:rsid w:val="00AC339F"/>
    <w:rsid w:val="00AC780D"/>
    <w:rsid w:val="00AD4C25"/>
    <w:rsid w:val="00AF18EE"/>
    <w:rsid w:val="00AF4395"/>
    <w:rsid w:val="00B20BEC"/>
    <w:rsid w:val="00B230D2"/>
    <w:rsid w:val="00B26AD0"/>
    <w:rsid w:val="00B36D80"/>
    <w:rsid w:val="00B417C0"/>
    <w:rsid w:val="00B44E33"/>
    <w:rsid w:val="00B452B7"/>
    <w:rsid w:val="00B45854"/>
    <w:rsid w:val="00B46003"/>
    <w:rsid w:val="00B4633F"/>
    <w:rsid w:val="00B46BBA"/>
    <w:rsid w:val="00B47682"/>
    <w:rsid w:val="00B508BE"/>
    <w:rsid w:val="00B50ABC"/>
    <w:rsid w:val="00B50D20"/>
    <w:rsid w:val="00B55D2C"/>
    <w:rsid w:val="00B602B5"/>
    <w:rsid w:val="00B626C9"/>
    <w:rsid w:val="00B64227"/>
    <w:rsid w:val="00B64C3B"/>
    <w:rsid w:val="00B65F8E"/>
    <w:rsid w:val="00B675D7"/>
    <w:rsid w:val="00B71DDE"/>
    <w:rsid w:val="00B74295"/>
    <w:rsid w:val="00B7690E"/>
    <w:rsid w:val="00B81CCF"/>
    <w:rsid w:val="00B84C72"/>
    <w:rsid w:val="00B85729"/>
    <w:rsid w:val="00B934C1"/>
    <w:rsid w:val="00B943DD"/>
    <w:rsid w:val="00B947B1"/>
    <w:rsid w:val="00B961C1"/>
    <w:rsid w:val="00BA44F8"/>
    <w:rsid w:val="00BB0B20"/>
    <w:rsid w:val="00BB2E2A"/>
    <w:rsid w:val="00BB4419"/>
    <w:rsid w:val="00BB589B"/>
    <w:rsid w:val="00BB5E69"/>
    <w:rsid w:val="00BC5CFD"/>
    <w:rsid w:val="00BC7150"/>
    <w:rsid w:val="00BC74C4"/>
    <w:rsid w:val="00BE0FCC"/>
    <w:rsid w:val="00BE4D8D"/>
    <w:rsid w:val="00BE52A9"/>
    <w:rsid w:val="00BF28EF"/>
    <w:rsid w:val="00BF4069"/>
    <w:rsid w:val="00BF5F10"/>
    <w:rsid w:val="00BF6DB9"/>
    <w:rsid w:val="00C02266"/>
    <w:rsid w:val="00C03B70"/>
    <w:rsid w:val="00C101AE"/>
    <w:rsid w:val="00C1242A"/>
    <w:rsid w:val="00C13E13"/>
    <w:rsid w:val="00C14B05"/>
    <w:rsid w:val="00C14BB9"/>
    <w:rsid w:val="00C20712"/>
    <w:rsid w:val="00C220D8"/>
    <w:rsid w:val="00C264DF"/>
    <w:rsid w:val="00C374A3"/>
    <w:rsid w:val="00C403F0"/>
    <w:rsid w:val="00C429C8"/>
    <w:rsid w:val="00C45324"/>
    <w:rsid w:val="00C47C1C"/>
    <w:rsid w:val="00C53EA3"/>
    <w:rsid w:val="00C5737C"/>
    <w:rsid w:val="00C57463"/>
    <w:rsid w:val="00C63E1B"/>
    <w:rsid w:val="00C647F0"/>
    <w:rsid w:val="00C65733"/>
    <w:rsid w:val="00C72C66"/>
    <w:rsid w:val="00C72DE9"/>
    <w:rsid w:val="00C735F3"/>
    <w:rsid w:val="00C74643"/>
    <w:rsid w:val="00C74E40"/>
    <w:rsid w:val="00C85254"/>
    <w:rsid w:val="00C91C8A"/>
    <w:rsid w:val="00C9218B"/>
    <w:rsid w:val="00C95D11"/>
    <w:rsid w:val="00C96720"/>
    <w:rsid w:val="00CA1927"/>
    <w:rsid w:val="00CA2B18"/>
    <w:rsid w:val="00CA4569"/>
    <w:rsid w:val="00CA4D5A"/>
    <w:rsid w:val="00CA55EB"/>
    <w:rsid w:val="00CB1889"/>
    <w:rsid w:val="00CB723B"/>
    <w:rsid w:val="00CC1DFA"/>
    <w:rsid w:val="00CC4996"/>
    <w:rsid w:val="00CC4A7D"/>
    <w:rsid w:val="00CC5224"/>
    <w:rsid w:val="00CC60C5"/>
    <w:rsid w:val="00CD2604"/>
    <w:rsid w:val="00CD2FB6"/>
    <w:rsid w:val="00CD3EFB"/>
    <w:rsid w:val="00CD4B4F"/>
    <w:rsid w:val="00CE0E08"/>
    <w:rsid w:val="00CF18FF"/>
    <w:rsid w:val="00CF47B0"/>
    <w:rsid w:val="00D02069"/>
    <w:rsid w:val="00D04CB7"/>
    <w:rsid w:val="00D06678"/>
    <w:rsid w:val="00D101BD"/>
    <w:rsid w:val="00D12CDC"/>
    <w:rsid w:val="00D15141"/>
    <w:rsid w:val="00D16165"/>
    <w:rsid w:val="00D164DA"/>
    <w:rsid w:val="00D252C8"/>
    <w:rsid w:val="00D3507C"/>
    <w:rsid w:val="00D51244"/>
    <w:rsid w:val="00D52662"/>
    <w:rsid w:val="00D5521F"/>
    <w:rsid w:val="00D60735"/>
    <w:rsid w:val="00D65BC8"/>
    <w:rsid w:val="00D65DC1"/>
    <w:rsid w:val="00D70196"/>
    <w:rsid w:val="00D71BD4"/>
    <w:rsid w:val="00D71C9A"/>
    <w:rsid w:val="00D74AB9"/>
    <w:rsid w:val="00D868E4"/>
    <w:rsid w:val="00D86E63"/>
    <w:rsid w:val="00D91C39"/>
    <w:rsid w:val="00D92F84"/>
    <w:rsid w:val="00DA1E93"/>
    <w:rsid w:val="00DA4127"/>
    <w:rsid w:val="00DB1682"/>
    <w:rsid w:val="00DB3339"/>
    <w:rsid w:val="00DB5DF7"/>
    <w:rsid w:val="00DB7027"/>
    <w:rsid w:val="00DC17B6"/>
    <w:rsid w:val="00DC4BD6"/>
    <w:rsid w:val="00DC7362"/>
    <w:rsid w:val="00DD6E5F"/>
    <w:rsid w:val="00DE0A33"/>
    <w:rsid w:val="00DE31A2"/>
    <w:rsid w:val="00DE6011"/>
    <w:rsid w:val="00DF240D"/>
    <w:rsid w:val="00DF4C7B"/>
    <w:rsid w:val="00DF5CDB"/>
    <w:rsid w:val="00E063A9"/>
    <w:rsid w:val="00E06787"/>
    <w:rsid w:val="00E1051C"/>
    <w:rsid w:val="00E179CC"/>
    <w:rsid w:val="00E20D63"/>
    <w:rsid w:val="00E21576"/>
    <w:rsid w:val="00E2282D"/>
    <w:rsid w:val="00E24DA1"/>
    <w:rsid w:val="00E41DAB"/>
    <w:rsid w:val="00E4329D"/>
    <w:rsid w:val="00E43B7C"/>
    <w:rsid w:val="00E45DC9"/>
    <w:rsid w:val="00E55BD6"/>
    <w:rsid w:val="00E6622E"/>
    <w:rsid w:val="00E703F2"/>
    <w:rsid w:val="00E77E9F"/>
    <w:rsid w:val="00E841EB"/>
    <w:rsid w:val="00E96DEA"/>
    <w:rsid w:val="00EA5350"/>
    <w:rsid w:val="00EA685B"/>
    <w:rsid w:val="00EB251B"/>
    <w:rsid w:val="00EC04A6"/>
    <w:rsid w:val="00EC1340"/>
    <w:rsid w:val="00EC4093"/>
    <w:rsid w:val="00EC60A8"/>
    <w:rsid w:val="00ED2054"/>
    <w:rsid w:val="00ED25A5"/>
    <w:rsid w:val="00ED7F1F"/>
    <w:rsid w:val="00EE0E58"/>
    <w:rsid w:val="00EE2B96"/>
    <w:rsid w:val="00EF11E2"/>
    <w:rsid w:val="00EF1A7D"/>
    <w:rsid w:val="00F022DE"/>
    <w:rsid w:val="00F050C4"/>
    <w:rsid w:val="00F113F0"/>
    <w:rsid w:val="00F13E81"/>
    <w:rsid w:val="00F14871"/>
    <w:rsid w:val="00F148B2"/>
    <w:rsid w:val="00F176CF"/>
    <w:rsid w:val="00F20093"/>
    <w:rsid w:val="00F21585"/>
    <w:rsid w:val="00F22E3B"/>
    <w:rsid w:val="00F251F7"/>
    <w:rsid w:val="00F27212"/>
    <w:rsid w:val="00F352A7"/>
    <w:rsid w:val="00F41B94"/>
    <w:rsid w:val="00F422C3"/>
    <w:rsid w:val="00F4285F"/>
    <w:rsid w:val="00F44147"/>
    <w:rsid w:val="00F458DF"/>
    <w:rsid w:val="00F46F2A"/>
    <w:rsid w:val="00F46F59"/>
    <w:rsid w:val="00F474D6"/>
    <w:rsid w:val="00F47C0E"/>
    <w:rsid w:val="00F551D4"/>
    <w:rsid w:val="00F60A34"/>
    <w:rsid w:val="00F62A62"/>
    <w:rsid w:val="00F62FDD"/>
    <w:rsid w:val="00F64C22"/>
    <w:rsid w:val="00F67692"/>
    <w:rsid w:val="00F67BDB"/>
    <w:rsid w:val="00F73ECD"/>
    <w:rsid w:val="00F74612"/>
    <w:rsid w:val="00F93F20"/>
    <w:rsid w:val="00F94F61"/>
    <w:rsid w:val="00F9542F"/>
    <w:rsid w:val="00F95448"/>
    <w:rsid w:val="00F97DC4"/>
    <w:rsid w:val="00FA122B"/>
    <w:rsid w:val="00FA63B2"/>
    <w:rsid w:val="00FB0D27"/>
    <w:rsid w:val="00FB1A65"/>
    <w:rsid w:val="00FB2A22"/>
    <w:rsid w:val="00FB42B5"/>
    <w:rsid w:val="00FC049B"/>
    <w:rsid w:val="00FC0C11"/>
    <w:rsid w:val="00FC44C7"/>
    <w:rsid w:val="00FC5BA4"/>
    <w:rsid w:val="00FC7265"/>
    <w:rsid w:val="00FC7EDB"/>
    <w:rsid w:val="00FD3B1A"/>
    <w:rsid w:val="00FE1BDD"/>
    <w:rsid w:val="00FE5F88"/>
    <w:rsid w:val="00FF0268"/>
    <w:rsid w:val="00FF66A1"/>
    <w:rsid w:val="34B46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50022"/>
  <w15:docId w15:val="{A42A5395-F230-4FFF-980C-2E2F331D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B230D2"/>
    <w:pPr>
      <w:autoSpaceDN/>
      <w:textAlignment w:val="auto"/>
    </w:pPr>
    <w:rPr>
      <w:rFonts w:ascii="Verdana" w:hAnsi="Verdana"/>
      <w:color w:val="000000"/>
      <w:sz w:val="18"/>
      <w:szCs w:val="18"/>
    </w:rPr>
  </w:style>
  <w:style w:type="paragraph" w:styleId="ListParagraph">
    <w:name w:val="List Paragraph"/>
    <w:basedOn w:val="Normal"/>
    <w:uiPriority w:val="34"/>
    <w:qFormat/>
    <w:rsid w:val="00892E97"/>
    <w:pPr>
      <w:ind w:left="720"/>
      <w:contextualSpacing/>
    </w:pPr>
  </w:style>
  <w:style w:type="paragraph" w:styleId="NormalWeb">
    <w:name w:val="Normal (Web)"/>
    <w:basedOn w:val="Normal"/>
    <w:uiPriority w:val="99"/>
    <w:unhideWhenUsed/>
    <w:rsid w:val="00892E9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unhideWhenUsed/>
    <w:rsid w:val="00826125"/>
    <w:pPr>
      <w:spacing w:line="240" w:lineRule="auto"/>
    </w:pPr>
    <w:rPr>
      <w:sz w:val="20"/>
      <w:szCs w:val="20"/>
    </w:rPr>
  </w:style>
  <w:style w:type="character" w:customStyle="1" w:styleId="FootnoteTextChar">
    <w:name w:val="Footnote Text Char"/>
    <w:basedOn w:val="DefaultParagraphFont"/>
    <w:link w:val="FootnoteText"/>
    <w:uiPriority w:val="99"/>
    <w:rsid w:val="00826125"/>
    <w:rPr>
      <w:rFonts w:ascii="Verdana" w:hAnsi="Verdana"/>
      <w:color w:val="000000"/>
    </w:rPr>
  </w:style>
  <w:style w:type="character" w:styleId="FootnoteReference">
    <w:name w:val="footnote reference"/>
    <w:basedOn w:val="DefaultParagraphFont"/>
    <w:uiPriority w:val="99"/>
    <w:semiHidden/>
    <w:unhideWhenUsed/>
    <w:rsid w:val="00826125"/>
    <w:rPr>
      <w:vertAlign w:val="superscript"/>
    </w:rPr>
  </w:style>
  <w:style w:type="character" w:styleId="CommentReference">
    <w:name w:val="annotation reference"/>
    <w:basedOn w:val="DefaultParagraphFont"/>
    <w:uiPriority w:val="99"/>
    <w:semiHidden/>
    <w:unhideWhenUsed/>
    <w:rsid w:val="00B46BBA"/>
    <w:rPr>
      <w:sz w:val="16"/>
      <w:szCs w:val="16"/>
    </w:rPr>
  </w:style>
  <w:style w:type="paragraph" w:styleId="CommentText">
    <w:name w:val="annotation text"/>
    <w:basedOn w:val="Normal"/>
    <w:link w:val="CommentTextChar"/>
    <w:uiPriority w:val="99"/>
    <w:unhideWhenUsed/>
    <w:rsid w:val="00B46BBA"/>
    <w:pPr>
      <w:spacing w:line="240" w:lineRule="auto"/>
    </w:pPr>
    <w:rPr>
      <w:sz w:val="20"/>
      <w:szCs w:val="20"/>
    </w:rPr>
  </w:style>
  <w:style w:type="character" w:customStyle="1" w:styleId="CommentTextChar">
    <w:name w:val="Comment Text Char"/>
    <w:basedOn w:val="DefaultParagraphFont"/>
    <w:link w:val="CommentText"/>
    <w:uiPriority w:val="99"/>
    <w:rsid w:val="00B46BB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46BBA"/>
    <w:rPr>
      <w:b/>
      <w:bCs/>
    </w:rPr>
  </w:style>
  <w:style w:type="character" w:customStyle="1" w:styleId="CommentSubjectChar">
    <w:name w:val="Comment Subject Char"/>
    <w:basedOn w:val="CommentTextChar"/>
    <w:link w:val="CommentSubject"/>
    <w:uiPriority w:val="99"/>
    <w:semiHidden/>
    <w:rsid w:val="00B46BBA"/>
    <w:rPr>
      <w:rFonts w:ascii="Verdana" w:hAnsi="Verdana"/>
      <w:b/>
      <w:bCs/>
      <w:color w:val="000000"/>
    </w:rPr>
  </w:style>
  <w:style w:type="paragraph" w:styleId="Header">
    <w:name w:val="header"/>
    <w:basedOn w:val="Normal"/>
    <w:link w:val="HeaderChar"/>
    <w:uiPriority w:val="99"/>
    <w:unhideWhenUsed/>
    <w:rsid w:val="00AA675F"/>
    <w:pPr>
      <w:tabs>
        <w:tab w:val="center" w:pos="4513"/>
        <w:tab w:val="right" w:pos="9026"/>
      </w:tabs>
      <w:spacing w:line="240" w:lineRule="auto"/>
    </w:pPr>
  </w:style>
  <w:style w:type="character" w:customStyle="1" w:styleId="HeaderChar">
    <w:name w:val="Header Char"/>
    <w:basedOn w:val="DefaultParagraphFont"/>
    <w:link w:val="Header"/>
    <w:uiPriority w:val="99"/>
    <w:rsid w:val="00AA675F"/>
    <w:rPr>
      <w:rFonts w:ascii="Verdana" w:hAnsi="Verdana"/>
      <w:color w:val="000000"/>
      <w:sz w:val="18"/>
      <w:szCs w:val="18"/>
    </w:rPr>
  </w:style>
  <w:style w:type="paragraph" w:styleId="Footer">
    <w:name w:val="footer"/>
    <w:basedOn w:val="Normal"/>
    <w:link w:val="FooterChar"/>
    <w:uiPriority w:val="99"/>
    <w:unhideWhenUsed/>
    <w:rsid w:val="00AA675F"/>
    <w:pPr>
      <w:tabs>
        <w:tab w:val="center" w:pos="4513"/>
        <w:tab w:val="right" w:pos="9026"/>
      </w:tabs>
      <w:spacing w:line="240" w:lineRule="auto"/>
    </w:pPr>
  </w:style>
  <w:style w:type="character" w:customStyle="1" w:styleId="FooterChar">
    <w:name w:val="Footer Char"/>
    <w:basedOn w:val="DefaultParagraphFont"/>
    <w:link w:val="Footer"/>
    <w:uiPriority w:val="99"/>
    <w:rsid w:val="00AA675F"/>
    <w:rPr>
      <w:rFonts w:ascii="Verdana" w:hAnsi="Verdana"/>
      <w:color w:val="000000"/>
      <w:sz w:val="18"/>
      <w:szCs w:val="18"/>
    </w:rPr>
  </w:style>
  <w:style w:type="character" w:styleId="UnresolvedMention">
    <w:name w:val="Unresolved Mention"/>
    <w:basedOn w:val="DefaultParagraphFont"/>
    <w:uiPriority w:val="99"/>
    <w:semiHidden/>
    <w:unhideWhenUsed/>
    <w:rsid w:val="00EE0E58"/>
    <w:rPr>
      <w:color w:val="605E5C"/>
      <w:shd w:val="clear" w:color="auto" w:fill="E1DFDD"/>
    </w:rPr>
  </w:style>
  <w:style w:type="paragraph" w:customStyle="1" w:styleId="Citaat1">
    <w:name w:val="Citaat1"/>
    <w:basedOn w:val="Normal"/>
    <w:next w:val="Normal"/>
    <w:uiPriority w:val="98"/>
    <w:qFormat/>
    <w:rsid w:val="00AA536A"/>
    <w:pPr>
      <w:spacing w:before="200" w:after="160"/>
      <w:ind w:left="861"/>
      <w:jc w:val="center"/>
    </w:pPr>
    <w:rPr>
      <w:i/>
      <w:color w:val="404040"/>
    </w:rPr>
  </w:style>
  <w:style w:type="paragraph" w:customStyle="1" w:styleId="Geenafstand1">
    <w:name w:val="Geen afstand1"/>
    <w:basedOn w:val="Normal"/>
    <w:next w:val="Normal"/>
    <w:uiPriority w:val="98"/>
    <w:qFormat/>
    <w:rsid w:val="00AA536A"/>
    <w:pPr>
      <w:spacing w:line="180" w:lineRule="exact"/>
    </w:pPr>
  </w:style>
  <w:style w:type="paragraph" w:customStyle="1" w:styleId="Intensievebenadrukking1">
    <w:name w:val="Intensieve benadrukking1"/>
    <w:basedOn w:val="Normal"/>
    <w:next w:val="Normal"/>
    <w:uiPriority w:val="98"/>
    <w:qFormat/>
    <w:rsid w:val="00AA536A"/>
    <w:rPr>
      <w:i/>
      <w:color w:val="4F81BD"/>
    </w:rPr>
  </w:style>
  <w:style w:type="paragraph" w:customStyle="1" w:styleId="Intensieveverwijzing1">
    <w:name w:val="Intensieve verwijzing1"/>
    <w:basedOn w:val="Normal"/>
    <w:next w:val="Normal"/>
    <w:uiPriority w:val="98"/>
    <w:qFormat/>
    <w:rsid w:val="00AA536A"/>
    <w:rPr>
      <w:b/>
      <w:smallCaps/>
      <w:color w:val="4F81BD"/>
      <w:spacing w:val="5"/>
    </w:rPr>
  </w:style>
  <w:style w:type="paragraph" w:customStyle="1" w:styleId="Kop11">
    <w:name w:val="Kop 11"/>
    <w:basedOn w:val="Normal"/>
    <w:next w:val="Normal"/>
    <w:qFormat/>
    <w:rsid w:val="00AA536A"/>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AA536A"/>
    <w:pPr>
      <w:tabs>
        <w:tab w:val="left" w:pos="0"/>
      </w:tabs>
      <w:spacing w:before="240"/>
    </w:pPr>
    <w:rPr>
      <w:i/>
    </w:rPr>
  </w:style>
  <w:style w:type="paragraph" w:customStyle="1" w:styleId="Kop31">
    <w:name w:val="Kop 31"/>
    <w:basedOn w:val="Normal"/>
    <w:next w:val="Normal"/>
    <w:uiPriority w:val="2"/>
    <w:qFormat/>
    <w:rsid w:val="00AA536A"/>
    <w:pPr>
      <w:tabs>
        <w:tab w:val="left" w:pos="0"/>
      </w:tabs>
      <w:spacing w:before="240"/>
      <w:ind w:left="-1120"/>
    </w:pPr>
  </w:style>
  <w:style w:type="paragraph" w:customStyle="1" w:styleId="Kop41">
    <w:name w:val="Kop 41"/>
    <w:basedOn w:val="Normal"/>
    <w:next w:val="Normal"/>
    <w:uiPriority w:val="3"/>
    <w:qFormat/>
    <w:rsid w:val="00AA536A"/>
    <w:pPr>
      <w:tabs>
        <w:tab w:val="left" w:pos="0"/>
      </w:tabs>
      <w:spacing w:before="240"/>
      <w:ind w:left="-1120"/>
    </w:pPr>
  </w:style>
  <w:style w:type="paragraph" w:customStyle="1" w:styleId="Kop51">
    <w:name w:val="Kop 51"/>
    <w:basedOn w:val="Normal"/>
    <w:next w:val="Normal"/>
    <w:rsid w:val="00AA536A"/>
    <w:pPr>
      <w:spacing w:line="320" w:lineRule="exact"/>
    </w:pPr>
    <w:rPr>
      <w:sz w:val="24"/>
      <w:szCs w:val="24"/>
    </w:rPr>
  </w:style>
  <w:style w:type="paragraph" w:customStyle="1" w:styleId="Ondertitel1">
    <w:name w:val="Ondertitel1"/>
    <w:basedOn w:val="Normal"/>
    <w:next w:val="Normal"/>
    <w:uiPriority w:val="8"/>
    <w:qFormat/>
    <w:rsid w:val="00AA536A"/>
    <w:pPr>
      <w:spacing w:line="320" w:lineRule="atLeast"/>
    </w:pPr>
    <w:rPr>
      <w:sz w:val="24"/>
      <w:szCs w:val="24"/>
    </w:rPr>
  </w:style>
  <w:style w:type="paragraph" w:customStyle="1" w:styleId="Subtielebenadrukking1">
    <w:name w:val="Subtiele benadrukking1"/>
    <w:basedOn w:val="Normal"/>
    <w:next w:val="Normal"/>
    <w:uiPriority w:val="98"/>
    <w:qFormat/>
    <w:rsid w:val="00AA536A"/>
    <w:rPr>
      <w:i/>
      <w:color w:val="404040"/>
    </w:rPr>
  </w:style>
  <w:style w:type="paragraph" w:customStyle="1" w:styleId="Subtieleverwijzing1">
    <w:name w:val="Subtiele verwijzing1"/>
    <w:basedOn w:val="Normal"/>
    <w:next w:val="Normal"/>
    <w:uiPriority w:val="98"/>
    <w:qFormat/>
    <w:rsid w:val="00AA536A"/>
    <w:rPr>
      <w:smallCaps/>
      <w:color w:val="404040"/>
    </w:rPr>
  </w:style>
  <w:style w:type="table" w:customStyle="1" w:styleId="Tabelraster1">
    <w:name w:val="Tabelraster1"/>
    <w:rsid w:val="00AA536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AA536A"/>
    <w:pPr>
      <w:spacing w:line="320" w:lineRule="atLeast"/>
    </w:pPr>
    <w:rPr>
      <w:b/>
      <w:sz w:val="24"/>
      <w:szCs w:val="24"/>
    </w:rPr>
  </w:style>
  <w:style w:type="paragraph" w:customStyle="1" w:styleId="Titelvanboek1">
    <w:name w:val="Titel van boek1"/>
    <w:basedOn w:val="Normal"/>
    <w:next w:val="Normal"/>
    <w:uiPriority w:val="98"/>
    <w:qFormat/>
    <w:rsid w:val="00AA536A"/>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5414">
      <w:bodyDiv w:val="1"/>
      <w:marLeft w:val="0"/>
      <w:marRight w:val="0"/>
      <w:marTop w:val="0"/>
      <w:marBottom w:val="0"/>
      <w:divBdr>
        <w:top w:val="none" w:sz="0" w:space="0" w:color="auto"/>
        <w:left w:val="none" w:sz="0" w:space="0" w:color="auto"/>
        <w:bottom w:val="none" w:sz="0" w:space="0" w:color="auto"/>
        <w:right w:val="none" w:sz="0" w:space="0" w:color="auto"/>
      </w:divBdr>
    </w:div>
    <w:div w:id="146484339">
      <w:bodyDiv w:val="1"/>
      <w:marLeft w:val="0"/>
      <w:marRight w:val="0"/>
      <w:marTop w:val="0"/>
      <w:marBottom w:val="0"/>
      <w:divBdr>
        <w:top w:val="none" w:sz="0" w:space="0" w:color="auto"/>
        <w:left w:val="none" w:sz="0" w:space="0" w:color="auto"/>
        <w:bottom w:val="none" w:sz="0" w:space="0" w:color="auto"/>
        <w:right w:val="none" w:sz="0" w:space="0" w:color="auto"/>
      </w:divBdr>
    </w:div>
    <w:div w:id="244340117">
      <w:bodyDiv w:val="1"/>
      <w:marLeft w:val="0"/>
      <w:marRight w:val="0"/>
      <w:marTop w:val="0"/>
      <w:marBottom w:val="0"/>
      <w:divBdr>
        <w:top w:val="none" w:sz="0" w:space="0" w:color="auto"/>
        <w:left w:val="none" w:sz="0" w:space="0" w:color="auto"/>
        <w:bottom w:val="none" w:sz="0" w:space="0" w:color="auto"/>
        <w:right w:val="none" w:sz="0" w:space="0" w:color="auto"/>
      </w:divBdr>
    </w:div>
    <w:div w:id="384260956">
      <w:bodyDiv w:val="1"/>
      <w:marLeft w:val="0"/>
      <w:marRight w:val="0"/>
      <w:marTop w:val="0"/>
      <w:marBottom w:val="0"/>
      <w:divBdr>
        <w:top w:val="none" w:sz="0" w:space="0" w:color="auto"/>
        <w:left w:val="none" w:sz="0" w:space="0" w:color="auto"/>
        <w:bottom w:val="none" w:sz="0" w:space="0" w:color="auto"/>
        <w:right w:val="none" w:sz="0" w:space="0" w:color="auto"/>
      </w:divBdr>
    </w:div>
    <w:div w:id="419448664">
      <w:bodyDiv w:val="1"/>
      <w:marLeft w:val="0"/>
      <w:marRight w:val="0"/>
      <w:marTop w:val="0"/>
      <w:marBottom w:val="0"/>
      <w:divBdr>
        <w:top w:val="none" w:sz="0" w:space="0" w:color="auto"/>
        <w:left w:val="none" w:sz="0" w:space="0" w:color="auto"/>
        <w:bottom w:val="none" w:sz="0" w:space="0" w:color="auto"/>
        <w:right w:val="none" w:sz="0" w:space="0" w:color="auto"/>
      </w:divBdr>
    </w:div>
    <w:div w:id="457990592">
      <w:bodyDiv w:val="1"/>
      <w:marLeft w:val="0"/>
      <w:marRight w:val="0"/>
      <w:marTop w:val="0"/>
      <w:marBottom w:val="0"/>
      <w:divBdr>
        <w:top w:val="none" w:sz="0" w:space="0" w:color="auto"/>
        <w:left w:val="none" w:sz="0" w:space="0" w:color="auto"/>
        <w:bottom w:val="none" w:sz="0" w:space="0" w:color="auto"/>
        <w:right w:val="none" w:sz="0" w:space="0" w:color="auto"/>
      </w:divBdr>
    </w:div>
    <w:div w:id="469788658">
      <w:bodyDiv w:val="1"/>
      <w:marLeft w:val="0"/>
      <w:marRight w:val="0"/>
      <w:marTop w:val="0"/>
      <w:marBottom w:val="0"/>
      <w:divBdr>
        <w:top w:val="none" w:sz="0" w:space="0" w:color="auto"/>
        <w:left w:val="none" w:sz="0" w:space="0" w:color="auto"/>
        <w:bottom w:val="none" w:sz="0" w:space="0" w:color="auto"/>
        <w:right w:val="none" w:sz="0" w:space="0" w:color="auto"/>
      </w:divBdr>
    </w:div>
    <w:div w:id="479274576">
      <w:bodyDiv w:val="1"/>
      <w:marLeft w:val="0"/>
      <w:marRight w:val="0"/>
      <w:marTop w:val="0"/>
      <w:marBottom w:val="0"/>
      <w:divBdr>
        <w:top w:val="none" w:sz="0" w:space="0" w:color="auto"/>
        <w:left w:val="none" w:sz="0" w:space="0" w:color="auto"/>
        <w:bottom w:val="none" w:sz="0" w:space="0" w:color="auto"/>
        <w:right w:val="none" w:sz="0" w:space="0" w:color="auto"/>
      </w:divBdr>
    </w:div>
    <w:div w:id="525800286">
      <w:bodyDiv w:val="1"/>
      <w:marLeft w:val="0"/>
      <w:marRight w:val="0"/>
      <w:marTop w:val="0"/>
      <w:marBottom w:val="0"/>
      <w:divBdr>
        <w:top w:val="none" w:sz="0" w:space="0" w:color="auto"/>
        <w:left w:val="none" w:sz="0" w:space="0" w:color="auto"/>
        <w:bottom w:val="none" w:sz="0" w:space="0" w:color="auto"/>
        <w:right w:val="none" w:sz="0" w:space="0" w:color="auto"/>
      </w:divBdr>
    </w:div>
    <w:div w:id="561404333">
      <w:bodyDiv w:val="1"/>
      <w:marLeft w:val="0"/>
      <w:marRight w:val="0"/>
      <w:marTop w:val="0"/>
      <w:marBottom w:val="0"/>
      <w:divBdr>
        <w:top w:val="none" w:sz="0" w:space="0" w:color="auto"/>
        <w:left w:val="none" w:sz="0" w:space="0" w:color="auto"/>
        <w:bottom w:val="none" w:sz="0" w:space="0" w:color="auto"/>
        <w:right w:val="none" w:sz="0" w:space="0" w:color="auto"/>
      </w:divBdr>
    </w:div>
    <w:div w:id="588466525">
      <w:bodyDiv w:val="1"/>
      <w:marLeft w:val="0"/>
      <w:marRight w:val="0"/>
      <w:marTop w:val="0"/>
      <w:marBottom w:val="0"/>
      <w:divBdr>
        <w:top w:val="none" w:sz="0" w:space="0" w:color="auto"/>
        <w:left w:val="none" w:sz="0" w:space="0" w:color="auto"/>
        <w:bottom w:val="none" w:sz="0" w:space="0" w:color="auto"/>
        <w:right w:val="none" w:sz="0" w:space="0" w:color="auto"/>
      </w:divBdr>
    </w:div>
    <w:div w:id="648943847">
      <w:bodyDiv w:val="1"/>
      <w:marLeft w:val="0"/>
      <w:marRight w:val="0"/>
      <w:marTop w:val="0"/>
      <w:marBottom w:val="0"/>
      <w:divBdr>
        <w:top w:val="none" w:sz="0" w:space="0" w:color="auto"/>
        <w:left w:val="none" w:sz="0" w:space="0" w:color="auto"/>
        <w:bottom w:val="none" w:sz="0" w:space="0" w:color="auto"/>
        <w:right w:val="none" w:sz="0" w:space="0" w:color="auto"/>
      </w:divBdr>
    </w:div>
    <w:div w:id="678392505">
      <w:bodyDiv w:val="1"/>
      <w:marLeft w:val="0"/>
      <w:marRight w:val="0"/>
      <w:marTop w:val="0"/>
      <w:marBottom w:val="0"/>
      <w:divBdr>
        <w:top w:val="none" w:sz="0" w:space="0" w:color="auto"/>
        <w:left w:val="none" w:sz="0" w:space="0" w:color="auto"/>
        <w:bottom w:val="none" w:sz="0" w:space="0" w:color="auto"/>
        <w:right w:val="none" w:sz="0" w:space="0" w:color="auto"/>
      </w:divBdr>
    </w:div>
    <w:div w:id="700934589">
      <w:bodyDiv w:val="1"/>
      <w:marLeft w:val="0"/>
      <w:marRight w:val="0"/>
      <w:marTop w:val="0"/>
      <w:marBottom w:val="0"/>
      <w:divBdr>
        <w:top w:val="none" w:sz="0" w:space="0" w:color="auto"/>
        <w:left w:val="none" w:sz="0" w:space="0" w:color="auto"/>
        <w:bottom w:val="none" w:sz="0" w:space="0" w:color="auto"/>
        <w:right w:val="none" w:sz="0" w:space="0" w:color="auto"/>
      </w:divBdr>
    </w:div>
    <w:div w:id="710157386">
      <w:bodyDiv w:val="1"/>
      <w:marLeft w:val="0"/>
      <w:marRight w:val="0"/>
      <w:marTop w:val="0"/>
      <w:marBottom w:val="0"/>
      <w:divBdr>
        <w:top w:val="none" w:sz="0" w:space="0" w:color="auto"/>
        <w:left w:val="none" w:sz="0" w:space="0" w:color="auto"/>
        <w:bottom w:val="none" w:sz="0" w:space="0" w:color="auto"/>
        <w:right w:val="none" w:sz="0" w:space="0" w:color="auto"/>
      </w:divBdr>
    </w:div>
    <w:div w:id="839807405">
      <w:bodyDiv w:val="1"/>
      <w:marLeft w:val="0"/>
      <w:marRight w:val="0"/>
      <w:marTop w:val="0"/>
      <w:marBottom w:val="0"/>
      <w:divBdr>
        <w:top w:val="none" w:sz="0" w:space="0" w:color="auto"/>
        <w:left w:val="none" w:sz="0" w:space="0" w:color="auto"/>
        <w:bottom w:val="none" w:sz="0" w:space="0" w:color="auto"/>
        <w:right w:val="none" w:sz="0" w:space="0" w:color="auto"/>
      </w:divBdr>
    </w:div>
    <w:div w:id="929896596">
      <w:bodyDiv w:val="1"/>
      <w:marLeft w:val="0"/>
      <w:marRight w:val="0"/>
      <w:marTop w:val="0"/>
      <w:marBottom w:val="0"/>
      <w:divBdr>
        <w:top w:val="none" w:sz="0" w:space="0" w:color="auto"/>
        <w:left w:val="none" w:sz="0" w:space="0" w:color="auto"/>
        <w:bottom w:val="none" w:sz="0" w:space="0" w:color="auto"/>
        <w:right w:val="none" w:sz="0" w:space="0" w:color="auto"/>
      </w:divBdr>
    </w:div>
    <w:div w:id="999577152">
      <w:bodyDiv w:val="1"/>
      <w:marLeft w:val="0"/>
      <w:marRight w:val="0"/>
      <w:marTop w:val="0"/>
      <w:marBottom w:val="0"/>
      <w:divBdr>
        <w:top w:val="none" w:sz="0" w:space="0" w:color="auto"/>
        <w:left w:val="none" w:sz="0" w:space="0" w:color="auto"/>
        <w:bottom w:val="none" w:sz="0" w:space="0" w:color="auto"/>
        <w:right w:val="none" w:sz="0" w:space="0" w:color="auto"/>
      </w:divBdr>
    </w:div>
    <w:div w:id="1010984498">
      <w:bodyDiv w:val="1"/>
      <w:marLeft w:val="0"/>
      <w:marRight w:val="0"/>
      <w:marTop w:val="0"/>
      <w:marBottom w:val="0"/>
      <w:divBdr>
        <w:top w:val="none" w:sz="0" w:space="0" w:color="auto"/>
        <w:left w:val="none" w:sz="0" w:space="0" w:color="auto"/>
        <w:bottom w:val="none" w:sz="0" w:space="0" w:color="auto"/>
        <w:right w:val="none" w:sz="0" w:space="0" w:color="auto"/>
      </w:divBdr>
    </w:div>
    <w:div w:id="1066418211">
      <w:bodyDiv w:val="1"/>
      <w:marLeft w:val="0"/>
      <w:marRight w:val="0"/>
      <w:marTop w:val="0"/>
      <w:marBottom w:val="0"/>
      <w:divBdr>
        <w:top w:val="none" w:sz="0" w:space="0" w:color="auto"/>
        <w:left w:val="none" w:sz="0" w:space="0" w:color="auto"/>
        <w:bottom w:val="none" w:sz="0" w:space="0" w:color="auto"/>
        <w:right w:val="none" w:sz="0" w:space="0" w:color="auto"/>
      </w:divBdr>
    </w:div>
    <w:div w:id="1300646972">
      <w:bodyDiv w:val="1"/>
      <w:marLeft w:val="0"/>
      <w:marRight w:val="0"/>
      <w:marTop w:val="0"/>
      <w:marBottom w:val="0"/>
      <w:divBdr>
        <w:top w:val="none" w:sz="0" w:space="0" w:color="auto"/>
        <w:left w:val="none" w:sz="0" w:space="0" w:color="auto"/>
        <w:bottom w:val="none" w:sz="0" w:space="0" w:color="auto"/>
        <w:right w:val="none" w:sz="0" w:space="0" w:color="auto"/>
      </w:divBdr>
    </w:div>
    <w:div w:id="1358851551">
      <w:bodyDiv w:val="1"/>
      <w:marLeft w:val="0"/>
      <w:marRight w:val="0"/>
      <w:marTop w:val="0"/>
      <w:marBottom w:val="0"/>
      <w:divBdr>
        <w:top w:val="none" w:sz="0" w:space="0" w:color="auto"/>
        <w:left w:val="none" w:sz="0" w:space="0" w:color="auto"/>
        <w:bottom w:val="none" w:sz="0" w:space="0" w:color="auto"/>
        <w:right w:val="none" w:sz="0" w:space="0" w:color="auto"/>
      </w:divBdr>
    </w:div>
    <w:div w:id="1368917735">
      <w:bodyDiv w:val="1"/>
      <w:marLeft w:val="0"/>
      <w:marRight w:val="0"/>
      <w:marTop w:val="0"/>
      <w:marBottom w:val="0"/>
      <w:divBdr>
        <w:top w:val="none" w:sz="0" w:space="0" w:color="auto"/>
        <w:left w:val="none" w:sz="0" w:space="0" w:color="auto"/>
        <w:bottom w:val="none" w:sz="0" w:space="0" w:color="auto"/>
        <w:right w:val="none" w:sz="0" w:space="0" w:color="auto"/>
      </w:divBdr>
    </w:div>
    <w:div w:id="1446461990">
      <w:bodyDiv w:val="1"/>
      <w:marLeft w:val="0"/>
      <w:marRight w:val="0"/>
      <w:marTop w:val="0"/>
      <w:marBottom w:val="0"/>
      <w:divBdr>
        <w:top w:val="none" w:sz="0" w:space="0" w:color="auto"/>
        <w:left w:val="none" w:sz="0" w:space="0" w:color="auto"/>
        <w:bottom w:val="none" w:sz="0" w:space="0" w:color="auto"/>
        <w:right w:val="none" w:sz="0" w:space="0" w:color="auto"/>
      </w:divBdr>
    </w:div>
    <w:div w:id="1622491297">
      <w:bodyDiv w:val="1"/>
      <w:marLeft w:val="0"/>
      <w:marRight w:val="0"/>
      <w:marTop w:val="0"/>
      <w:marBottom w:val="0"/>
      <w:divBdr>
        <w:top w:val="none" w:sz="0" w:space="0" w:color="auto"/>
        <w:left w:val="none" w:sz="0" w:space="0" w:color="auto"/>
        <w:bottom w:val="none" w:sz="0" w:space="0" w:color="auto"/>
        <w:right w:val="none" w:sz="0" w:space="0" w:color="auto"/>
      </w:divBdr>
    </w:div>
    <w:div w:id="1662929001">
      <w:bodyDiv w:val="1"/>
      <w:marLeft w:val="0"/>
      <w:marRight w:val="0"/>
      <w:marTop w:val="0"/>
      <w:marBottom w:val="0"/>
      <w:divBdr>
        <w:top w:val="none" w:sz="0" w:space="0" w:color="auto"/>
        <w:left w:val="none" w:sz="0" w:space="0" w:color="auto"/>
        <w:bottom w:val="none" w:sz="0" w:space="0" w:color="auto"/>
        <w:right w:val="none" w:sz="0" w:space="0" w:color="auto"/>
      </w:divBdr>
    </w:div>
    <w:div w:id="1708949366">
      <w:bodyDiv w:val="1"/>
      <w:marLeft w:val="0"/>
      <w:marRight w:val="0"/>
      <w:marTop w:val="0"/>
      <w:marBottom w:val="0"/>
      <w:divBdr>
        <w:top w:val="none" w:sz="0" w:space="0" w:color="auto"/>
        <w:left w:val="none" w:sz="0" w:space="0" w:color="auto"/>
        <w:bottom w:val="none" w:sz="0" w:space="0" w:color="auto"/>
        <w:right w:val="none" w:sz="0" w:space="0" w:color="auto"/>
      </w:divBdr>
    </w:div>
    <w:div w:id="1771076692">
      <w:bodyDiv w:val="1"/>
      <w:marLeft w:val="0"/>
      <w:marRight w:val="0"/>
      <w:marTop w:val="0"/>
      <w:marBottom w:val="0"/>
      <w:divBdr>
        <w:top w:val="none" w:sz="0" w:space="0" w:color="auto"/>
        <w:left w:val="none" w:sz="0" w:space="0" w:color="auto"/>
        <w:bottom w:val="none" w:sz="0" w:space="0" w:color="auto"/>
        <w:right w:val="none" w:sz="0" w:space="0" w:color="auto"/>
      </w:divBdr>
    </w:div>
    <w:div w:id="1777209989">
      <w:bodyDiv w:val="1"/>
      <w:marLeft w:val="0"/>
      <w:marRight w:val="0"/>
      <w:marTop w:val="0"/>
      <w:marBottom w:val="0"/>
      <w:divBdr>
        <w:top w:val="none" w:sz="0" w:space="0" w:color="auto"/>
        <w:left w:val="none" w:sz="0" w:space="0" w:color="auto"/>
        <w:bottom w:val="none" w:sz="0" w:space="0" w:color="auto"/>
        <w:right w:val="none" w:sz="0" w:space="0" w:color="auto"/>
      </w:divBdr>
    </w:div>
    <w:div w:id="2105148000">
      <w:bodyDiv w:val="1"/>
      <w:marLeft w:val="0"/>
      <w:marRight w:val="0"/>
      <w:marTop w:val="0"/>
      <w:marBottom w:val="0"/>
      <w:divBdr>
        <w:top w:val="none" w:sz="0" w:space="0" w:color="auto"/>
        <w:left w:val="none" w:sz="0" w:space="0" w:color="auto"/>
        <w:bottom w:val="none" w:sz="0" w:space="0" w:color="auto"/>
        <w:right w:val="none" w:sz="0" w:space="0" w:color="auto"/>
      </w:divBdr>
    </w:div>
    <w:div w:id="2123189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nlargement.ec.europa.eu/system/files/2019-01/eu-palestine_action_plan_2013.pdf" TargetMode="External"/><Relationship Id="rId1" Type="http://schemas.openxmlformats.org/officeDocument/2006/relationships/hyperlink" Target="https://enlargement.ec.europa.eu/system/files/2019-11/eu-israel_action_plan_200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2107</ap:Words>
  <ap:Characters>11594</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Verzoek aan M om een brief over het bombardement van Al-Ahli-ziekenhuis in Gaza</vt:lpstr>
    </vt:vector>
  </ap:TitlesOfParts>
  <ap:LinksUpToDate>false</ap:LinksUpToDate>
  <ap:CharactersWithSpaces>13674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2025-05-12T14:39:00.0000000Z</dcterms:created>
  <dcterms:modified xsi:type="dcterms:W3CDTF">2025-05-12T14:39:00.0000000Z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164588f0-ab8e-4e1e-a97f-da0cf2c46ba9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