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84D68" w:rsidTr="00F84D68" w14:paraId="48C122B3" w14:textId="77777777">
        <w:sdt>
          <w:sdtPr>
            <w:tag w:val="bmZaakNummerAdvies"/>
            <w:id w:val="-1765595357"/>
            <w:lock w:val="sdtLocked"/>
            <w:placeholder>
              <w:docPart w:val="DefaultPlaceholder_-1854013440"/>
            </w:placeholder>
          </w:sdtPr>
          <w:sdtEndPr/>
          <w:sdtContent>
            <w:tc>
              <w:tcPr>
                <w:tcW w:w="4251" w:type="dxa"/>
              </w:tcPr>
              <w:p w:rsidR="00F84D68" w:rsidP="00CD29A2" w:rsidRDefault="00F84D68" w14:paraId="375013FF" w14:textId="2767FC79">
                <w:r>
                  <w:t>No. W06.25.00069/III</w:t>
                </w:r>
              </w:p>
            </w:tc>
          </w:sdtContent>
        </w:sdt>
        <w:sdt>
          <w:sdtPr>
            <w:tag w:val="bmDatumAdvies"/>
            <w:id w:val="-1029942398"/>
            <w:lock w:val="sdtLocked"/>
            <w:placeholder>
              <w:docPart w:val="DefaultPlaceholder_-1854013440"/>
            </w:placeholder>
          </w:sdtPr>
          <w:sdtEndPr/>
          <w:sdtContent>
            <w:tc>
              <w:tcPr>
                <w:tcW w:w="4252" w:type="dxa"/>
              </w:tcPr>
              <w:p w:rsidR="00F84D68" w:rsidP="00CD29A2" w:rsidRDefault="00F84D68" w14:paraId="161BEF89" w14:textId="44CB2A53">
                <w:r>
                  <w:t>'s-Gravenhage, 7 mei 2025</w:t>
                </w:r>
              </w:p>
            </w:tc>
          </w:sdtContent>
        </w:sdt>
      </w:tr>
    </w:tbl>
    <w:p w:rsidR="00F84D68" w:rsidP="00CD29A2" w:rsidRDefault="00F84D68" w14:paraId="0C920484" w14:textId="77777777"/>
    <w:p w:rsidR="00F84D68" w:rsidP="00CD29A2" w:rsidRDefault="00F84D68" w14:paraId="36A6FF69" w14:textId="77777777"/>
    <w:sdt>
      <w:sdtPr>
        <w:tag w:val="bmAanhef"/>
        <w:id w:val="1719166473"/>
        <w:lock w:val="sdtLocked"/>
        <w:placeholder>
          <w:docPart w:val="DefaultPlaceholder_-1854013440"/>
        </w:placeholder>
      </w:sdtPr>
      <w:sdtEndPr/>
      <w:sdtContent>
        <w:sdt>
          <w:sdtPr>
            <w:tag w:val="bmAanhef"/>
            <w:id w:val="355628912"/>
            <w:placeholder>
              <w:docPart w:val="AA6A0B4940EA44F5B6245774FC3D53E5"/>
            </w:placeholder>
          </w:sdtPr>
          <w:sdtEndPr/>
          <w:sdtContent>
            <w:p w:rsidR="002318A8" w:rsidP="002318A8" w:rsidRDefault="00006C27" w14:paraId="4EFA5EB6" w14:textId="4C522D69">
              <w:r w:rsidRPr="00006C27">
                <w:t>Voorjaarsrapportage 202</w:t>
              </w:r>
              <w:r>
                <w:t>5</w:t>
              </w:r>
            </w:p>
            <w:p w:rsidR="00006C27" w:rsidP="002318A8" w:rsidRDefault="00006C27" w14:paraId="5B6BA27F" w14:textId="77777777"/>
            <w:p w:rsidR="002318A8" w:rsidP="005521EC" w:rsidRDefault="002318A8" w14:paraId="76105264" w14:textId="77777777">
              <w:pPr>
                <w:pStyle w:val="Lijstalinea"/>
                <w:numPr>
                  <w:ilvl w:val="0"/>
                  <w:numId w:val="1"/>
                </w:numPr>
                <w:ind w:left="0" w:firstLine="0"/>
              </w:pPr>
              <w:r>
                <w:tab/>
                <w:t xml:space="preserve">INLEIDING EN CONCLUSIE </w:t>
              </w:r>
            </w:p>
            <w:p w:rsidR="002318A8" w:rsidP="002318A8" w:rsidRDefault="002318A8" w14:paraId="6B35C435" w14:textId="77777777">
              <w:pPr>
                <w:pStyle w:val="Lijstalinea"/>
              </w:pPr>
              <w:r>
                <w:tab/>
              </w:r>
            </w:p>
            <w:p w:rsidRPr="00EB7272" w:rsidR="002318A8" w:rsidP="002318A8" w:rsidRDefault="002318A8" w14:paraId="08B50517" w14:textId="55A1492E">
              <w:pPr>
                <w:pStyle w:val="Lijstalinea"/>
                <w:numPr>
                  <w:ilvl w:val="0"/>
                  <w:numId w:val="2"/>
                </w:numPr>
                <w:ind w:left="0" w:firstLine="0"/>
                <w:rPr>
                  <w:u w:val="single"/>
                </w:rPr>
              </w:pPr>
              <w:r w:rsidRPr="00EB7272">
                <w:rPr>
                  <w:u w:val="single"/>
                </w:rPr>
                <w:t>In</w:t>
              </w:r>
              <w:r>
                <w:rPr>
                  <w:u w:val="single"/>
                </w:rPr>
                <w:t>houdsopgave</w:t>
              </w:r>
            </w:p>
            <w:p w:rsidR="002318A8" w:rsidP="002318A8" w:rsidRDefault="002318A8" w14:paraId="2391031F" w14:textId="77777777"/>
            <w:p w:rsidR="002318A8" w:rsidP="002318A8" w:rsidRDefault="002318A8" w14:paraId="0D3185D8" w14:textId="77777777">
              <w:r w:rsidRPr="00EB7272">
                <w:t>De Afdeling advisering van de Raad van State is belast met het onafhankelijk begrotingstoezicht op de naleving van de nationale en Europese begrotingsregels.</w:t>
              </w:r>
              <w:r>
                <w:rPr>
                  <w:rStyle w:val="Voetnootmarkering"/>
                </w:rPr>
                <w:footnoteReference w:id="2"/>
              </w:r>
              <w:r w:rsidRPr="00EB7272">
                <w:t xml:space="preserve"> Het is de taak van de onafhankelijke begrotingstoezichthouder om een beoordeling op te stellen over de vraag of wordt voldaan aan de nationale en Europese begrotingsregels.</w:t>
              </w:r>
              <w:r>
                <w:t xml:space="preserve"> De reactie van het kabinet op de Voorjaarsrapportage in het kader van het onafhankelijk begrotingstoezicht is integraal in deze rapportage opgenomen. </w:t>
              </w:r>
            </w:p>
            <w:p w:rsidR="002318A8" w:rsidP="002318A8" w:rsidRDefault="002318A8" w14:paraId="3FE8712E" w14:textId="77777777"/>
            <w:p w:rsidR="002318A8" w:rsidP="002318A8" w:rsidRDefault="002318A8" w14:paraId="534AD703" w14:textId="77777777">
              <w:r w:rsidRPr="00EB7272">
                <w:t xml:space="preserve">De Afdeling werkt voor haar beoordeling nauw samen met het Centraal Planbureau (CPB). De taakverdeling houdt in dat het opstellen van onafhankelijke economische en budgettaire ramingen en analyses is belegd bij het CPB. De Afdeling is belast met de meer normatieve beoordeling van de naleving van de nationale en Europese begrotingsregels. </w:t>
              </w:r>
              <w:r>
                <w:t xml:space="preserve">De Afdeling neemt de budgettaire analyse van de Voorjaarsnota en de maartraming (het Centraal Economisch Plan) van het CPB als uitgangspunt voor de begrotingstoetsing. </w:t>
              </w:r>
            </w:p>
            <w:p w:rsidR="002318A8" w:rsidP="002318A8" w:rsidRDefault="002318A8" w14:paraId="79277E1B" w14:textId="77777777"/>
            <w:p w:rsidR="002318A8" w:rsidP="002318A8" w:rsidRDefault="002318A8" w14:paraId="7B1DC0D9" w14:textId="77777777">
              <w:r>
                <w:t>De v</w:t>
              </w:r>
              <w:r w:rsidRPr="00FD1BA7">
                <w:t>oorliggende</w:t>
              </w:r>
              <w:r>
                <w:t xml:space="preserve"> Voorjaars</w:t>
              </w:r>
              <w:r w:rsidRPr="00FD1BA7">
                <w:t>rapportage</w:t>
              </w:r>
              <w:r>
                <w:t xml:space="preserve"> van de Afdeling in het kader van het onafhankelijk begrotingstoezicht</w:t>
              </w:r>
              <w:r w:rsidRPr="00FD1BA7">
                <w:t xml:space="preserve"> bevat een beoordeling van de naleving van de Europese en nationale begrotingsregels op basis van twee documenten: </w:t>
              </w:r>
              <w:r w:rsidRPr="00A031A0">
                <w:t>de Voorjaarsnota</w:t>
              </w:r>
              <w:r>
                <w:t xml:space="preserve"> en de door het kabinet op grond daarvan bij de Europese Commissie ingediende jaarlijkse Voortgangsrapportage (</w:t>
              </w:r>
              <w:proofErr w:type="spellStart"/>
              <w:r>
                <w:rPr>
                  <w:i/>
                  <w:iCs/>
                </w:rPr>
                <w:t>Annual</w:t>
              </w:r>
              <w:proofErr w:type="spellEnd"/>
              <w:r>
                <w:rPr>
                  <w:i/>
                  <w:iCs/>
                </w:rPr>
                <w:t xml:space="preserve"> </w:t>
              </w:r>
              <w:proofErr w:type="spellStart"/>
              <w:r>
                <w:rPr>
                  <w:i/>
                  <w:iCs/>
                </w:rPr>
                <w:t>Progress</w:t>
              </w:r>
              <w:proofErr w:type="spellEnd"/>
              <w:r>
                <w:rPr>
                  <w:i/>
                  <w:iCs/>
                </w:rPr>
                <w:t xml:space="preserve"> Report)</w:t>
              </w:r>
              <w:r>
                <w:t xml:space="preserve">. </w:t>
              </w:r>
            </w:p>
            <w:p w:rsidR="002318A8" w:rsidP="002318A8" w:rsidRDefault="002318A8" w14:paraId="3F7C4C87" w14:textId="77777777"/>
            <w:p w:rsidR="002318A8" w:rsidP="002318A8" w:rsidRDefault="002318A8" w14:paraId="2F99A2E1" w14:textId="77777777">
              <w:r>
                <w:t xml:space="preserve">Deze Voorjaarsrapportage kent de volgende opzet: </w:t>
              </w:r>
            </w:p>
            <w:p w:rsidR="002318A8" w:rsidP="002318A8" w:rsidRDefault="002318A8" w14:paraId="340A5AF2" w14:textId="77777777"/>
            <w:p w:rsidR="002318A8" w:rsidP="002318A8" w:rsidRDefault="002318A8" w14:paraId="0C4FBB27" w14:textId="77777777">
              <w:r>
                <w:t>A. INLEIDING EN CONCLUSIE</w:t>
              </w:r>
            </w:p>
            <w:p w:rsidR="002318A8" w:rsidP="002318A8" w:rsidRDefault="002318A8" w14:paraId="69CB7459" w14:textId="77777777">
              <w:pPr>
                <w:ind w:firstLine="708"/>
              </w:pPr>
              <w:r>
                <w:t>A.1 Inhoudsopgave</w:t>
              </w:r>
            </w:p>
            <w:p w:rsidR="002318A8" w:rsidP="002318A8" w:rsidRDefault="002318A8" w14:paraId="3D3B687A" w14:textId="77777777">
              <w:pPr>
                <w:ind w:firstLine="708"/>
              </w:pPr>
              <w:r>
                <w:t>A.2 Inleiding en samenvatting</w:t>
              </w:r>
            </w:p>
            <w:p w:rsidR="002318A8" w:rsidP="002318A8" w:rsidRDefault="002318A8" w14:paraId="2B23EA9C" w14:textId="77777777">
              <w:r>
                <w:t xml:space="preserve">B. BEGROTINGSTOETSING EN ADVIEZEN </w:t>
              </w:r>
            </w:p>
            <w:p w:rsidR="002318A8" w:rsidP="002318A8" w:rsidRDefault="002318A8" w14:paraId="1BEC37CB" w14:textId="77777777">
              <w:pPr>
                <w:ind w:firstLine="708"/>
              </w:pPr>
              <w:r>
                <w:t xml:space="preserve">B.1 Relevante context </w:t>
              </w:r>
            </w:p>
            <w:p w:rsidR="002318A8" w:rsidP="002318A8" w:rsidRDefault="002318A8" w14:paraId="50252769" w14:textId="77777777">
              <w:pPr>
                <w:ind w:left="708" w:firstLine="708"/>
              </w:pPr>
              <w:r>
                <w:t xml:space="preserve">B.1.1: Macro-economische context </w:t>
              </w:r>
            </w:p>
            <w:p w:rsidR="002318A8" w:rsidP="002318A8" w:rsidRDefault="002318A8" w14:paraId="3C65B79E" w14:textId="77777777">
              <w:pPr>
                <w:ind w:left="708" w:firstLine="708"/>
              </w:pPr>
              <w:r>
                <w:t xml:space="preserve">B.1.2: Budgettaire context </w:t>
              </w:r>
            </w:p>
            <w:p w:rsidR="002318A8" w:rsidP="002318A8" w:rsidRDefault="002318A8" w14:paraId="25420563" w14:textId="77777777">
              <w:pPr>
                <w:ind w:left="708" w:firstLine="708"/>
              </w:pPr>
              <w:r>
                <w:t xml:space="preserve">B.1.3: Realistisch ramen </w:t>
              </w:r>
            </w:p>
            <w:p w:rsidR="002318A8" w:rsidP="002318A8" w:rsidRDefault="002318A8" w14:paraId="70D56A66" w14:textId="77777777">
              <w:pPr>
                <w:ind w:firstLine="708"/>
              </w:pPr>
              <w:r>
                <w:t xml:space="preserve">B.2. Toets aan de Europese begrotingsregels </w:t>
              </w:r>
            </w:p>
            <w:p w:rsidR="002318A8" w:rsidP="002318A8" w:rsidRDefault="002318A8" w14:paraId="465FB72D" w14:textId="77777777">
              <w:pPr>
                <w:ind w:left="708" w:firstLine="708"/>
              </w:pPr>
              <w:r>
                <w:lastRenderedPageBreak/>
                <w:t xml:space="preserve">B.2.1: Relevante context </w:t>
              </w:r>
            </w:p>
            <w:p w:rsidR="002318A8" w:rsidP="002318A8" w:rsidRDefault="002318A8" w14:paraId="61031762" w14:textId="77777777">
              <w:pPr>
                <w:ind w:left="708" w:firstLine="708"/>
              </w:pPr>
              <w:r>
                <w:t xml:space="preserve">B.2.2: Toetsing aan de Europese begrotingsregels </w:t>
              </w:r>
            </w:p>
            <w:p w:rsidR="002318A8" w:rsidP="002318A8" w:rsidRDefault="002318A8" w14:paraId="4EA4E2DE" w14:textId="77777777">
              <w:pPr>
                <w:ind w:left="708" w:firstLine="708"/>
              </w:pPr>
              <w:r>
                <w:t xml:space="preserve">B.2.3: Reflectie op het nieuwe Europese begrotingsraamwerk </w:t>
              </w:r>
            </w:p>
            <w:p w:rsidR="002318A8" w:rsidP="002318A8" w:rsidRDefault="002318A8" w14:paraId="26A03771" w14:textId="77777777">
              <w:pPr>
                <w:ind w:firstLine="708"/>
              </w:pPr>
              <w:r>
                <w:t xml:space="preserve">B.3 Toets aan de nationale begrotingsregels </w:t>
              </w:r>
            </w:p>
            <w:p w:rsidR="002318A8" w:rsidP="002318A8" w:rsidRDefault="002318A8" w14:paraId="6B7BA6E4" w14:textId="77777777">
              <w:pPr>
                <w:ind w:left="708" w:firstLine="708"/>
              </w:pPr>
              <w:r>
                <w:t xml:space="preserve">B.3.1: Begrotingsproces </w:t>
              </w:r>
            </w:p>
            <w:p w:rsidR="002318A8" w:rsidP="002318A8" w:rsidRDefault="002318A8" w14:paraId="01BE658E" w14:textId="77777777">
              <w:pPr>
                <w:ind w:left="708" w:firstLine="708"/>
              </w:pPr>
              <w:r>
                <w:t xml:space="preserve">B.3.2: Toetsing aan de nationale begrotingsregels </w:t>
              </w:r>
            </w:p>
            <w:p w:rsidR="002318A8" w:rsidP="002318A8" w:rsidRDefault="002318A8" w14:paraId="004A9B48" w14:textId="77777777">
              <w:r>
                <w:tab/>
                <w:t>B.4 Aandachtspunten bij de uitgavenkaders</w:t>
              </w:r>
            </w:p>
            <w:p w:rsidR="002318A8" w:rsidP="002318A8" w:rsidRDefault="002318A8" w14:paraId="4933D075" w14:textId="77777777">
              <w:pPr>
                <w:ind w:left="708" w:firstLine="708"/>
              </w:pPr>
              <w:r>
                <w:t xml:space="preserve">B.4.1: Kwaliteit en transparantie van de overheidsfinanciën </w:t>
              </w:r>
            </w:p>
            <w:p w:rsidR="002318A8" w:rsidP="002318A8" w:rsidRDefault="002318A8" w14:paraId="63D0E4EC" w14:textId="77777777">
              <w:pPr>
                <w:ind w:left="708" w:firstLine="708"/>
              </w:pPr>
              <w:r>
                <w:t xml:space="preserve">B.4.2: Financiën van medeoverheden </w:t>
              </w:r>
            </w:p>
            <w:p w:rsidR="002318A8" w:rsidP="002318A8" w:rsidRDefault="002318A8" w14:paraId="5FEB2C2A" w14:textId="77777777">
              <w:r>
                <w:tab/>
                <w:t>C. REACTIE VAN HET KABINET</w:t>
              </w:r>
            </w:p>
            <w:p w:rsidR="002318A8" w:rsidP="002318A8" w:rsidRDefault="002318A8" w14:paraId="5C0A3FD1" w14:textId="77777777"/>
            <w:p w:rsidR="002318A8" w:rsidP="002318A8" w:rsidRDefault="002318A8" w14:paraId="103F18BC" w14:textId="77777777">
              <w:pPr>
                <w:pStyle w:val="Lijstalinea"/>
                <w:numPr>
                  <w:ilvl w:val="0"/>
                  <w:numId w:val="2"/>
                </w:numPr>
                <w:ind w:left="0" w:firstLine="0"/>
                <w:rPr>
                  <w:u w:val="single"/>
                </w:rPr>
              </w:pPr>
              <w:r>
                <w:tab/>
              </w:r>
              <w:r w:rsidRPr="00AC75F0">
                <w:rPr>
                  <w:u w:val="single"/>
                </w:rPr>
                <w:t>Inleiding</w:t>
              </w:r>
              <w:r>
                <w:rPr>
                  <w:u w:val="single"/>
                </w:rPr>
                <w:t xml:space="preserve"> en samenvatting </w:t>
              </w:r>
            </w:p>
            <w:p w:rsidR="002318A8" w:rsidP="002318A8" w:rsidRDefault="002318A8" w14:paraId="5FA495AC" w14:textId="77777777">
              <w:pPr>
                <w:rPr>
                  <w:b/>
                  <w:bCs/>
                  <w:u w:val="single"/>
                </w:rPr>
              </w:pPr>
            </w:p>
            <w:p w:rsidRPr="003B348B" w:rsidR="002318A8" w:rsidP="002318A8" w:rsidRDefault="002318A8" w14:paraId="480EDC39" w14:textId="77777777">
              <w:pPr>
                <w:rPr>
                  <w:b/>
                  <w:bCs/>
                </w:rPr>
              </w:pPr>
              <w:r>
                <w:t xml:space="preserve">Het kabinet presenteert in 2025 zijn eerste Voorjaarsnota. Deze Voorjaarsnota moet worden bezien tegen de achtergrond van de actuele geopolitieke spanningen en de daarmee samenhangende wereldwijde economische onzekerheden. </w:t>
              </w:r>
            </w:p>
            <w:p w:rsidR="002318A8" w:rsidP="002318A8" w:rsidRDefault="002318A8" w14:paraId="7D235065" w14:textId="77777777"/>
            <w:p w:rsidR="002318A8" w:rsidP="002318A8" w:rsidRDefault="002318A8" w14:paraId="4ED01CCA" w14:textId="77777777">
              <w:r>
                <w:t xml:space="preserve">Met deze Voorjaarsnota neemt het kabinet een stap om de begrotingsdiscipline te handhaven: de Voorjaarsnota bestendigt over het algemeen het trendmatig begrotingsbeleid. Hoewel de ramingen bij de start van de voorjaarsbesluitvorming voor de overheidsfinanciën positiever waren door gunstigere macro-economische ontwikkelingen, zijn deze economische meevallers niet direct benut voor meer uitgaven. De mee- en tegenvallers zijn in de voorjaarsbesluitvorming gewogen en van budgettaire dekking voorzien. In zijn totaliteit bezien worden ook de uitgaven- en lastenkaders gehandhaafd, en wordt de scheiding tussen inkomsten en uitgaven gerespecteerd. </w:t>
              </w:r>
            </w:p>
            <w:p w:rsidR="002318A8" w:rsidP="002318A8" w:rsidRDefault="002318A8" w14:paraId="20ED5304" w14:textId="77777777"/>
            <w:p w:rsidR="002318A8" w:rsidP="002318A8" w:rsidRDefault="002318A8" w14:paraId="4B968DEE" w14:textId="77777777">
              <w:r>
                <w:t>Het voeren van trendmatig begrotingsbeleid dient nadrukkelijk een democratisch en maatschappelijk belang. Het voorkomt tussentijdse bijstellingen bij economisch slechtere tijden, wat zorgt voor voorspelbaar beleid en stabiele uitvoering voor de middellange termijn. Burgers en bedrijven, maar ook uitvoeringsorganisaties, kunnen zo relatieve zekerheid op middellange termijn ervaren. Ook de Europese begrotingsregels vragen dat lidstaten stabiliserend begrotingsbeleid voeren, zodat houdbare overheidsfinanciën worden geborgd.</w:t>
              </w:r>
            </w:p>
            <w:p w:rsidR="002318A8" w:rsidP="002318A8" w:rsidRDefault="002318A8" w14:paraId="69CFB641" w14:textId="77777777"/>
            <w:p w:rsidR="002318A8" w:rsidP="002318A8" w:rsidRDefault="002318A8" w14:paraId="608FD0CD" w14:textId="77777777">
              <w:r>
                <w:t>De Afdeling stelt vast dat deze Voorjaarsnota</w:t>
              </w:r>
              <w:r w:rsidRPr="000372A7">
                <w:t xml:space="preserve"> </w:t>
              </w:r>
              <w:r w:rsidRPr="00AC6BB7">
                <w:rPr>
                  <w:u w:val="single"/>
                </w:rPr>
                <w:t>voldoet</w:t>
              </w:r>
              <w:r>
                <w:t xml:space="preserve"> aan de </w:t>
              </w:r>
              <w:r w:rsidRPr="00093B7D">
                <w:rPr>
                  <w:i/>
                  <w:iCs/>
                </w:rPr>
                <w:t>nationale</w:t>
              </w:r>
              <w:r>
                <w:t xml:space="preserve"> begrotingsregels. Tegen deze achtergrond komt de Afdeling wel met een aantal nadere adviezen: </w:t>
              </w:r>
            </w:p>
            <w:p w:rsidR="002318A8" w:rsidP="002318A8" w:rsidRDefault="002318A8" w14:paraId="084A259D" w14:textId="77777777"/>
            <w:p w:rsidR="002318A8" w:rsidP="002318A8" w:rsidRDefault="002318A8" w14:paraId="1F91A30C" w14:textId="77777777">
              <w:pPr>
                <w:pStyle w:val="Lijstalinea"/>
                <w:numPr>
                  <w:ilvl w:val="0"/>
                  <w:numId w:val="10"/>
                </w:numPr>
              </w:pPr>
              <w:r>
                <w:t xml:space="preserve">Deze Voorjaarsnota laat, bij sluitende uitgavenkaders, een verdere stijging zien van consumptieve overheidsuitgaven en van overdrachtsuitgaven op de middellange termijn, met name in zorg en sociale zekerheid; investeringsuitgaven (zoals voor defensie en veiligheid, voor ICT-, energie- en klimaat- en vervoersinfrastructuur) stijgen niet of beduidend minder, ook op langere termijn na deze kabinetsperiode. De Afdeling adviseert om in de komende Miljoenennota in de door het kabinet toegezegde nadere </w:t>
              </w:r>
              <w:r>
                <w:lastRenderedPageBreak/>
                <w:t>beschouwing over gewenste economische structuurontwikkeling van Nederland op de middellange termijn daar aandacht aan te besteden.</w:t>
              </w:r>
            </w:p>
            <w:p w:rsidR="002318A8" w:rsidP="002318A8" w:rsidRDefault="002318A8" w14:paraId="3128C0E0" w14:textId="77777777">
              <w:pPr>
                <w:pStyle w:val="Lijstalinea"/>
                <w:numPr>
                  <w:ilvl w:val="0"/>
                  <w:numId w:val="10"/>
                </w:numPr>
              </w:pPr>
              <w:r>
                <w:t>Bij sluitende lastenkaders in deze Voorjaarsnota wordt het niet verhogen van belastingen op consumptie gefinancierd door meer belastingen op arbeid. Ook deze ontwikkeling verdient een plaats in bovengenoemde economische structuuranalyse.</w:t>
              </w:r>
            </w:p>
            <w:p w:rsidR="002318A8" w:rsidP="002318A8" w:rsidRDefault="002318A8" w14:paraId="037C3017" w14:textId="77777777">
              <w:pPr>
                <w:pStyle w:val="Lijstalinea"/>
                <w:numPr>
                  <w:ilvl w:val="0"/>
                  <w:numId w:val="10"/>
                </w:numPr>
              </w:pPr>
              <w:r>
                <w:t>In het trendmatig begrotingsbeleid beogen de zogeheten 100%-eindejaarsmarge en de zogeheten meevallerformule enige flexibiliteit aan te brengen. De Afdeling adviseert de komende Studiegroep Begrotingsruimte te vragen de werking van beide te evalueren.</w:t>
              </w:r>
            </w:p>
            <w:p w:rsidR="002318A8" w:rsidP="002318A8" w:rsidRDefault="002318A8" w14:paraId="4E4D863F" w14:textId="77777777">
              <w:pPr>
                <w:pStyle w:val="Lijstalinea"/>
                <w:numPr>
                  <w:ilvl w:val="0"/>
                  <w:numId w:val="10"/>
                </w:numPr>
              </w:pPr>
              <w:r>
                <w:t xml:space="preserve">De Afdeling verwelkomt de aanbevelingen van de expertgroep om ramingsverschillen te verkleinen en adviseert het CPB en het Ministerie van Financiën om transparant te zijn over de onderlinge ramingsverschillen van het EMU-saldo. </w:t>
              </w:r>
            </w:p>
            <w:p w:rsidR="002318A8" w:rsidP="002318A8" w:rsidRDefault="002318A8" w14:paraId="0F23F8F4" w14:textId="77777777">
              <w:pPr>
                <w:pStyle w:val="Lijstalinea"/>
                <w:numPr>
                  <w:ilvl w:val="0"/>
                  <w:numId w:val="10"/>
                </w:numPr>
              </w:pPr>
              <w:r>
                <w:t xml:space="preserve">In licht van de aanbeveling van de expertgroep realistisch ramen om het zicht op de financiën van de medeoverheden te verbeteren, adviseert de Afdeling om </w:t>
              </w:r>
              <w:r w:rsidRPr="00767476">
                <w:t>niet alleen</w:t>
              </w:r>
              <w:r>
                <w:t xml:space="preserve"> te concentreren </w:t>
              </w:r>
              <w:r w:rsidRPr="00767476">
                <w:t xml:space="preserve">op de statistische informatie die nodig is voor een betere raming van het saldo van medeoverheden, maar ook de gebieden in kaart brengt waar de statistische informatie niet toereikend is om de balans tussen middelen en taken adequaat te kunnen analyseren. </w:t>
              </w:r>
            </w:p>
            <w:p w:rsidR="002318A8" w:rsidP="002318A8" w:rsidRDefault="002318A8" w14:paraId="721268DA" w14:textId="77777777">
              <w:pPr>
                <w:ind w:left="360"/>
              </w:pPr>
            </w:p>
            <w:p w:rsidR="002318A8" w:rsidP="002318A8" w:rsidRDefault="002318A8" w14:paraId="474D6696" w14:textId="77777777">
              <w:r>
                <w:t xml:space="preserve">De Afdeling stelt ook vast dat Nederland </w:t>
              </w:r>
              <w:r w:rsidRPr="003B348B">
                <w:rPr>
                  <w:u w:val="single"/>
                </w:rPr>
                <w:t xml:space="preserve">niet </w:t>
              </w:r>
              <w:r w:rsidRPr="00AC6BB7">
                <w:rPr>
                  <w:u w:val="single"/>
                </w:rPr>
                <w:t>voldoet</w:t>
              </w:r>
              <w:r>
                <w:t xml:space="preserve"> aan de </w:t>
              </w:r>
              <w:r w:rsidRPr="00093B7D">
                <w:rPr>
                  <w:i/>
                  <w:iCs/>
                </w:rPr>
                <w:t>Europese</w:t>
              </w:r>
              <w:r>
                <w:t xml:space="preserve"> begrotingsregels voor de preventieve arm. Hoewel Nederland voldoet aan de vereisten van de correctieve arm en het EMU-saldo en de EMU-schuld onder de referentiewaarden van respectievelijk -3% bbp en 60% bbp blijven, loopt het EMU-saldo op de middellange termijn op ( -2,9% bbp in 2033 volgens de CEP-raming) en voldoet met name de uitgavengroei niet aan de eisen van de preventieve arm. </w:t>
              </w:r>
            </w:p>
            <w:p w:rsidR="002318A8" w:rsidP="002318A8" w:rsidRDefault="002318A8" w14:paraId="7F6557D6" w14:textId="77777777"/>
            <w:p w:rsidR="002318A8" w:rsidP="002318A8" w:rsidRDefault="002318A8" w14:paraId="6DE7BAA7" w14:textId="77777777">
              <w:r>
                <w:t xml:space="preserve">Nederland bevindt zich ex-ante weliswaar in het lichtere regime van het (recent geactualiseerde) Stabiliteit- en Groeipact maar op langere termijn loopt het begrotingstekort op als gevolg van door vorige kabinetten eerder ingezet expansief beleid, de stijgende collectieve uitgaven aan zorg en sociale zekerheid door vergrijzing, afnemende </w:t>
              </w:r>
              <w:proofErr w:type="spellStart"/>
              <w:r>
                <w:t>onderuitputting</w:t>
              </w:r>
              <w:proofErr w:type="spellEnd"/>
              <w:r>
                <w:t xml:space="preserve"> en hogere rentelasten. Het </w:t>
              </w:r>
              <w:proofErr w:type="spellStart"/>
              <w:r>
                <w:t>uitgavenpad</w:t>
              </w:r>
              <w:proofErr w:type="spellEnd"/>
              <w:r>
                <w:t xml:space="preserve"> voor Nederland, wat de kern is van de preventieve arm van het SGP, laat een hogere groei van de netto-overheidsuitgaven zien dan genormeerd om de overheidsfinanciën op de middellange termijn houdbaar te houden. </w:t>
              </w:r>
              <w:r w:rsidRPr="00BF42EC">
                <w:t xml:space="preserve">Het handhaven van voldoende marge in het begrotingssaldo </w:t>
              </w:r>
              <w:r>
                <w:t>en</w:t>
              </w:r>
              <w:r w:rsidRPr="00BF42EC">
                <w:t xml:space="preserve"> het bereiken van een </w:t>
              </w:r>
              <w:r>
                <w:t xml:space="preserve">economisch </w:t>
              </w:r>
              <w:r w:rsidRPr="00BF42EC">
                <w:t>hoger groeipad blij</w:t>
              </w:r>
              <w:r>
                <w:t>ven</w:t>
              </w:r>
              <w:r w:rsidRPr="00BF42EC">
                <w:t xml:space="preserve"> ook daarom van belang. </w:t>
              </w:r>
              <w:r>
                <w:t xml:space="preserve">Duurzame structuurversterking houdt Nederland </w:t>
              </w:r>
              <w:r w:rsidRPr="00EE39FF">
                <w:t>toekomstbestendig</w:t>
              </w:r>
              <w:r>
                <w:t xml:space="preserve">. </w:t>
              </w:r>
            </w:p>
            <w:p w:rsidR="002318A8" w:rsidP="002318A8" w:rsidRDefault="002318A8" w14:paraId="6DF09A11" w14:textId="77777777"/>
            <w:p w:rsidR="002318A8" w:rsidP="002318A8" w:rsidRDefault="002318A8" w14:paraId="425372B1" w14:textId="77777777">
              <w:r>
                <w:t>In deze rapportage bespreekt de Afdeling dat een eventueel beroep door Nederland op de nationale ontsnappingsclausule met het oog op (meer) defensie-uitgaven, zoals de Europese Commissie voorstelt, aan deze analyse niets af doet.</w:t>
              </w:r>
            </w:p>
            <w:p w:rsidR="002318A8" w:rsidP="002318A8" w:rsidRDefault="002318A8" w14:paraId="1663B52A" w14:textId="77777777"/>
            <w:p w:rsidR="002318A8" w:rsidP="002318A8" w:rsidRDefault="002318A8" w14:paraId="0A29BCF7" w14:textId="77777777">
              <w:r>
                <w:lastRenderedPageBreak/>
                <w:t xml:space="preserve">Tegen deze achtergrond </w:t>
              </w:r>
              <w:r w:rsidRPr="00AC6BB7">
                <w:rPr>
                  <w:u w:val="single"/>
                </w:rPr>
                <w:t>adviseert</w:t>
              </w:r>
              <w:r>
                <w:t xml:space="preserve"> de Afdeling:</w:t>
              </w:r>
            </w:p>
            <w:p w:rsidR="002318A8" w:rsidP="002318A8" w:rsidRDefault="002318A8" w14:paraId="7E4305C0" w14:textId="77777777">
              <w:pPr>
                <w:pStyle w:val="Lijstalinea"/>
                <w:numPr>
                  <w:ilvl w:val="0"/>
                  <w:numId w:val="10"/>
                </w:numPr>
              </w:pPr>
              <w:r>
                <w:t>Om in de Voorjaarsnota en in de Miljoenennota expliciet een relatie te leggen met de aanbevelingen die voortkomen uit het Europees semester;</w:t>
              </w:r>
            </w:p>
            <w:p w:rsidR="002318A8" w:rsidP="002318A8" w:rsidRDefault="002318A8" w14:paraId="6C409587" w14:textId="77777777">
              <w:pPr>
                <w:pStyle w:val="Lijstalinea"/>
                <w:numPr>
                  <w:ilvl w:val="0"/>
                  <w:numId w:val="10"/>
                </w:numPr>
              </w:pPr>
              <w:r>
                <w:t xml:space="preserve">En om deze aanbevelingen inhoudelijk eveneens te betrekken bij de economische structuuranalyse. </w:t>
              </w:r>
            </w:p>
            <w:p w:rsidR="002318A8" w:rsidP="002318A8" w:rsidRDefault="002318A8" w14:paraId="04B542C6" w14:textId="77777777"/>
            <w:p w:rsidR="002318A8" w:rsidP="002318A8" w:rsidRDefault="002318A8" w14:paraId="38CF5A9B" w14:textId="77777777">
              <w:r>
                <w:t xml:space="preserve">Ook dit jaar wordt de ontwikkeling van de Voorjaarsnota “nieuwe stijl” voortgezet. De eerste Voorjaarsnota van het kabinet Schoof presenteert een update van de economische context en van de begroting van 2025, en geeft de hoofdlijnen van de uitgaven en inkomsten voor de begroting 2026, met een meerjarige doorkijk. Het presenteren van de meerjarige reeksen helpt het parlement om eerder inzicht te krijgen in de voorgenomen besluitvorming in opmaat naar de Miljoenennota. Het wordt hiermee beter in staat gesteld het parlementair budgetrecht uit te oefenen. Ook brengt het de Voorjaarsnota meer in lijn met het Europees Semester. </w:t>
              </w:r>
            </w:p>
            <w:p w:rsidR="002318A8" w:rsidP="002318A8" w:rsidRDefault="002318A8" w14:paraId="05D3BA63" w14:textId="77777777"/>
            <w:p w:rsidR="002318A8" w:rsidP="002318A8" w:rsidRDefault="002318A8" w14:paraId="26A225C8" w14:textId="77777777">
              <w:r>
                <w:t xml:space="preserve">Het ontbreken van duidelijke termijnen voor de kabinetsvoorbereiding van de Voorjaarsnota is echter dit jaar wederom nadelig gebleken; de Voorjaarsnota, de doorrekening daarvan door het Centraal Planbureau, de indiening van de Voortgangsrapportage aan de Europese Commissie en deze begrotingsrapportage van de Afdeling zijn niet integraal op hetzelfde moment aan de Kamers aangeboden. Dit betekent dat een volledig overzicht voor de Kamer bij verzending van de Voorjaarsnota ontbreekt. </w:t>
              </w:r>
            </w:p>
            <w:p w:rsidR="00DE4363" w:rsidP="002318A8" w:rsidRDefault="00DE4363" w14:paraId="30D76B31" w14:textId="77777777"/>
            <w:p w:rsidR="002318A8" w:rsidP="002318A8" w:rsidRDefault="002318A8" w14:paraId="79A29A81" w14:textId="6959B090">
              <w:r>
                <w:t xml:space="preserve">De Afdeling </w:t>
              </w:r>
              <w:r w:rsidRPr="00DC3965">
                <w:rPr>
                  <w:u w:val="single"/>
                </w:rPr>
                <w:t>adviseert</w:t>
              </w:r>
              <w:r>
                <w:t xml:space="preserve"> daarom om:</w:t>
              </w:r>
            </w:p>
            <w:p w:rsidR="002318A8" w:rsidP="002318A8" w:rsidRDefault="002318A8" w14:paraId="6E0E48C9" w14:textId="77777777">
              <w:pPr>
                <w:pStyle w:val="Lijstalinea"/>
                <w:numPr>
                  <w:ilvl w:val="0"/>
                  <w:numId w:val="10"/>
                </w:numPr>
              </w:pPr>
              <w:r>
                <w:t xml:space="preserve">Net als voor de Miljoenennota, de (uiterste) termijnen voor kabinetsbesluitvorming over en voor indiening bij de Kamers van de integrale Voorjaarsnotabegrotingsstukken wettelijk te vervroegen en te verankeren in de Comptabiliteitswet en/of de Wet Houdbare overheidsfinanciën. </w:t>
              </w:r>
            </w:p>
            <w:p w:rsidR="002318A8" w:rsidP="002318A8" w:rsidRDefault="002318A8" w14:paraId="350B4606" w14:textId="77777777"/>
            <w:p w:rsidR="002318A8" w:rsidP="002318A8" w:rsidRDefault="002318A8" w14:paraId="0C8A2987" w14:textId="77777777">
              <w:r>
                <w:t xml:space="preserve">Al met al hebben de actuele geopolitieke en economische onzekerheden beperkt weerslag gevonden in deze Voorjaarsnota. Onzekerheid in de economie en wereldhandel kunnen een groot effect hebben op de Nederlandse economie, terwijl een nieuwe geopolitieke situatie tegelijkertijd ook kan vragen om een andere prioritering van de overheidsuitgaven. Het Centraal Planbureau heeft recentelijk een scenariostudie uitgebracht naar de economische effecten van de importheffingen dat laat zien dat op korte termijn de gevolgen van de grote onzekerheid de economische impact domineren. De Europese Commissie heeft de nodige voorstellen gedaan over defensie, economie en financiën in onderlinge samenhang; het politieke debat daarover loopt nog volop in Europa, en zal ook de komende tijd in NAVO-verband gevoerd worden. Ook het Nederlandse kabinet en parlement beraden zich verder over langjarige investeringen in defensie, veiligheid, weerbaarheid en economie. </w:t>
              </w:r>
            </w:p>
            <w:p w:rsidR="002318A8" w:rsidP="002318A8" w:rsidRDefault="002318A8" w14:paraId="2B67CF40" w14:textId="77777777"/>
            <w:p w:rsidR="002318A8" w:rsidP="002318A8" w:rsidRDefault="002318A8" w14:paraId="48868E5C" w14:textId="77777777">
              <w:r>
                <w:t xml:space="preserve">De Afdeling </w:t>
              </w:r>
              <w:r w:rsidRPr="00270B91">
                <w:rPr>
                  <w:u w:val="single"/>
                </w:rPr>
                <w:t>adviseert</w:t>
              </w:r>
              <w:r>
                <w:t xml:space="preserve"> het kabinet: </w:t>
              </w:r>
            </w:p>
            <w:p w:rsidR="002318A8" w:rsidP="002318A8" w:rsidRDefault="002318A8" w14:paraId="6D103D88" w14:textId="77777777">
              <w:pPr>
                <w:pStyle w:val="Lijstalinea"/>
                <w:numPr>
                  <w:ilvl w:val="0"/>
                  <w:numId w:val="10"/>
                </w:numPr>
              </w:pPr>
              <w:r>
                <w:lastRenderedPageBreak/>
                <w:t xml:space="preserve">Om in de komende Miljoenennota deze urgente thema’s in samenhang met de toegezegde visie op de Nederlandse economie, van een beschouwing te voorzien. </w:t>
              </w:r>
              <w:r>
                <w:br w:type="page"/>
              </w:r>
            </w:p>
            <w:p w:rsidR="002318A8" w:rsidP="002318A8" w:rsidRDefault="002318A8" w14:paraId="231569A4" w14:textId="77777777">
              <w:pPr>
                <w:pStyle w:val="Lijstalinea"/>
                <w:numPr>
                  <w:ilvl w:val="0"/>
                  <w:numId w:val="1"/>
                </w:numPr>
                <w:ind w:left="0" w:firstLine="0"/>
              </w:pPr>
              <w:r>
                <w:lastRenderedPageBreak/>
                <w:tab/>
                <w:t xml:space="preserve">BEGROTINGSTOETSING EN ADVIEZEN </w:t>
              </w:r>
            </w:p>
            <w:p w:rsidR="002318A8" w:rsidP="002318A8" w:rsidRDefault="002318A8" w14:paraId="07828D53" w14:textId="77777777"/>
            <w:p w:rsidRPr="004F6256" w:rsidR="002318A8" w:rsidP="002318A8" w:rsidRDefault="002318A8" w14:paraId="36746D57" w14:textId="5337F956">
              <w:pPr>
                <w:pStyle w:val="Lijstalinea"/>
                <w:numPr>
                  <w:ilvl w:val="0"/>
                  <w:numId w:val="3"/>
                </w:numPr>
                <w:ind w:left="0" w:firstLine="0"/>
                <w:rPr>
                  <w:u w:val="single"/>
                </w:rPr>
              </w:pPr>
              <w:r w:rsidRPr="004F6256">
                <w:rPr>
                  <w:u w:val="single"/>
                </w:rPr>
                <w:t xml:space="preserve">Relevante context </w:t>
              </w:r>
            </w:p>
            <w:p w:rsidR="002318A8" w:rsidP="002318A8" w:rsidRDefault="002318A8" w14:paraId="2B936152" w14:textId="77777777">
              <w:pPr>
                <w:ind w:left="360"/>
              </w:pPr>
            </w:p>
            <w:p w:rsidR="002318A8" w:rsidP="002318A8" w:rsidRDefault="002318A8" w14:paraId="500961E7" w14:textId="77777777">
              <w:pPr>
                <w:pStyle w:val="Lijstalinea"/>
                <w:numPr>
                  <w:ilvl w:val="1"/>
                  <w:numId w:val="4"/>
                </w:numPr>
                <w:ind w:left="0" w:firstLine="0"/>
              </w:pPr>
              <w:r w:rsidRPr="00FD73D2">
                <w:rPr>
                  <w:i/>
                  <w:iCs/>
                </w:rPr>
                <w:t>Macro-economische context</w:t>
              </w:r>
              <w:r>
                <w:t xml:space="preserve"> </w:t>
              </w:r>
            </w:p>
            <w:p w:rsidR="002318A8" w:rsidP="002318A8" w:rsidRDefault="002318A8" w14:paraId="12FDAFF7" w14:textId="77777777">
              <w:pPr>
                <w:ind w:left="360"/>
              </w:pPr>
            </w:p>
            <w:p w:rsidRPr="008351F2" w:rsidR="002318A8" w:rsidP="002318A8" w:rsidRDefault="002318A8" w14:paraId="2954506D" w14:textId="77777777">
              <w:pPr>
                <w:rPr>
                  <w:i/>
                  <w:iCs/>
                </w:rPr>
              </w:pPr>
              <w:r w:rsidRPr="008351F2">
                <w:rPr>
                  <w:i/>
                  <w:iCs/>
                </w:rPr>
                <w:t>Macro-economische vooruitzichten</w:t>
              </w:r>
              <w:r>
                <w:rPr>
                  <w:i/>
                  <w:iCs/>
                </w:rPr>
                <w:t xml:space="preserve"> in 2025 en 2026</w:t>
              </w:r>
            </w:p>
            <w:p w:rsidR="002318A8" w:rsidP="002318A8" w:rsidRDefault="002318A8" w14:paraId="229E3A32" w14:textId="77777777">
              <w:r w:rsidRPr="007803AD">
                <w:t xml:space="preserve">Na twee mindere jaren laat de Nederlandse economie </w:t>
              </w:r>
              <w:r>
                <w:t xml:space="preserve">dit en volgend jaar volgens de CEP-raming van het Centraal Planbureau (CPB) een gematigde groei zien. Die </w:t>
              </w:r>
              <w:r w:rsidRPr="007803AD">
                <w:t>vooruitzichten zijn wel met grote onzekerheid omgeven.</w:t>
              </w:r>
              <w:r>
                <w:rPr>
                  <w:rStyle w:val="Voetnootmarkering"/>
                </w:rPr>
                <w:footnoteReference w:id="3"/>
              </w:r>
              <w:r>
                <w:t xml:space="preserve"> Geopolitieke spanningen en hogere handelstarieven van de VS zijn de voornaamste bron van onzekerheid. </w:t>
              </w:r>
            </w:p>
            <w:p w:rsidR="002318A8" w:rsidP="002318A8" w:rsidRDefault="002318A8" w14:paraId="2B2B466A" w14:textId="77777777"/>
            <w:p w:rsidR="002318A8" w:rsidP="002318A8" w:rsidRDefault="002318A8" w14:paraId="36391777" w14:textId="77777777">
              <w:r>
                <w:t>Vooralsnog is alleen het drukkende effect van de grotere onzekerheid meegenomen in de vooruitzichten. De hogere handelstarieven die op 2 april jl. door de VS zijn afgekondigd en vervolgens deels zijn gepauzeerd, zijn nog niet verwerkt in de macro-economische raming. Op dit moment is nog niet te kwantificeren hoe de dynamiek van de mogelijk wederzijdse tariefsverhogingen zal uitpakken en hoe groot de negatieve effecten op de economische groei zullen zijn. Zelfs als de tariefsverhogingen worden teruggedraaid of beperkt, is de onzekerheid van ondernemers en consumenten wereldwijd toegenomen. Het is te verwachten dat dit een drukkend effect op de bestedingen heeft.</w:t>
              </w:r>
              <w:r>
                <w:rPr>
                  <w:rStyle w:val="Voetnootmarkering"/>
                </w:rPr>
                <w:footnoteReference w:id="4"/>
              </w:r>
              <w:r>
                <w:t xml:space="preserve"> </w:t>
              </w:r>
            </w:p>
            <w:p w:rsidR="002318A8" w:rsidP="002318A8" w:rsidRDefault="002318A8" w14:paraId="47460A98" w14:textId="77777777">
              <w:pPr>
                <w:rPr>
                  <w:b/>
                  <w:bCs/>
                </w:rPr>
              </w:pPr>
            </w:p>
            <w:p w:rsidR="002318A8" w:rsidP="002318A8" w:rsidRDefault="002318A8" w14:paraId="6511454E" w14:textId="77777777">
              <w:r>
                <w:t>Het volume van het bruto binnenlands product (bbp) neemt in de CEP-raming in 2025 en 2026 naar verwachting met respectievelijk 1,9% en 1,5% toe. Dit komt vooral door groeiende consumptieve bestedingen en investeringen. Omdat de lonen harder stijgen dan de prijzen, neemt de consumptie van huishoudens toe. De consumptie van de overheid stijgt, vooral door hogere uitgaven aan zorg en defensie. De volumeontwikkeling van de uitvoer van goederen en diensten volgt die van de wereldhandel en laat een gemiddelde groei zien in 2025 en 2026 van iets minder dan 2%.</w:t>
              </w:r>
            </w:p>
            <w:p w:rsidR="002318A8" w:rsidP="002318A8" w:rsidRDefault="002318A8" w14:paraId="629CA43D" w14:textId="77777777"/>
            <w:p w:rsidR="002318A8" w:rsidP="002318A8" w:rsidRDefault="002318A8" w14:paraId="2E55AF5F" w14:textId="77777777">
              <w:r>
                <w:t xml:space="preserve">De tot nu toe voorziene aantrekkende economie stimuleert de bedrijfsinvesteringen. Het aantal verleende bouwvergunningen en de woningverkopen wijzen op een groei van de investeringen van woningen. De overheidsinvesteringen nemen toe door investeringen in defensie en infrastructuur. </w:t>
              </w:r>
            </w:p>
            <w:p w:rsidR="002318A8" w:rsidP="002318A8" w:rsidRDefault="002318A8" w14:paraId="2835A8FA" w14:textId="77777777"/>
            <w:p w:rsidR="002318A8" w:rsidP="002318A8" w:rsidRDefault="002318A8" w14:paraId="2DA05404" w14:textId="77777777">
              <w:r>
                <w:lastRenderedPageBreak/>
                <w:t xml:space="preserve">In 2025 en 2026 koelt de spanning op de arbeidsmarkt af, maar deze blijft krap. De geraamde werkloosheid ligt met 3,8% en 4,0% iets hoger dan het afgelopen jaar. De werkgelegenheid groeit naar verwachting minder hard door de gestegen loonkosten. Ook de toename van het arbeidsaanbod vermindert doordat zowel de beroepsbevolking als de participatiegraad minder toenemen. Het aandeel van zelfstandigen in de beroepsbevolking vermindert doordat weer controle op schijnzelfstandigheid plaatsvindt. </w:t>
              </w:r>
            </w:p>
            <w:p w:rsidR="002318A8" w:rsidP="002318A8" w:rsidRDefault="002318A8" w14:paraId="7AC3E515" w14:textId="77777777">
              <w:pPr>
                <w:rPr>
                  <w:b/>
                  <w:bCs/>
                </w:rPr>
              </w:pPr>
            </w:p>
            <w:p w:rsidRPr="000B3981" w:rsidR="002318A8" w:rsidP="002318A8" w:rsidRDefault="002318A8" w14:paraId="48384958" w14:textId="77777777">
              <w:pPr>
                <w:rPr>
                  <w:b/>
                  <w:bCs/>
                </w:rPr>
              </w:pPr>
              <w:r>
                <w:t xml:space="preserve">In de CEP-raming blijven de lonen in 2025 en 2026 meer stijgen dan de prijzen, al neemt de reële loongroei wel af vergeleken met vorig jaar. De cao-lonen nemen toe door een vertraagde doorwerking van de hoge inflatie van 2022 en de huidige krappe arbeidsmarkt. Hogere lonen zijn op hun beurt weer een van de bronnen voor inflatie (“loon-prijs spiraal”). </w:t>
              </w:r>
            </w:p>
            <w:p w:rsidR="002318A8" w:rsidP="002318A8" w:rsidRDefault="002318A8" w14:paraId="32629268" w14:textId="77777777">
              <w:pPr>
                <w:rPr>
                  <w:b/>
                  <w:bCs/>
                </w:rPr>
              </w:pPr>
            </w:p>
            <w:p w:rsidR="002318A8" w:rsidP="002318A8" w:rsidRDefault="002318A8" w14:paraId="0A9766AB" w14:textId="77777777">
              <w:r>
                <w:t xml:space="preserve">Door de hogere reële lonen </w:t>
              </w:r>
              <w:r w:rsidRPr="000A6DB7">
                <w:t xml:space="preserve">neemt </w:t>
              </w:r>
              <w:r>
                <w:t xml:space="preserve">in dezelfde raming </w:t>
              </w:r>
              <w:r w:rsidRPr="000A6DB7">
                <w:t xml:space="preserve">de koopkracht in 2025 en 2026 </w:t>
              </w:r>
              <w:r>
                <w:t xml:space="preserve">over de hele linie </w:t>
              </w:r>
              <w:r w:rsidRPr="000A6DB7">
                <w:t>toe. Lastenverlichtingen in box 1 dragen bij aan de positieve koopkrachtontwikkeling voor werkenden</w:t>
              </w:r>
              <w:r>
                <w:t>, gepensioneerden</w:t>
              </w:r>
              <w:r w:rsidRPr="000A6DB7">
                <w:t xml:space="preserve"> en uitkeringsgerechtigden.</w:t>
              </w:r>
              <w:r>
                <w:t xml:space="preserve"> De koopkrachtontwikkeling van pensioengerechtigden blijft in 2025 wel achter omdat de pensioenindexatie lager is dan de inflatie. Voor 2026 is verondersteld dat pensioenfondsen die overgaan naar het nieuwe pensioenstelsel extra indexeren, zodat dan de koopkracht van de pensioengerechtigden niet achterblijft. Het armoedepercentage daalt volgens de CEP-raming in 2025 en 2026 licht, ook voor kinderen. </w:t>
              </w:r>
            </w:p>
            <w:p w:rsidR="002318A8" w:rsidP="002318A8" w:rsidRDefault="002318A8" w14:paraId="6D4A5B27" w14:textId="77777777">
              <w:pPr>
                <w:rPr>
                  <w:b/>
                  <w:bCs/>
                </w:rPr>
              </w:pPr>
            </w:p>
            <w:p w:rsidRPr="0004695C" w:rsidR="002318A8" w:rsidP="002318A8" w:rsidRDefault="002318A8" w14:paraId="5897C760" w14:textId="77777777">
              <w:pPr>
                <w:rPr>
                  <w:b/>
                  <w:bCs/>
                  <w:sz w:val="18"/>
                  <w:szCs w:val="18"/>
                </w:rPr>
              </w:pPr>
              <w:r w:rsidRPr="0004695C">
                <w:rPr>
                  <w:b/>
                  <w:bCs/>
                  <w:sz w:val="18"/>
                  <w:szCs w:val="18"/>
                </w:rPr>
                <w:t>Tabel 1: Kerngegevens macro-economische ontwikkelingen 2024-2026</w:t>
              </w:r>
            </w:p>
            <w:tbl>
              <w:tblPr>
                <w:tblW w:w="5000" w:type="pct"/>
                <w:tblCellMar>
                  <w:left w:w="70" w:type="dxa"/>
                  <w:right w:w="70" w:type="dxa"/>
                </w:tblCellMar>
                <w:tblLook w:val="04A0" w:firstRow="1" w:lastRow="0" w:firstColumn="1" w:lastColumn="0" w:noHBand="0" w:noVBand="1"/>
              </w:tblPr>
              <w:tblGrid>
                <w:gridCol w:w="4301"/>
                <w:gridCol w:w="981"/>
                <w:gridCol w:w="541"/>
                <w:gridCol w:w="647"/>
                <w:gridCol w:w="677"/>
                <w:gridCol w:w="679"/>
                <w:gridCol w:w="677"/>
              </w:tblGrid>
              <w:tr w:rsidRPr="003E6C64" w:rsidR="002318A8" w:rsidTr="0092291D" w14:paraId="1EDF2380" w14:textId="77777777">
                <w:trPr>
                  <w:trHeight w:val="258"/>
                </w:trPr>
                <w:tc>
                  <w:tcPr>
                    <w:tcW w:w="2322"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51C89068" w14:textId="77777777">
                    <w:pPr>
                      <w:rPr>
                        <w:rFonts w:cs="Arial"/>
                        <w:sz w:val="18"/>
                        <w:szCs w:val="18"/>
                      </w:rPr>
                    </w:pPr>
                    <w:r w:rsidRPr="003E6C64">
                      <w:rPr>
                        <w:rFonts w:cs="Arial"/>
                        <w:sz w:val="18"/>
                        <w:szCs w:val="18"/>
                      </w:rPr>
                      <w:t> </w:t>
                    </w:r>
                  </w:p>
                </w:tc>
                <w:tc>
                  <w:tcPr>
                    <w:tcW w:w="574"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1658BA27" w14:textId="77777777">
                    <w:pPr>
                      <w:rPr>
                        <w:rFonts w:cs="Arial"/>
                        <w:sz w:val="18"/>
                        <w:szCs w:val="18"/>
                      </w:rPr>
                    </w:pPr>
                    <w:r>
                      <w:rPr>
                        <w:rFonts w:cs="Arial"/>
                        <w:sz w:val="18"/>
                        <w:szCs w:val="18"/>
                      </w:rPr>
                      <w:t xml:space="preserve"> </w:t>
                    </w:r>
                    <w:r w:rsidRPr="003E6C64">
                      <w:rPr>
                        <w:rFonts w:cs="Arial"/>
                        <w:sz w:val="18"/>
                        <w:szCs w:val="18"/>
                      </w:rPr>
                      <w:t>CEP 2025</w:t>
                    </w:r>
                  </w:p>
                </w:tc>
                <w:tc>
                  <w:tcPr>
                    <w:tcW w:w="343"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64EA31DF" w14:textId="77777777">
                    <w:pPr>
                      <w:rPr>
                        <w:rFonts w:cs="Arial"/>
                        <w:sz w:val="18"/>
                        <w:szCs w:val="18"/>
                      </w:rPr>
                    </w:pPr>
                    <w:r w:rsidRPr="003E6C64">
                      <w:rPr>
                        <w:rFonts w:cs="Arial"/>
                        <w:sz w:val="18"/>
                        <w:szCs w:val="18"/>
                      </w:rPr>
                      <w:t> </w:t>
                    </w:r>
                  </w:p>
                </w:tc>
                <w:tc>
                  <w:tcPr>
                    <w:tcW w:w="440"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078831B3" w14:textId="77777777">
                    <w:pPr>
                      <w:rPr>
                        <w:rFonts w:cs="Arial"/>
                        <w:sz w:val="18"/>
                        <w:szCs w:val="18"/>
                      </w:rPr>
                    </w:pPr>
                    <w:r w:rsidRPr="003E6C64">
                      <w:rPr>
                        <w:rFonts w:cs="Arial"/>
                        <w:sz w:val="18"/>
                        <w:szCs w:val="18"/>
                      </w:rPr>
                      <w:t> </w:t>
                    </w:r>
                  </w:p>
                </w:tc>
                <w:tc>
                  <w:tcPr>
                    <w:tcW w:w="881" w:type="pct"/>
                    <w:gridSpan w:val="2"/>
                    <w:tcBorders>
                      <w:top w:val="single" w:color="auto" w:sz="12" w:space="0"/>
                      <w:left w:val="nil"/>
                      <w:bottom w:val="single" w:color="auto" w:sz="12" w:space="0"/>
                      <w:right w:val="nil"/>
                    </w:tcBorders>
                    <w:shd w:val="clear" w:color="000000" w:fill="D9D9D9"/>
                    <w:noWrap/>
                    <w:vAlign w:val="bottom"/>
                    <w:hideMark/>
                  </w:tcPr>
                  <w:p w:rsidRPr="003E6C64" w:rsidR="002318A8" w:rsidRDefault="002318A8" w14:paraId="0EE752E8" w14:textId="77777777">
                    <w:pPr>
                      <w:rPr>
                        <w:rFonts w:cs="Arial"/>
                        <w:sz w:val="18"/>
                        <w:szCs w:val="18"/>
                      </w:rPr>
                    </w:pPr>
                  </w:p>
                  <w:p w:rsidRPr="003E6C64" w:rsidR="002318A8" w:rsidRDefault="002318A8" w14:paraId="5B644E92" w14:textId="77777777">
                    <w:pPr>
                      <w:rPr>
                        <w:rFonts w:cs="Arial"/>
                        <w:sz w:val="18"/>
                        <w:szCs w:val="18"/>
                      </w:rPr>
                    </w:pPr>
                    <w:r>
                      <w:rPr>
                        <w:rFonts w:cs="Arial"/>
                        <w:sz w:val="18"/>
                        <w:szCs w:val="18"/>
                      </w:rPr>
                      <w:t>MEV 2025</w:t>
                    </w:r>
                    <w:r w:rsidRPr="003E6C64">
                      <w:rPr>
                        <w:rFonts w:cs="Arial"/>
                        <w:sz w:val="18"/>
                        <w:szCs w:val="18"/>
                      </w:rPr>
                      <w:t> </w:t>
                    </w:r>
                  </w:p>
                </w:tc>
                <w:tc>
                  <w:tcPr>
                    <w:tcW w:w="440" w:type="pct"/>
                    <w:tcBorders>
                      <w:top w:val="single" w:color="auto" w:sz="12" w:space="0"/>
                      <w:left w:val="nil"/>
                      <w:bottom w:val="single" w:color="auto" w:sz="12" w:space="0"/>
                      <w:right w:val="nil"/>
                    </w:tcBorders>
                    <w:shd w:val="clear" w:color="000000" w:fill="D9D9D9"/>
                    <w:noWrap/>
                    <w:vAlign w:val="bottom"/>
                    <w:hideMark/>
                  </w:tcPr>
                  <w:p w:rsidRPr="003E6C64" w:rsidR="002318A8" w:rsidRDefault="002318A8" w14:paraId="32270B09" w14:textId="77777777">
                    <w:pPr>
                      <w:rPr>
                        <w:rFonts w:cs="Arial"/>
                        <w:sz w:val="18"/>
                        <w:szCs w:val="18"/>
                      </w:rPr>
                    </w:pPr>
                    <w:r w:rsidRPr="003E6C64">
                      <w:rPr>
                        <w:rFonts w:cs="Arial"/>
                        <w:sz w:val="18"/>
                        <w:szCs w:val="18"/>
                      </w:rPr>
                      <w:t> </w:t>
                    </w:r>
                  </w:p>
                </w:tc>
              </w:tr>
              <w:tr w:rsidRPr="003E6C64" w:rsidR="002318A8" w:rsidTr="0092291D" w14:paraId="7C766344" w14:textId="77777777">
                <w:trPr>
                  <w:trHeight w:val="258"/>
                </w:trPr>
                <w:tc>
                  <w:tcPr>
                    <w:tcW w:w="2322" w:type="pct"/>
                    <w:tcBorders>
                      <w:top w:val="single" w:color="auto" w:sz="12" w:space="0"/>
                      <w:left w:val="nil"/>
                      <w:right w:val="nil"/>
                    </w:tcBorders>
                    <w:shd w:val="clear" w:color="auto" w:fill="auto"/>
                    <w:noWrap/>
                    <w:vAlign w:val="bottom"/>
                    <w:hideMark/>
                  </w:tcPr>
                  <w:p w:rsidRPr="003E6C64" w:rsidR="002318A8" w:rsidRDefault="002318A8" w14:paraId="7161A70F" w14:textId="77777777">
                    <w:pPr>
                      <w:rPr>
                        <w:rFonts w:cs="Arial"/>
                        <w:b/>
                        <w:bCs/>
                        <w:sz w:val="18"/>
                        <w:szCs w:val="18"/>
                      </w:rPr>
                    </w:pPr>
                    <w:r w:rsidRPr="003E6C64">
                      <w:rPr>
                        <w:rFonts w:cs="Arial"/>
                        <w:b/>
                        <w:bCs/>
                        <w:sz w:val="18"/>
                        <w:szCs w:val="18"/>
                      </w:rPr>
                      <w:t>Macro-economische kernindicatoren</w:t>
                    </w:r>
                    <w:r>
                      <w:rPr>
                        <w:rFonts w:cs="Arial"/>
                        <w:b/>
                        <w:bCs/>
                        <w:sz w:val="18"/>
                        <w:szCs w:val="18"/>
                      </w:rPr>
                      <w:t xml:space="preserve"> (groei in %)</w:t>
                    </w:r>
                  </w:p>
                </w:tc>
                <w:tc>
                  <w:tcPr>
                    <w:tcW w:w="574" w:type="pct"/>
                    <w:tcBorders>
                      <w:top w:val="single" w:color="auto" w:sz="12" w:space="0"/>
                      <w:left w:val="nil"/>
                      <w:right w:val="nil"/>
                    </w:tcBorders>
                    <w:shd w:val="clear" w:color="auto" w:fill="auto"/>
                    <w:noWrap/>
                    <w:vAlign w:val="bottom"/>
                    <w:hideMark/>
                  </w:tcPr>
                  <w:p w:rsidRPr="003E6C64" w:rsidR="002318A8" w:rsidRDefault="002318A8" w14:paraId="4A52E82E" w14:textId="77777777">
                    <w:pPr>
                      <w:rPr>
                        <w:rFonts w:cs="Arial"/>
                        <w:b/>
                        <w:bCs/>
                        <w:sz w:val="18"/>
                        <w:szCs w:val="18"/>
                      </w:rPr>
                    </w:pPr>
                  </w:p>
                </w:tc>
                <w:tc>
                  <w:tcPr>
                    <w:tcW w:w="343" w:type="pct"/>
                    <w:tcBorders>
                      <w:top w:val="single" w:color="auto" w:sz="12" w:space="0"/>
                      <w:left w:val="nil"/>
                      <w:right w:val="nil"/>
                    </w:tcBorders>
                    <w:shd w:val="clear" w:color="auto" w:fill="auto"/>
                    <w:noWrap/>
                    <w:vAlign w:val="bottom"/>
                    <w:hideMark/>
                  </w:tcPr>
                  <w:p w:rsidRPr="003E6C64" w:rsidR="002318A8" w:rsidRDefault="002318A8" w14:paraId="69A1FEC1" w14:textId="77777777">
                    <w:pPr>
                      <w:rPr>
                        <w:rFonts w:ascii="Times New Roman" w:hAnsi="Times New Roman"/>
                        <w:sz w:val="20"/>
                        <w:szCs w:val="20"/>
                      </w:rPr>
                    </w:pPr>
                  </w:p>
                </w:tc>
                <w:tc>
                  <w:tcPr>
                    <w:tcW w:w="440" w:type="pct"/>
                    <w:tcBorders>
                      <w:top w:val="single" w:color="auto" w:sz="12" w:space="0"/>
                      <w:left w:val="nil"/>
                      <w:right w:val="nil"/>
                    </w:tcBorders>
                    <w:shd w:val="clear" w:color="auto" w:fill="auto"/>
                    <w:noWrap/>
                    <w:vAlign w:val="bottom"/>
                    <w:hideMark/>
                  </w:tcPr>
                  <w:p w:rsidRPr="003E6C64" w:rsidR="002318A8" w:rsidRDefault="002318A8" w14:paraId="06B72E59" w14:textId="77777777">
                    <w:pPr>
                      <w:rPr>
                        <w:rFonts w:ascii="Times New Roman" w:hAnsi="Times New Roman"/>
                        <w:sz w:val="20"/>
                        <w:szCs w:val="20"/>
                      </w:rPr>
                    </w:pPr>
                  </w:p>
                </w:tc>
                <w:tc>
                  <w:tcPr>
                    <w:tcW w:w="440" w:type="pct"/>
                    <w:tcBorders>
                      <w:top w:val="single" w:color="auto" w:sz="12" w:space="0"/>
                      <w:left w:val="nil"/>
                      <w:right w:val="nil"/>
                    </w:tcBorders>
                    <w:shd w:val="clear" w:color="000000" w:fill="D9D9D9"/>
                    <w:noWrap/>
                    <w:vAlign w:val="bottom"/>
                    <w:hideMark/>
                  </w:tcPr>
                  <w:p w:rsidRPr="003E6C64" w:rsidR="002318A8" w:rsidRDefault="002318A8" w14:paraId="3C79C5F4" w14:textId="77777777">
                    <w:pPr>
                      <w:rPr>
                        <w:rFonts w:cs="Arial"/>
                        <w:sz w:val="18"/>
                        <w:szCs w:val="18"/>
                      </w:rPr>
                    </w:pPr>
                    <w:r w:rsidRPr="003E6C64">
                      <w:rPr>
                        <w:rFonts w:cs="Arial"/>
                        <w:sz w:val="18"/>
                        <w:szCs w:val="18"/>
                      </w:rPr>
                      <w:t> </w:t>
                    </w:r>
                  </w:p>
                </w:tc>
                <w:tc>
                  <w:tcPr>
                    <w:tcW w:w="440" w:type="pct"/>
                    <w:tcBorders>
                      <w:top w:val="single" w:color="auto" w:sz="12" w:space="0"/>
                      <w:left w:val="nil"/>
                      <w:right w:val="nil"/>
                    </w:tcBorders>
                    <w:shd w:val="clear" w:color="000000" w:fill="D9D9D9"/>
                    <w:noWrap/>
                    <w:vAlign w:val="bottom"/>
                    <w:hideMark/>
                  </w:tcPr>
                  <w:p w:rsidRPr="003E6C64" w:rsidR="002318A8" w:rsidRDefault="002318A8" w14:paraId="26ABEF45" w14:textId="77777777">
                    <w:pPr>
                      <w:rPr>
                        <w:rFonts w:cs="Arial"/>
                        <w:sz w:val="18"/>
                        <w:szCs w:val="18"/>
                      </w:rPr>
                    </w:pPr>
                    <w:r w:rsidRPr="003E6C64">
                      <w:rPr>
                        <w:rFonts w:cs="Arial"/>
                        <w:sz w:val="18"/>
                        <w:szCs w:val="18"/>
                      </w:rPr>
                      <w:t> </w:t>
                    </w:r>
                  </w:p>
                </w:tc>
                <w:tc>
                  <w:tcPr>
                    <w:tcW w:w="440" w:type="pct"/>
                    <w:tcBorders>
                      <w:top w:val="single" w:color="auto" w:sz="12" w:space="0"/>
                      <w:left w:val="nil"/>
                      <w:right w:val="nil"/>
                    </w:tcBorders>
                    <w:shd w:val="clear" w:color="000000" w:fill="D9D9D9"/>
                    <w:noWrap/>
                    <w:vAlign w:val="bottom"/>
                    <w:hideMark/>
                  </w:tcPr>
                  <w:p w:rsidRPr="003E6C64" w:rsidR="002318A8" w:rsidRDefault="002318A8" w14:paraId="2D06E470" w14:textId="77777777">
                    <w:pPr>
                      <w:rPr>
                        <w:rFonts w:cs="Arial"/>
                        <w:sz w:val="18"/>
                        <w:szCs w:val="18"/>
                      </w:rPr>
                    </w:pPr>
                    <w:r w:rsidRPr="003E6C64">
                      <w:rPr>
                        <w:rFonts w:cs="Arial"/>
                        <w:sz w:val="18"/>
                        <w:szCs w:val="18"/>
                      </w:rPr>
                      <w:t> </w:t>
                    </w:r>
                  </w:p>
                </w:tc>
              </w:tr>
              <w:tr w:rsidRPr="003E6C64" w:rsidR="002318A8" w:rsidTr="0092291D" w14:paraId="3C4E4571" w14:textId="77777777">
                <w:trPr>
                  <w:trHeight w:val="258"/>
                </w:trPr>
                <w:tc>
                  <w:tcPr>
                    <w:tcW w:w="2322" w:type="pct"/>
                    <w:tcBorders>
                      <w:top w:val="nil"/>
                      <w:left w:val="nil"/>
                      <w:bottom w:val="single" w:color="auto" w:sz="4" w:space="0"/>
                      <w:right w:val="nil"/>
                    </w:tcBorders>
                    <w:shd w:val="clear" w:color="auto" w:fill="auto"/>
                    <w:noWrap/>
                    <w:vAlign w:val="bottom"/>
                    <w:hideMark/>
                  </w:tcPr>
                  <w:p w:rsidRPr="003E6C64" w:rsidR="002318A8" w:rsidRDefault="002318A8" w14:paraId="64CB2BF3" w14:textId="77777777">
                    <w:pPr>
                      <w:rPr>
                        <w:rFonts w:cs="Arial"/>
                        <w:sz w:val="18"/>
                        <w:szCs w:val="18"/>
                      </w:rPr>
                    </w:pPr>
                  </w:p>
                </w:tc>
                <w:tc>
                  <w:tcPr>
                    <w:tcW w:w="574" w:type="pct"/>
                    <w:tcBorders>
                      <w:top w:val="nil"/>
                      <w:left w:val="nil"/>
                      <w:bottom w:val="single" w:color="auto" w:sz="4" w:space="0"/>
                      <w:right w:val="nil"/>
                    </w:tcBorders>
                    <w:shd w:val="clear" w:color="auto" w:fill="auto"/>
                    <w:noWrap/>
                    <w:vAlign w:val="bottom"/>
                    <w:hideMark/>
                  </w:tcPr>
                  <w:p w:rsidRPr="00AA1448" w:rsidR="002318A8" w:rsidRDefault="002318A8" w14:paraId="6161FA0B" w14:textId="77777777">
                    <w:pPr>
                      <w:jc w:val="right"/>
                      <w:rPr>
                        <w:rFonts w:cs="Arial"/>
                        <w:b/>
                        <w:bCs/>
                        <w:sz w:val="18"/>
                        <w:szCs w:val="18"/>
                      </w:rPr>
                    </w:pPr>
                    <w:r w:rsidRPr="00AA1448">
                      <w:rPr>
                        <w:rFonts w:cs="Arial"/>
                        <w:b/>
                        <w:bCs/>
                        <w:sz w:val="18"/>
                        <w:szCs w:val="18"/>
                      </w:rPr>
                      <w:t>2024</w:t>
                    </w:r>
                  </w:p>
                </w:tc>
                <w:tc>
                  <w:tcPr>
                    <w:tcW w:w="343" w:type="pct"/>
                    <w:tcBorders>
                      <w:top w:val="nil"/>
                      <w:left w:val="nil"/>
                      <w:bottom w:val="single" w:color="auto" w:sz="4" w:space="0"/>
                      <w:right w:val="nil"/>
                    </w:tcBorders>
                    <w:shd w:val="clear" w:color="auto" w:fill="auto"/>
                    <w:noWrap/>
                    <w:vAlign w:val="bottom"/>
                    <w:hideMark/>
                  </w:tcPr>
                  <w:p w:rsidRPr="00AA1448" w:rsidR="002318A8" w:rsidRDefault="002318A8" w14:paraId="06C26000" w14:textId="77777777">
                    <w:pPr>
                      <w:jc w:val="right"/>
                      <w:rPr>
                        <w:rFonts w:cs="Arial"/>
                        <w:b/>
                        <w:bCs/>
                        <w:sz w:val="18"/>
                        <w:szCs w:val="18"/>
                      </w:rPr>
                    </w:pPr>
                    <w:r w:rsidRPr="00AA1448">
                      <w:rPr>
                        <w:rFonts w:cs="Arial"/>
                        <w:b/>
                        <w:bCs/>
                        <w:sz w:val="18"/>
                        <w:szCs w:val="18"/>
                      </w:rPr>
                      <w:t>2025</w:t>
                    </w:r>
                  </w:p>
                </w:tc>
                <w:tc>
                  <w:tcPr>
                    <w:tcW w:w="440" w:type="pct"/>
                    <w:tcBorders>
                      <w:top w:val="nil"/>
                      <w:left w:val="nil"/>
                      <w:bottom w:val="single" w:color="auto" w:sz="4" w:space="0"/>
                      <w:right w:val="nil"/>
                    </w:tcBorders>
                    <w:shd w:val="clear" w:color="auto" w:fill="auto"/>
                    <w:noWrap/>
                    <w:vAlign w:val="bottom"/>
                    <w:hideMark/>
                  </w:tcPr>
                  <w:p w:rsidRPr="00AA1448" w:rsidR="002318A8" w:rsidRDefault="002318A8" w14:paraId="69E997F8" w14:textId="77777777">
                    <w:pPr>
                      <w:jc w:val="right"/>
                      <w:rPr>
                        <w:rFonts w:cs="Arial"/>
                        <w:b/>
                        <w:bCs/>
                        <w:sz w:val="18"/>
                        <w:szCs w:val="18"/>
                      </w:rPr>
                    </w:pPr>
                    <w:r w:rsidRPr="00AA1448">
                      <w:rPr>
                        <w:rFonts w:cs="Arial"/>
                        <w:b/>
                        <w:bCs/>
                        <w:sz w:val="18"/>
                        <w:szCs w:val="18"/>
                      </w:rPr>
                      <w:t>2026</w:t>
                    </w:r>
                  </w:p>
                </w:tc>
                <w:tc>
                  <w:tcPr>
                    <w:tcW w:w="440" w:type="pct"/>
                    <w:tcBorders>
                      <w:top w:val="nil"/>
                      <w:left w:val="nil"/>
                      <w:bottom w:val="single" w:color="auto" w:sz="4" w:space="0"/>
                      <w:right w:val="nil"/>
                    </w:tcBorders>
                    <w:shd w:val="clear" w:color="000000" w:fill="D9D9D9"/>
                    <w:noWrap/>
                    <w:vAlign w:val="bottom"/>
                    <w:hideMark/>
                  </w:tcPr>
                  <w:p w:rsidRPr="00AA1448" w:rsidR="002318A8" w:rsidRDefault="002318A8" w14:paraId="4177F93C" w14:textId="77777777">
                    <w:pPr>
                      <w:jc w:val="right"/>
                      <w:rPr>
                        <w:rFonts w:cs="Arial"/>
                        <w:b/>
                        <w:bCs/>
                        <w:sz w:val="18"/>
                        <w:szCs w:val="18"/>
                      </w:rPr>
                    </w:pPr>
                    <w:r w:rsidRPr="00AA1448">
                      <w:rPr>
                        <w:rFonts w:cs="Arial"/>
                        <w:b/>
                        <w:bCs/>
                        <w:sz w:val="18"/>
                        <w:szCs w:val="18"/>
                      </w:rPr>
                      <w:t>2024</w:t>
                    </w:r>
                  </w:p>
                </w:tc>
                <w:tc>
                  <w:tcPr>
                    <w:tcW w:w="440" w:type="pct"/>
                    <w:tcBorders>
                      <w:top w:val="nil"/>
                      <w:left w:val="nil"/>
                      <w:bottom w:val="single" w:color="auto" w:sz="4" w:space="0"/>
                      <w:right w:val="nil"/>
                    </w:tcBorders>
                    <w:shd w:val="clear" w:color="000000" w:fill="D9D9D9"/>
                    <w:noWrap/>
                    <w:vAlign w:val="bottom"/>
                    <w:hideMark/>
                  </w:tcPr>
                  <w:p w:rsidRPr="00AA1448" w:rsidR="002318A8" w:rsidRDefault="002318A8" w14:paraId="32A13B1B" w14:textId="77777777">
                    <w:pPr>
                      <w:jc w:val="right"/>
                      <w:rPr>
                        <w:rFonts w:cs="Arial"/>
                        <w:b/>
                        <w:bCs/>
                        <w:sz w:val="18"/>
                        <w:szCs w:val="18"/>
                      </w:rPr>
                    </w:pPr>
                    <w:r w:rsidRPr="00AA1448">
                      <w:rPr>
                        <w:rFonts w:cs="Arial"/>
                        <w:b/>
                        <w:bCs/>
                        <w:sz w:val="18"/>
                        <w:szCs w:val="18"/>
                      </w:rPr>
                      <w:t>2025</w:t>
                    </w:r>
                  </w:p>
                </w:tc>
                <w:tc>
                  <w:tcPr>
                    <w:tcW w:w="440" w:type="pct"/>
                    <w:tcBorders>
                      <w:top w:val="nil"/>
                      <w:left w:val="nil"/>
                      <w:bottom w:val="single" w:color="auto" w:sz="4" w:space="0"/>
                      <w:right w:val="nil"/>
                    </w:tcBorders>
                    <w:shd w:val="clear" w:color="000000" w:fill="D9D9D9"/>
                    <w:noWrap/>
                    <w:vAlign w:val="bottom"/>
                    <w:hideMark/>
                  </w:tcPr>
                  <w:p w:rsidRPr="00AA1448" w:rsidR="002318A8" w:rsidRDefault="002318A8" w14:paraId="6E653925" w14:textId="77777777">
                    <w:pPr>
                      <w:jc w:val="right"/>
                      <w:rPr>
                        <w:rFonts w:cs="Arial"/>
                        <w:b/>
                        <w:bCs/>
                        <w:sz w:val="18"/>
                        <w:szCs w:val="18"/>
                      </w:rPr>
                    </w:pPr>
                    <w:r w:rsidRPr="00AA1448">
                      <w:rPr>
                        <w:rFonts w:cs="Arial"/>
                        <w:b/>
                        <w:bCs/>
                        <w:sz w:val="18"/>
                        <w:szCs w:val="18"/>
                      </w:rPr>
                      <w:t>2026</w:t>
                    </w:r>
                  </w:p>
                </w:tc>
              </w:tr>
              <w:tr w:rsidRPr="003E6C64" w:rsidR="002318A8" w:rsidTr="0092291D" w14:paraId="425FEBC0" w14:textId="77777777">
                <w:trPr>
                  <w:trHeight w:val="258"/>
                </w:trPr>
                <w:tc>
                  <w:tcPr>
                    <w:tcW w:w="2322" w:type="pct"/>
                    <w:tcBorders>
                      <w:top w:val="single" w:color="auto" w:sz="4" w:space="0"/>
                      <w:left w:val="nil"/>
                      <w:bottom w:val="nil"/>
                      <w:right w:val="nil"/>
                    </w:tcBorders>
                    <w:shd w:val="clear" w:color="auto" w:fill="auto"/>
                    <w:noWrap/>
                    <w:vAlign w:val="bottom"/>
                    <w:hideMark/>
                  </w:tcPr>
                  <w:p w:rsidRPr="003E6C64" w:rsidR="002318A8" w:rsidRDefault="002318A8" w14:paraId="21CAC36A" w14:textId="77777777">
                    <w:pPr>
                      <w:jc w:val="right"/>
                      <w:rPr>
                        <w:rFonts w:cs="Arial"/>
                        <w:sz w:val="18"/>
                        <w:szCs w:val="18"/>
                      </w:rPr>
                    </w:pPr>
                  </w:p>
                </w:tc>
                <w:tc>
                  <w:tcPr>
                    <w:tcW w:w="574" w:type="pct"/>
                    <w:tcBorders>
                      <w:top w:val="single" w:color="auto" w:sz="4" w:space="0"/>
                      <w:left w:val="nil"/>
                      <w:bottom w:val="nil"/>
                      <w:right w:val="nil"/>
                    </w:tcBorders>
                    <w:shd w:val="clear" w:color="auto" w:fill="auto"/>
                    <w:noWrap/>
                    <w:vAlign w:val="bottom"/>
                    <w:hideMark/>
                  </w:tcPr>
                  <w:p w:rsidRPr="003E6C64" w:rsidR="002318A8" w:rsidRDefault="002318A8" w14:paraId="7AB7784B" w14:textId="77777777">
                    <w:pPr>
                      <w:rPr>
                        <w:rFonts w:cs="Arial"/>
                        <w:sz w:val="18"/>
                        <w:szCs w:val="18"/>
                      </w:rPr>
                    </w:pPr>
                  </w:p>
                </w:tc>
                <w:tc>
                  <w:tcPr>
                    <w:tcW w:w="343" w:type="pct"/>
                    <w:tcBorders>
                      <w:top w:val="single" w:color="auto" w:sz="4" w:space="0"/>
                      <w:left w:val="nil"/>
                      <w:bottom w:val="nil"/>
                      <w:right w:val="nil"/>
                    </w:tcBorders>
                    <w:shd w:val="clear" w:color="auto" w:fill="auto"/>
                    <w:noWrap/>
                    <w:vAlign w:val="bottom"/>
                    <w:hideMark/>
                  </w:tcPr>
                  <w:p w:rsidRPr="003E6C64" w:rsidR="002318A8" w:rsidRDefault="002318A8" w14:paraId="6B8EDDB0" w14:textId="77777777">
                    <w:pPr>
                      <w:rPr>
                        <w:rFonts w:cs="Arial"/>
                        <w:sz w:val="18"/>
                        <w:szCs w:val="18"/>
                      </w:rPr>
                    </w:pPr>
                  </w:p>
                </w:tc>
                <w:tc>
                  <w:tcPr>
                    <w:tcW w:w="440" w:type="pct"/>
                    <w:tcBorders>
                      <w:top w:val="single" w:color="auto" w:sz="4" w:space="0"/>
                      <w:left w:val="nil"/>
                      <w:bottom w:val="nil"/>
                      <w:right w:val="nil"/>
                    </w:tcBorders>
                    <w:shd w:val="clear" w:color="auto" w:fill="auto"/>
                    <w:noWrap/>
                    <w:vAlign w:val="bottom"/>
                    <w:hideMark/>
                  </w:tcPr>
                  <w:p w:rsidRPr="003E6C64" w:rsidR="002318A8" w:rsidRDefault="002318A8" w14:paraId="62DBA04C" w14:textId="77777777">
                    <w:pPr>
                      <w:rPr>
                        <w:rFonts w:ascii="Times New Roman" w:hAnsi="Times New Roman"/>
                        <w:sz w:val="20"/>
                        <w:szCs w:val="20"/>
                      </w:rPr>
                    </w:pPr>
                  </w:p>
                </w:tc>
                <w:tc>
                  <w:tcPr>
                    <w:tcW w:w="440" w:type="pct"/>
                    <w:tcBorders>
                      <w:top w:val="single" w:color="auto" w:sz="4" w:space="0"/>
                      <w:left w:val="nil"/>
                      <w:bottom w:val="nil"/>
                      <w:right w:val="nil"/>
                    </w:tcBorders>
                    <w:shd w:val="clear" w:color="000000" w:fill="D9D9D9"/>
                    <w:noWrap/>
                    <w:vAlign w:val="bottom"/>
                    <w:hideMark/>
                  </w:tcPr>
                  <w:p w:rsidRPr="003E6C64" w:rsidR="002318A8" w:rsidRDefault="002318A8" w14:paraId="1EA16B16" w14:textId="77777777">
                    <w:pPr>
                      <w:rPr>
                        <w:rFonts w:cs="Arial"/>
                        <w:sz w:val="18"/>
                        <w:szCs w:val="18"/>
                      </w:rPr>
                    </w:pPr>
                    <w:r w:rsidRPr="003E6C64">
                      <w:rPr>
                        <w:rFonts w:cs="Arial"/>
                        <w:sz w:val="18"/>
                        <w:szCs w:val="18"/>
                      </w:rPr>
                      <w:t> </w:t>
                    </w:r>
                  </w:p>
                </w:tc>
                <w:tc>
                  <w:tcPr>
                    <w:tcW w:w="440" w:type="pct"/>
                    <w:tcBorders>
                      <w:top w:val="single" w:color="auto" w:sz="4" w:space="0"/>
                      <w:left w:val="nil"/>
                      <w:bottom w:val="nil"/>
                      <w:right w:val="nil"/>
                    </w:tcBorders>
                    <w:shd w:val="clear" w:color="000000" w:fill="D9D9D9"/>
                    <w:noWrap/>
                    <w:vAlign w:val="bottom"/>
                    <w:hideMark/>
                  </w:tcPr>
                  <w:p w:rsidRPr="003E6C64" w:rsidR="002318A8" w:rsidRDefault="002318A8" w14:paraId="3195FEEA" w14:textId="77777777">
                    <w:pPr>
                      <w:rPr>
                        <w:rFonts w:cs="Arial"/>
                        <w:sz w:val="18"/>
                        <w:szCs w:val="18"/>
                      </w:rPr>
                    </w:pPr>
                    <w:r w:rsidRPr="003E6C64">
                      <w:rPr>
                        <w:rFonts w:cs="Arial"/>
                        <w:sz w:val="18"/>
                        <w:szCs w:val="18"/>
                      </w:rPr>
                      <w:t> </w:t>
                    </w:r>
                  </w:p>
                </w:tc>
                <w:tc>
                  <w:tcPr>
                    <w:tcW w:w="440" w:type="pct"/>
                    <w:tcBorders>
                      <w:top w:val="single" w:color="auto" w:sz="4" w:space="0"/>
                      <w:left w:val="nil"/>
                      <w:bottom w:val="nil"/>
                      <w:right w:val="nil"/>
                    </w:tcBorders>
                    <w:shd w:val="clear" w:color="000000" w:fill="D9D9D9"/>
                    <w:noWrap/>
                    <w:vAlign w:val="bottom"/>
                    <w:hideMark/>
                  </w:tcPr>
                  <w:p w:rsidRPr="003E6C64" w:rsidR="002318A8" w:rsidRDefault="002318A8" w14:paraId="62611B44" w14:textId="77777777">
                    <w:pPr>
                      <w:rPr>
                        <w:rFonts w:cs="Arial"/>
                        <w:sz w:val="18"/>
                        <w:szCs w:val="18"/>
                      </w:rPr>
                    </w:pPr>
                    <w:r w:rsidRPr="003E6C64">
                      <w:rPr>
                        <w:rFonts w:cs="Arial"/>
                        <w:sz w:val="18"/>
                        <w:szCs w:val="18"/>
                      </w:rPr>
                      <w:t> </w:t>
                    </w:r>
                  </w:p>
                </w:tc>
              </w:tr>
              <w:tr w:rsidRPr="003E6C64" w:rsidR="002318A8" w:rsidTr="0092291D" w14:paraId="28F99E1F"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74E3FBBD" w14:textId="77777777">
                    <w:pPr>
                      <w:rPr>
                        <w:rFonts w:cs="Arial"/>
                        <w:sz w:val="18"/>
                        <w:szCs w:val="18"/>
                      </w:rPr>
                    </w:pPr>
                    <w:r w:rsidRPr="003E6C64">
                      <w:rPr>
                        <w:rFonts w:cs="Arial"/>
                        <w:sz w:val="18"/>
                        <w:szCs w:val="18"/>
                      </w:rPr>
                      <w:t>Bruto binnenlands product (bbp)</w:t>
                    </w:r>
                  </w:p>
                </w:tc>
                <w:tc>
                  <w:tcPr>
                    <w:tcW w:w="574" w:type="pct"/>
                    <w:tcBorders>
                      <w:top w:val="nil"/>
                      <w:left w:val="nil"/>
                      <w:bottom w:val="nil"/>
                      <w:right w:val="nil"/>
                    </w:tcBorders>
                    <w:shd w:val="clear" w:color="auto" w:fill="auto"/>
                    <w:noWrap/>
                    <w:vAlign w:val="bottom"/>
                    <w:hideMark/>
                  </w:tcPr>
                  <w:p w:rsidRPr="003E6C64" w:rsidR="002318A8" w:rsidRDefault="002318A8" w14:paraId="693D7D71" w14:textId="77777777">
                    <w:pPr>
                      <w:jc w:val="right"/>
                      <w:rPr>
                        <w:rFonts w:cs="Arial"/>
                        <w:sz w:val="18"/>
                        <w:szCs w:val="18"/>
                      </w:rPr>
                    </w:pPr>
                    <w:r w:rsidRPr="003E6C64">
                      <w:rPr>
                        <w:rFonts w:cs="Arial"/>
                        <w:sz w:val="18"/>
                        <w:szCs w:val="18"/>
                      </w:rPr>
                      <w:t>0,9</w:t>
                    </w:r>
                  </w:p>
                </w:tc>
                <w:tc>
                  <w:tcPr>
                    <w:tcW w:w="343" w:type="pct"/>
                    <w:tcBorders>
                      <w:top w:val="nil"/>
                      <w:left w:val="nil"/>
                      <w:bottom w:val="nil"/>
                      <w:right w:val="nil"/>
                    </w:tcBorders>
                    <w:shd w:val="clear" w:color="auto" w:fill="auto"/>
                    <w:noWrap/>
                    <w:vAlign w:val="bottom"/>
                    <w:hideMark/>
                  </w:tcPr>
                  <w:p w:rsidRPr="003E6C64" w:rsidR="002318A8" w:rsidRDefault="002318A8" w14:paraId="77023496" w14:textId="77777777">
                    <w:pPr>
                      <w:jc w:val="right"/>
                      <w:rPr>
                        <w:rFonts w:cs="Arial"/>
                        <w:sz w:val="18"/>
                        <w:szCs w:val="18"/>
                      </w:rPr>
                    </w:pPr>
                    <w:r w:rsidRPr="003E6C64">
                      <w:rPr>
                        <w:rFonts w:cs="Arial"/>
                        <w:sz w:val="18"/>
                        <w:szCs w:val="18"/>
                      </w:rPr>
                      <w:t>1,9</w:t>
                    </w:r>
                  </w:p>
                </w:tc>
                <w:tc>
                  <w:tcPr>
                    <w:tcW w:w="440" w:type="pct"/>
                    <w:tcBorders>
                      <w:top w:val="nil"/>
                      <w:left w:val="nil"/>
                      <w:bottom w:val="nil"/>
                      <w:right w:val="nil"/>
                    </w:tcBorders>
                    <w:shd w:val="clear" w:color="auto" w:fill="auto"/>
                    <w:noWrap/>
                    <w:vAlign w:val="bottom"/>
                    <w:hideMark/>
                  </w:tcPr>
                  <w:p w:rsidRPr="003E6C64" w:rsidR="002318A8" w:rsidRDefault="002318A8" w14:paraId="2AA844D9" w14:textId="77777777">
                    <w:pPr>
                      <w:jc w:val="right"/>
                      <w:rPr>
                        <w:rFonts w:cs="Arial"/>
                        <w:sz w:val="18"/>
                        <w:szCs w:val="18"/>
                      </w:rPr>
                    </w:pPr>
                    <w:r w:rsidRPr="003E6C64">
                      <w:rPr>
                        <w:rFonts w:cs="Arial"/>
                        <w:sz w:val="18"/>
                        <w:szCs w:val="18"/>
                      </w:rPr>
                      <w:t>1,5</w:t>
                    </w:r>
                  </w:p>
                </w:tc>
                <w:tc>
                  <w:tcPr>
                    <w:tcW w:w="440" w:type="pct"/>
                    <w:tcBorders>
                      <w:top w:val="nil"/>
                      <w:left w:val="nil"/>
                      <w:bottom w:val="nil"/>
                      <w:right w:val="nil"/>
                    </w:tcBorders>
                    <w:shd w:val="clear" w:color="000000" w:fill="D9D9D9"/>
                    <w:noWrap/>
                    <w:vAlign w:val="bottom"/>
                    <w:hideMark/>
                  </w:tcPr>
                  <w:p w:rsidRPr="003E6C64" w:rsidR="002318A8" w:rsidRDefault="002318A8" w14:paraId="1465F11B" w14:textId="77777777">
                    <w:pPr>
                      <w:jc w:val="right"/>
                      <w:rPr>
                        <w:rFonts w:cs="Arial"/>
                        <w:sz w:val="18"/>
                        <w:szCs w:val="18"/>
                      </w:rPr>
                    </w:pPr>
                    <w:r w:rsidRPr="003E6C64">
                      <w:rPr>
                        <w:rFonts w:cs="Arial"/>
                        <w:sz w:val="18"/>
                        <w:szCs w:val="18"/>
                      </w:rPr>
                      <w:t>0,6</w:t>
                    </w:r>
                  </w:p>
                </w:tc>
                <w:tc>
                  <w:tcPr>
                    <w:tcW w:w="440" w:type="pct"/>
                    <w:tcBorders>
                      <w:top w:val="nil"/>
                      <w:left w:val="nil"/>
                      <w:bottom w:val="nil"/>
                      <w:right w:val="nil"/>
                    </w:tcBorders>
                    <w:shd w:val="clear" w:color="000000" w:fill="D9D9D9"/>
                    <w:noWrap/>
                    <w:vAlign w:val="bottom"/>
                    <w:hideMark/>
                  </w:tcPr>
                  <w:p w:rsidRPr="003E6C64" w:rsidR="002318A8" w:rsidRDefault="002318A8" w14:paraId="25DF5C19" w14:textId="77777777">
                    <w:pPr>
                      <w:jc w:val="right"/>
                      <w:rPr>
                        <w:rFonts w:cs="Arial"/>
                        <w:sz w:val="18"/>
                        <w:szCs w:val="18"/>
                      </w:rPr>
                    </w:pPr>
                    <w:r w:rsidRPr="003E6C64">
                      <w:rPr>
                        <w:rFonts w:cs="Arial"/>
                        <w:sz w:val="18"/>
                        <w:szCs w:val="18"/>
                      </w:rPr>
                      <w:t>1,5</w:t>
                    </w:r>
                  </w:p>
                </w:tc>
                <w:tc>
                  <w:tcPr>
                    <w:tcW w:w="440" w:type="pct"/>
                    <w:tcBorders>
                      <w:top w:val="nil"/>
                      <w:left w:val="nil"/>
                      <w:bottom w:val="nil"/>
                      <w:right w:val="nil"/>
                    </w:tcBorders>
                    <w:shd w:val="clear" w:color="000000" w:fill="D9D9D9"/>
                    <w:noWrap/>
                    <w:vAlign w:val="bottom"/>
                    <w:hideMark/>
                  </w:tcPr>
                  <w:p w:rsidRPr="003E6C64" w:rsidR="002318A8" w:rsidRDefault="002318A8" w14:paraId="04DCE2E8" w14:textId="77777777">
                    <w:pPr>
                      <w:jc w:val="right"/>
                      <w:rPr>
                        <w:rFonts w:cs="Arial"/>
                        <w:sz w:val="18"/>
                        <w:szCs w:val="18"/>
                      </w:rPr>
                    </w:pPr>
                    <w:r w:rsidRPr="003E6C64">
                      <w:rPr>
                        <w:rFonts w:cs="Arial"/>
                        <w:sz w:val="18"/>
                        <w:szCs w:val="18"/>
                      </w:rPr>
                      <w:t>1,5</w:t>
                    </w:r>
                  </w:p>
                </w:tc>
              </w:tr>
              <w:tr w:rsidRPr="003E6C64" w:rsidR="002318A8" w:rsidTr="0092291D" w14:paraId="244D3C13"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B33DBD0" w14:textId="77777777">
                    <w:pPr>
                      <w:rPr>
                        <w:rFonts w:cs="Arial"/>
                        <w:sz w:val="18"/>
                        <w:szCs w:val="18"/>
                      </w:rPr>
                    </w:pPr>
                    <w:r w:rsidRPr="003E6C64">
                      <w:rPr>
                        <w:rFonts w:cs="Arial"/>
                        <w:sz w:val="18"/>
                        <w:szCs w:val="18"/>
                      </w:rPr>
                      <w:t>Consumptie huishoudens</w:t>
                    </w:r>
                  </w:p>
                </w:tc>
                <w:tc>
                  <w:tcPr>
                    <w:tcW w:w="574" w:type="pct"/>
                    <w:tcBorders>
                      <w:top w:val="nil"/>
                      <w:left w:val="nil"/>
                      <w:bottom w:val="nil"/>
                      <w:right w:val="nil"/>
                    </w:tcBorders>
                    <w:shd w:val="clear" w:color="auto" w:fill="auto"/>
                    <w:noWrap/>
                    <w:vAlign w:val="bottom"/>
                    <w:hideMark/>
                  </w:tcPr>
                  <w:p w:rsidRPr="003E6C64" w:rsidR="002318A8" w:rsidRDefault="002318A8" w14:paraId="5F847827" w14:textId="77777777">
                    <w:pPr>
                      <w:jc w:val="right"/>
                      <w:rPr>
                        <w:rFonts w:cs="Arial"/>
                        <w:sz w:val="18"/>
                        <w:szCs w:val="18"/>
                      </w:rPr>
                    </w:pPr>
                    <w:r w:rsidRPr="003E6C64">
                      <w:rPr>
                        <w:rFonts w:cs="Arial"/>
                        <w:sz w:val="18"/>
                        <w:szCs w:val="18"/>
                      </w:rPr>
                      <w:t>1</w:t>
                    </w:r>
                    <w:r>
                      <w:rPr>
                        <w:rFonts w:cs="Arial"/>
                        <w:sz w:val="18"/>
                        <w:szCs w:val="18"/>
                      </w:rPr>
                      <w:t>,0</w:t>
                    </w:r>
                  </w:p>
                </w:tc>
                <w:tc>
                  <w:tcPr>
                    <w:tcW w:w="343" w:type="pct"/>
                    <w:tcBorders>
                      <w:top w:val="nil"/>
                      <w:left w:val="nil"/>
                      <w:bottom w:val="nil"/>
                      <w:right w:val="nil"/>
                    </w:tcBorders>
                    <w:shd w:val="clear" w:color="auto" w:fill="auto"/>
                    <w:noWrap/>
                    <w:vAlign w:val="bottom"/>
                    <w:hideMark/>
                  </w:tcPr>
                  <w:p w:rsidRPr="003E6C64" w:rsidR="002318A8" w:rsidRDefault="002318A8" w14:paraId="780255D8" w14:textId="77777777">
                    <w:pPr>
                      <w:jc w:val="right"/>
                      <w:rPr>
                        <w:rFonts w:cs="Arial"/>
                        <w:sz w:val="18"/>
                        <w:szCs w:val="18"/>
                      </w:rPr>
                    </w:pPr>
                    <w:r w:rsidRPr="003E6C64">
                      <w:rPr>
                        <w:rFonts w:cs="Arial"/>
                        <w:sz w:val="18"/>
                        <w:szCs w:val="18"/>
                      </w:rPr>
                      <w:t>2,6</w:t>
                    </w:r>
                  </w:p>
                </w:tc>
                <w:tc>
                  <w:tcPr>
                    <w:tcW w:w="440" w:type="pct"/>
                    <w:tcBorders>
                      <w:top w:val="nil"/>
                      <w:left w:val="nil"/>
                      <w:bottom w:val="nil"/>
                      <w:right w:val="nil"/>
                    </w:tcBorders>
                    <w:shd w:val="clear" w:color="auto" w:fill="auto"/>
                    <w:noWrap/>
                    <w:vAlign w:val="bottom"/>
                    <w:hideMark/>
                  </w:tcPr>
                  <w:p w:rsidRPr="003E6C64" w:rsidR="002318A8" w:rsidRDefault="002318A8" w14:paraId="0CA42BF8" w14:textId="77777777">
                    <w:pPr>
                      <w:jc w:val="right"/>
                      <w:rPr>
                        <w:rFonts w:cs="Arial"/>
                        <w:sz w:val="18"/>
                        <w:szCs w:val="18"/>
                      </w:rPr>
                    </w:pPr>
                    <w:r w:rsidRPr="003E6C64">
                      <w:rPr>
                        <w:rFonts w:cs="Arial"/>
                        <w:sz w:val="18"/>
                        <w:szCs w:val="18"/>
                      </w:rPr>
                      <w:t>2,4</w:t>
                    </w:r>
                  </w:p>
                </w:tc>
                <w:tc>
                  <w:tcPr>
                    <w:tcW w:w="440" w:type="pct"/>
                    <w:tcBorders>
                      <w:top w:val="nil"/>
                      <w:left w:val="nil"/>
                      <w:bottom w:val="nil"/>
                      <w:right w:val="nil"/>
                    </w:tcBorders>
                    <w:shd w:val="clear" w:color="000000" w:fill="D9D9D9"/>
                    <w:noWrap/>
                    <w:vAlign w:val="bottom"/>
                    <w:hideMark/>
                  </w:tcPr>
                  <w:p w:rsidRPr="003E6C64" w:rsidR="002318A8" w:rsidRDefault="002318A8" w14:paraId="11377D2C" w14:textId="77777777">
                    <w:pPr>
                      <w:jc w:val="right"/>
                      <w:rPr>
                        <w:rFonts w:cs="Arial"/>
                        <w:sz w:val="18"/>
                        <w:szCs w:val="18"/>
                      </w:rPr>
                    </w:pPr>
                    <w:r w:rsidRPr="003E6C64">
                      <w:rPr>
                        <w:rFonts w:cs="Arial"/>
                        <w:sz w:val="18"/>
                        <w:szCs w:val="18"/>
                      </w:rPr>
                      <w:t>0,7</w:t>
                    </w:r>
                  </w:p>
                </w:tc>
                <w:tc>
                  <w:tcPr>
                    <w:tcW w:w="440" w:type="pct"/>
                    <w:tcBorders>
                      <w:top w:val="nil"/>
                      <w:left w:val="nil"/>
                      <w:bottom w:val="nil"/>
                      <w:right w:val="nil"/>
                    </w:tcBorders>
                    <w:shd w:val="clear" w:color="000000" w:fill="D9D9D9"/>
                    <w:noWrap/>
                    <w:vAlign w:val="bottom"/>
                    <w:hideMark/>
                  </w:tcPr>
                  <w:p w:rsidRPr="003E6C64" w:rsidR="002318A8" w:rsidRDefault="002318A8" w14:paraId="18C9BDAE" w14:textId="77777777">
                    <w:pPr>
                      <w:jc w:val="right"/>
                      <w:rPr>
                        <w:rFonts w:cs="Arial"/>
                        <w:sz w:val="18"/>
                        <w:szCs w:val="18"/>
                      </w:rPr>
                    </w:pPr>
                    <w:r w:rsidRPr="003E6C64">
                      <w:rPr>
                        <w:rFonts w:cs="Arial"/>
                        <w:sz w:val="18"/>
                        <w:szCs w:val="18"/>
                      </w:rPr>
                      <w:t>2,7</w:t>
                    </w:r>
                  </w:p>
                </w:tc>
                <w:tc>
                  <w:tcPr>
                    <w:tcW w:w="440" w:type="pct"/>
                    <w:tcBorders>
                      <w:top w:val="nil"/>
                      <w:left w:val="nil"/>
                      <w:bottom w:val="nil"/>
                      <w:right w:val="nil"/>
                    </w:tcBorders>
                    <w:shd w:val="clear" w:color="000000" w:fill="D9D9D9"/>
                    <w:noWrap/>
                    <w:vAlign w:val="bottom"/>
                    <w:hideMark/>
                  </w:tcPr>
                  <w:p w:rsidRPr="003E6C64" w:rsidR="002318A8" w:rsidRDefault="002318A8" w14:paraId="0E7E74A3" w14:textId="77777777">
                    <w:pPr>
                      <w:jc w:val="right"/>
                      <w:rPr>
                        <w:rFonts w:cs="Arial"/>
                        <w:sz w:val="18"/>
                        <w:szCs w:val="18"/>
                      </w:rPr>
                    </w:pPr>
                    <w:r w:rsidRPr="003E6C64">
                      <w:rPr>
                        <w:rFonts w:cs="Arial"/>
                        <w:sz w:val="18"/>
                        <w:szCs w:val="18"/>
                      </w:rPr>
                      <w:t>2,1</w:t>
                    </w:r>
                  </w:p>
                </w:tc>
              </w:tr>
              <w:tr w:rsidRPr="003E6C64" w:rsidR="002318A8" w:rsidTr="0092291D" w14:paraId="53661511"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42067AD8" w14:textId="77777777">
                    <w:pPr>
                      <w:rPr>
                        <w:rFonts w:cs="Arial"/>
                        <w:sz w:val="18"/>
                        <w:szCs w:val="18"/>
                      </w:rPr>
                    </w:pPr>
                    <w:r w:rsidRPr="003E6C64">
                      <w:rPr>
                        <w:rFonts w:cs="Arial"/>
                        <w:sz w:val="18"/>
                        <w:szCs w:val="18"/>
                      </w:rPr>
                      <w:t>Consumptie overheid</w:t>
                    </w:r>
                  </w:p>
                </w:tc>
                <w:tc>
                  <w:tcPr>
                    <w:tcW w:w="574" w:type="pct"/>
                    <w:tcBorders>
                      <w:top w:val="nil"/>
                      <w:left w:val="nil"/>
                      <w:bottom w:val="nil"/>
                      <w:right w:val="nil"/>
                    </w:tcBorders>
                    <w:shd w:val="clear" w:color="auto" w:fill="auto"/>
                    <w:noWrap/>
                    <w:vAlign w:val="bottom"/>
                    <w:hideMark/>
                  </w:tcPr>
                  <w:p w:rsidRPr="003E6C64" w:rsidR="002318A8" w:rsidRDefault="002318A8" w14:paraId="0DA3976C" w14:textId="77777777">
                    <w:pPr>
                      <w:jc w:val="right"/>
                      <w:rPr>
                        <w:rFonts w:cs="Arial"/>
                        <w:sz w:val="18"/>
                        <w:szCs w:val="18"/>
                      </w:rPr>
                    </w:pPr>
                    <w:r w:rsidRPr="003E6C64">
                      <w:rPr>
                        <w:rFonts w:cs="Arial"/>
                        <w:sz w:val="18"/>
                        <w:szCs w:val="18"/>
                      </w:rPr>
                      <w:t>3,1</w:t>
                    </w:r>
                  </w:p>
                </w:tc>
                <w:tc>
                  <w:tcPr>
                    <w:tcW w:w="343" w:type="pct"/>
                    <w:tcBorders>
                      <w:top w:val="nil"/>
                      <w:left w:val="nil"/>
                      <w:bottom w:val="nil"/>
                      <w:right w:val="nil"/>
                    </w:tcBorders>
                    <w:shd w:val="clear" w:color="auto" w:fill="auto"/>
                    <w:noWrap/>
                    <w:vAlign w:val="bottom"/>
                    <w:hideMark/>
                  </w:tcPr>
                  <w:p w:rsidRPr="003E6C64" w:rsidR="002318A8" w:rsidRDefault="002318A8" w14:paraId="57F4D3BD" w14:textId="77777777">
                    <w:pPr>
                      <w:jc w:val="right"/>
                      <w:rPr>
                        <w:rFonts w:cs="Arial"/>
                        <w:sz w:val="18"/>
                        <w:szCs w:val="18"/>
                      </w:rPr>
                    </w:pPr>
                    <w:r w:rsidRPr="003E6C64">
                      <w:rPr>
                        <w:rFonts w:cs="Arial"/>
                        <w:sz w:val="18"/>
                        <w:szCs w:val="18"/>
                      </w:rPr>
                      <w:t>1,9</w:t>
                    </w:r>
                  </w:p>
                </w:tc>
                <w:tc>
                  <w:tcPr>
                    <w:tcW w:w="440" w:type="pct"/>
                    <w:tcBorders>
                      <w:top w:val="nil"/>
                      <w:left w:val="nil"/>
                      <w:bottom w:val="nil"/>
                      <w:right w:val="nil"/>
                    </w:tcBorders>
                    <w:shd w:val="clear" w:color="auto" w:fill="auto"/>
                    <w:noWrap/>
                    <w:vAlign w:val="bottom"/>
                    <w:hideMark/>
                  </w:tcPr>
                  <w:p w:rsidRPr="003E6C64" w:rsidR="002318A8" w:rsidRDefault="002318A8" w14:paraId="666BDAC4" w14:textId="77777777">
                    <w:pPr>
                      <w:jc w:val="right"/>
                      <w:rPr>
                        <w:rFonts w:cs="Arial"/>
                        <w:sz w:val="18"/>
                        <w:szCs w:val="18"/>
                      </w:rPr>
                    </w:pPr>
                    <w:r w:rsidRPr="003E6C64">
                      <w:rPr>
                        <w:rFonts w:cs="Arial"/>
                        <w:sz w:val="18"/>
                        <w:szCs w:val="18"/>
                      </w:rPr>
                      <w:t>1,3</w:t>
                    </w:r>
                  </w:p>
                </w:tc>
                <w:tc>
                  <w:tcPr>
                    <w:tcW w:w="440" w:type="pct"/>
                    <w:tcBorders>
                      <w:top w:val="nil"/>
                      <w:left w:val="nil"/>
                      <w:bottom w:val="nil"/>
                      <w:right w:val="nil"/>
                    </w:tcBorders>
                    <w:shd w:val="clear" w:color="000000" w:fill="D9D9D9"/>
                    <w:noWrap/>
                    <w:vAlign w:val="bottom"/>
                    <w:hideMark/>
                  </w:tcPr>
                  <w:p w:rsidRPr="003E6C64" w:rsidR="002318A8" w:rsidRDefault="002318A8" w14:paraId="52B47AA0" w14:textId="77777777">
                    <w:pPr>
                      <w:jc w:val="right"/>
                      <w:rPr>
                        <w:rFonts w:cs="Arial"/>
                        <w:sz w:val="18"/>
                        <w:szCs w:val="18"/>
                      </w:rPr>
                    </w:pPr>
                    <w:r w:rsidRPr="003E6C64">
                      <w:rPr>
                        <w:rFonts w:cs="Arial"/>
                        <w:sz w:val="18"/>
                        <w:szCs w:val="18"/>
                      </w:rPr>
                      <w:t>2,5</w:t>
                    </w:r>
                  </w:p>
                </w:tc>
                <w:tc>
                  <w:tcPr>
                    <w:tcW w:w="440" w:type="pct"/>
                    <w:tcBorders>
                      <w:top w:val="nil"/>
                      <w:left w:val="nil"/>
                      <w:bottom w:val="nil"/>
                      <w:right w:val="nil"/>
                    </w:tcBorders>
                    <w:shd w:val="clear" w:color="000000" w:fill="D9D9D9"/>
                    <w:noWrap/>
                    <w:vAlign w:val="bottom"/>
                    <w:hideMark/>
                  </w:tcPr>
                  <w:p w:rsidRPr="003E6C64" w:rsidR="002318A8" w:rsidRDefault="002318A8" w14:paraId="70D13BC4" w14:textId="77777777">
                    <w:pPr>
                      <w:jc w:val="right"/>
                      <w:rPr>
                        <w:rFonts w:cs="Arial"/>
                        <w:sz w:val="18"/>
                        <w:szCs w:val="18"/>
                      </w:rPr>
                    </w:pPr>
                    <w:r w:rsidRPr="003E6C64">
                      <w:rPr>
                        <w:rFonts w:cs="Arial"/>
                        <w:sz w:val="18"/>
                        <w:szCs w:val="18"/>
                      </w:rPr>
                      <w:t>1,3</w:t>
                    </w:r>
                  </w:p>
                </w:tc>
                <w:tc>
                  <w:tcPr>
                    <w:tcW w:w="440" w:type="pct"/>
                    <w:tcBorders>
                      <w:top w:val="nil"/>
                      <w:left w:val="nil"/>
                      <w:bottom w:val="nil"/>
                      <w:right w:val="nil"/>
                    </w:tcBorders>
                    <w:shd w:val="clear" w:color="000000" w:fill="D9D9D9"/>
                    <w:noWrap/>
                    <w:vAlign w:val="bottom"/>
                    <w:hideMark/>
                  </w:tcPr>
                  <w:p w:rsidRPr="003E6C64" w:rsidR="002318A8" w:rsidRDefault="002318A8" w14:paraId="25EEC0C5" w14:textId="77777777">
                    <w:pPr>
                      <w:jc w:val="right"/>
                      <w:rPr>
                        <w:rFonts w:cs="Arial"/>
                        <w:sz w:val="18"/>
                        <w:szCs w:val="18"/>
                      </w:rPr>
                    </w:pPr>
                    <w:r w:rsidRPr="003E6C64">
                      <w:rPr>
                        <w:rFonts w:cs="Arial"/>
                        <w:sz w:val="18"/>
                        <w:szCs w:val="18"/>
                      </w:rPr>
                      <w:t>2</w:t>
                    </w:r>
                    <w:r>
                      <w:rPr>
                        <w:rFonts w:cs="Arial"/>
                        <w:sz w:val="18"/>
                        <w:szCs w:val="18"/>
                      </w:rPr>
                      <w:t>,0</w:t>
                    </w:r>
                  </w:p>
                </w:tc>
              </w:tr>
              <w:tr w:rsidRPr="003E6C64" w:rsidR="002318A8" w:rsidTr="0092291D" w14:paraId="6CD864BA"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E42FC4E" w14:textId="77777777">
                    <w:pPr>
                      <w:rPr>
                        <w:rFonts w:cs="Arial"/>
                        <w:sz w:val="18"/>
                        <w:szCs w:val="18"/>
                      </w:rPr>
                    </w:pPr>
                    <w:r w:rsidRPr="003E6C64">
                      <w:rPr>
                        <w:rFonts w:cs="Arial"/>
                        <w:sz w:val="18"/>
                        <w:szCs w:val="18"/>
                      </w:rPr>
                      <w:t>Investeringen (inclusief voorraden)</w:t>
                    </w:r>
                  </w:p>
                </w:tc>
                <w:tc>
                  <w:tcPr>
                    <w:tcW w:w="574" w:type="pct"/>
                    <w:tcBorders>
                      <w:top w:val="nil"/>
                      <w:left w:val="nil"/>
                      <w:bottom w:val="nil"/>
                      <w:right w:val="nil"/>
                    </w:tcBorders>
                    <w:shd w:val="clear" w:color="auto" w:fill="auto"/>
                    <w:noWrap/>
                    <w:vAlign w:val="bottom"/>
                    <w:hideMark/>
                  </w:tcPr>
                  <w:p w:rsidRPr="003E6C64" w:rsidR="002318A8" w:rsidRDefault="002318A8" w14:paraId="3AD5E89F" w14:textId="77777777">
                    <w:pPr>
                      <w:jc w:val="right"/>
                      <w:rPr>
                        <w:rFonts w:cs="Arial"/>
                        <w:sz w:val="18"/>
                        <w:szCs w:val="18"/>
                      </w:rPr>
                    </w:pPr>
                    <w:r w:rsidRPr="003E6C64">
                      <w:rPr>
                        <w:rFonts w:cs="Arial"/>
                        <w:sz w:val="18"/>
                        <w:szCs w:val="18"/>
                      </w:rPr>
                      <w:t>-2,5</w:t>
                    </w:r>
                  </w:p>
                </w:tc>
                <w:tc>
                  <w:tcPr>
                    <w:tcW w:w="343" w:type="pct"/>
                    <w:tcBorders>
                      <w:top w:val="nil"/>
                      <w:left w:val="nil"/>
                      <w:bottom w:val="nil"/>
                      <w:right w:val="nil"/>
                    </w:tcBorders>
                    <w:shd w:val="clear" w:color="auto" w:fill="auto"/>
                    <w:noWrap/>
                    <w:vAlign w:val="bottom"/>
                    <w:hideMark/>
                  </w:tcPr>
                  <w:p w:rsidRPr="003E6C64" w:rsidR="002318A8" w:rsidRDefault="002318A8" w14:paraId="3B49DCA6" w14:textId="77777777">
                    <w:pPr>
                      <w:jc w:val="right"/>
                      <w:rPr>
                        <w:rFonts w:cs="Arial"/>
                        <w:sz w:val="18"/>
                        <w:szCs w:val="18"/>
                      </w:rPr>
                    </w:pPr>
                    <w:r w:rsidRPr="003E6C64">
                      <w:rPr>
                        <w:rFonts w:cs="Arial"/>
                        <w:sz w:val="18"/>
                        <w:szCs w:val="18"/>
                      </w:rPr>
                      <w:t>3,2</w:t>
                    </w:r>
                  </w:p>
                </w:tc>
                <w:tc>
                  <w:tcPr>
                    <w:tcW w:w="440" w:type="pct"/>
                    <w:tcBorders>
                      <w:top w:val="nil"/>
                      <w:left w:val="nil"/>
                      <w:bottom w:val="nil"/>
                      <w:right w:val="nil"/>
                    </w:tcBorders>
                    <w:shd w:val="clear" w:color="auto" w:fill="auto"/>
                    <w:noWrap/>
                    <w:vAlign w:val="bottom"/>
                    <w:hideMark/>
                  </w:tcPr>
                  <w:p w:rsidRPr="003E6C64" w:rsidR="002318A8" w:rsidRDefault="002318A8" w14:paraId="1BA2B1AF" w14:textId="77777777">
                    <w:pPr>
                      <w:jc w:val="right"/>
                      <w:rPr>
                        <w:rFonts w:cs="Arial"/>
                        <w:sz w:val="18"/>
                        <w:szCs w:val="18"/>
                      </w:rPr>
                    </w:pPr>
                    <w:r w:rsidRPr="003E6C64">
                      <w:rPr>
                        <w:rFonts w:cs="Arial"/>
                        <w:sz w:val="18"/>
                        <w:szCs w:val="18"/>
                      </w:rPr>
                      <w:t>4,8</w:t>
                    </w:r>
                  </w:p>
                </w:tc>
                <w:tc>
                  <w:tcPr>
                    <w:tcW w:w="440" w:type="pct"/>
                    <w:tcBorders>
                      <w:top w:val="nil"/>
                      <w:left w:val="nil"/>
                      <w:bottom w:val="nil"/>
                      <w:right w:val="nil"/>
                    </w:tcBorders>
                    <w:shd w:val="clear" w:color="000000" w:fill="D9D9D9"/>
                    <w:noWrap/>
                    <w:vAlign w:val="bottom"/>
                    <w:hideMark/>
                  </w:tcPr>
                  <w:p w:rsidRPr="003E6C64" w:rsidR="002318A8" w:rsidRDefault="002318A8" w14:paraId="4B875732" w14:textId="77777777">
                    <w:pPr>
                      <w:jc w:val="right"/>
                      <w:rPr>
                        <w:rFonts w:cs="Arial"/>
                        <w:sz w:val="18"/>
                        <w:szCs w:val="18"/>
                      </w:rPr>
                    </w:pPr>
                    <w:r w:rsidRPr="003E6C64">
                      <w:rPr>
                        <w:rFonts w:cs="Arial"/>
                        <w:sz w:val="18"/>
                        <w:szCs w:val="18"/>
                      </w:rPr>
                      <w:t>-3,2</w:t>
                    </w:r>
                  </w:p>
                </w:tc>
                <w:tc>
                  <w:tcPr>
                    <w:tcW w:w="440" w:type="pct"/>
                    <w:tcBorders>
                      <w:top w:val="nil"/>
                      <w:left w:val="nil"/>
                      <w:bottom w:val="nil"/>
                      <w:right w:val="nil"/>
                    </w:tcBorders>
                    <w:shd w:val="clear" w:color="000000" w:fill="D9D9D9"/>
                    <w:noWrap/>
                    <w:vAlign w:val="bottom"/>
                    <w:hideMark/>
                  </w:tcPr>
                  <w:p w:rsidRPr="003E6C64" w:rsidR="002318A8" w:rsidRDefault="002318A8" w14:paraId="22290417" w14:textId="77777777">
                    <w:pPr>
                      <w:jc w:val="right"/>
                      <w:rPr>
                        <w:rFonts w:cs="Arial"/>
                        <w:sz w:val="18"/>
                        <w:szCs w:val="18"/>
                      </w:rPr>
                    </w:pPr>
                    <w:r w:rsidRPr="003E6C64">
                      <w:rPr>
                        <w:rFonts w:cs="Arial"/>
                        <w:sz w:val="18"/>
                        <w:szCs w:val="18"/>
                      </w:rPr>
                      <w:t>3,7</w:t>
                    </w:r>
                  </w:p>
                </w:tc>
                <w:tc>
                  <w:tcPr>
                    <w:tcW w:w="440" w:type="pct"/>
                    <w:tcBorders>
                      <w:top w:val="nil"/>
                      <w:left w:val="nil"/>
                      <w:bottom w:val="nil"/>
                      <w:right w:val="nil"/>
                    </w:tcBorders>
                    <w:shd w:val="clear" w:color="000000" w:fill="D9D9D9"/>
                    <w:noWrap/>
                    <w:vAlign w:val="bottom"/>
                    <w:hideMark/>
                  </w:tcPr>
                  <w:p w:rsidRPr="003E6C64" w:rsidR="002318A8" w:rsidRDefault="002318A8" w14:paraId="1A8EA18D" w14:textId="77777777">
                    <w:pPr>
                      <w:jc w:val="right"/>
                      <w:rPr>
                        <w:rFonts w:cs="Arial"/>
                        <w:sz w:val="18"/>
                        <w:szCs w:val="18"/>
                      </w:rPr>
                    </w:pPr>
                    <w:r w:rsidRPr="003E6C64">
                      <w:rPr>
                        <w:rFonts w:cs="Arial"/>
                        <w:sz w:val="18"/>
                        <w:szCs w:val="18"/>
                      </w:rPr>
                      <w:t>3,8</w:t>
                    </w:r>
                  </w:p>
                </w:tc>
              </w:tr>
              <w:tr w:rsidRPr="003E6C64" w:rsidR="002318A8" w:rsidTr="0092291D" w14:paraId="18FEE8BE"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449D30DA" w14:textId="77777777">
                    <w:pPr>
                      <w:rPr>
                        <w:rFonts w:cs="Arial"/>
                        <w:sz w:val="18"/>
                        <w:szCs w:val="18"/>
                      </w:rPr>
                    </w:pPr>
                    <w:r w:rsidRPr="003E6C64">
                      <w:rPr>
                        <w:rFonts w:cs="Arial"/>
                        <w:sz w:val="18"/>
                        <w:szCs w:val="18"/>
                      </w:rPr>
                      <w:t>Uitvoer van goederen en diensten</w:t>
                    </w:r>
                  </w:p>
                </w:tc>
                <w:tc>
                  <w:tcPr>
                    <w:tcW w:w="574" w:type="pct"/>
                    <w:tcBorders>
                      <w:top w:val="nil"/>
                      <w:left w:val="nil"/>
                      <w:bottom w:val="nil"/>
                      <w:right w:val="nil"/>
                    </w:tcBorders>
                    <w:shd w:val="clear" w:color="auto" w:fill="auto"/>
                    <w:noWrap/>
                    <w:vAlign w:val="bottom"/>
                    <w:hideMark/>
                  </w:tcPr>
                  <w:p w:rsidRPr="003E6C64" w:rsidR="002318A8" w:rsidRDefault="002318A8" w14:paraId="5D67E9A5" w14:textId="77777777">
                    <w:pPr>
                      <w:jc w:val="right"/>
                      <w:rPr>
                        <w:rFonts w:cs="Arial"/>
                        <w:sz w:val="18"/>
                        <w:szCs w:val="18"/>
                      </w:rPr>
                    </w:pPr>
                    <w:r w:rsidRPr="003E6C64">
                      <w:rPr>
                        <w:rFonts w:cs="Arial"/>
                        <w:sz w:val="18"/>
                        <w:szCs w:val="18"/>
                      </w:rPr>
                      <w:t>0,1</w:t>
                    </w:r>
                  </w:p>
                </w:tc>
                <w:tc>
                  <w:tcPr>
                    <w:tcW w:w="343" w:type="pct"/>
                    <w:tcBorders>
                      <w:top w:val="nil"/>
                      <w:left w:val="nil"/>
                      <w:bottom w:val="nil"/>
                      <w:right w:val="nil"/>
                    </w:tcBorders>
                    <w:shd w:val="clear" w:color="auto" w:fill="auto"/>
                    <w:noWrap/>
                    <w:vAlign w:val="bottom"/>
                    <w:hideMark/>
                  </w:tcPr>
                  <w:p w:rsidRPr="003E6C64" w:rsidR="002318A8" w:rsidRDefault="002318A8" w14:paraId="767B3F99" w14:textId="77777777">
                    <w:pPr>
                      <w:jc w:val="right"/>
                      <w:rPr>
                        <w:rFonts w:cs="Arial"/>
                        <w:sz w:val="18"/>
                        <w:szCs w:val="18"/>
                      </w:rPr>
                    </w:pPr>
                    <w:r w:rsidRPr="003E6C64">
                      <w:rPr>
                        <w:rFonts w:cs="Arial"/>
                        <w:sz w:val="18"/>
                        <w:szCs w:val="18"/>
                      </w:rPr>
                      <w:t>2</w:t>
                    </w:r>
                    <w:r>
                      <w:rPr>
                        <w:rFonts w:cs="Arial"/>
                        <w:sz w:val="18"/>
                        <w:szCs w:val="18"/>
                      </w:rPr>
                      <w:t>,0</w:t>
                    </w:r>
                  </w:p>
                </w:tc>
                <w:tc>
                  <w:tcPr>
                    <w:tcW w:w="440" w:type="pct"/>
                    <w:tcBorders>
                      <w:top w:val="nil"/>
                      <w:left w:val="nil"/>
                      <w:bottom w:val="nil"/>
                      <w:right w:val="nil"/>
                    </w:tcBorders>
                    <w:shd w:val="clear" w:color="auto" w:fill="auto"/>
                    <w:noWrap/>
                    <w:vAlign w:val="bottom"/>
                    <w:hideMark/>
                  </w:tcPr>
                  <w:p w:rsidRPr="003E6C64" w:rsidR="002318A8" w:rsidRDefault="002318A8" w14:paraId="7143B68F" w14:textId="77777777">
                    <w:pPr>
                      <w:jc w:val="right"/>
                      <w:rPr>
                        <w:rFonts w:cs="Arial"/>
                        <w:sz w:val="18"/>
                        <w:szCs w:val="18"/>
                      </w:rPr>
                    </w:pPr>
                    <w:r w:rsidRPr="003E6C64">
                      <w:rPr>
                        <w:rFonts w:cs="Arial"/>
                        <w:sz w:val="18"/>
                        <w:szCs w:val="18"/>
                      </w:rPr>
                      <w:t>1,8</w:t>
                    </w:r>
                  </w:p>
                </w:tc>
                <w:tc>
                  <w:tcPr>
                    <w:tcW w:w="440" w:type="pct"/>
                    <w:tcBorders>
                      <w:top w:val="nil"/>
                      <w:left w:val="nil"/>
                      <w:bottom w:val="nil"/>
                      <w:right w:val="nil"/>
                    </w:tcBorders>
                    <w:shd w:val="clear" w:color="000000" w:fill="D9D9D9"/>
                    <w:noWrap/>
                    <w:vAlign w:val="bottom"/>
                    <w:hideMark/>
                  </w:tcPr>
                  <w:p w:rsidRPr="003E6C64" w:rsidR="002318A8" w:rsidRDefault="002318A8" w14:paraId="4DBF6E08" w14:textId="77777777">
                    <w:pPr>
                      <w:jc w:val="right"/>
                      <w:rPr>
                        <w:rFonts w:cs="Arial"/>
                        <w:sz w:val="18"/>
                        <w:szCs w:val="18"/>
                      </w:rPr>
                    </w:pPr>
                    <w:r w:rsidRPr="003E6C64">
                      <w:rPr>
                        <w:rFonts w:cs="Arial"/>
                        <w:sz w:val="18"/>
                        <w:szCs w:val="18"/>
                      </w:rPr>
                      <w:t>-0,4</w:t>
                    </w:r>
                  </w:p>
                </w:tc>
                <w:tc>
                  <w:tcPr>
                    <w:tcW w:w="440" w:type="pct"/>
                    <w:tcBorders>
                      <w:top w:val="nil"/>
                      <w:left w:val="nil"/>
                      <w:bottom w:val="nil"/>
                      <w:right w:val="nil"/>
                    </w:tcBorders>
                    <w:shd w:val="clear" w:color="000000" w:fill="D9D9D9"/>
                    <w:noWrap/>
                    <w:vAlign w:val="bottom"/>
                    <w:hideMark/>
                  </w:tcPr>
                  <w:p w:rsidRPr="003E6C64" w:rsidR="002318A8" w:rsidRDefault="002318A8" w14:paraId="43ECF9E7" w14:textId="77777777">
                    <w:pPr>
                      <w:jc w:val="right"/>
                      <w:rPr>
                        <w:rFonts w:cs="Arial"/>
                        <w:sz w:val="18"/>
                        <w:szCs w:val="18"/>
                      </w:rPr>
                    </w:pPr>
                    <w:r w:rsidRPr="003E6C64">
                      <w:rPr>
                        <w:rFonts w:cs="Arial"/>
                        <w:sz w:val="18"/>
                        <w:szCs w:val="18"/>
                      </w:rPr>
                      <w:t>2,4</w:t>
                    </w:r>
                  </w:p>
                </w:tc>
                <w:tc>
                  <w:tcPr>
                    <w:tcW w:w="440" w:type="pct"/>
                    <w:tcBorders>
                      <w:top w:val="nil"/>
                      <w:left w:val="nil"/>
                      <w:bottom w:val="nil"/>
                      <w:right w:val="nil"/>
                    </w:tcBorders>
                    <w:shd w:val="clear" w:color="000000" w:fill="D9D9D9"/>
                    <w:noWrap/>
                    <w:vAlign w:val="bottom"/>
                    <w:hideMark/>
                  </w:tcPr>
                  <w:p w:rsidRPr="003E6C64" w:rsidR="002318A8" w:rsidRDefault="002318A8" w14:paraId="753BFA51" w14:textId="77777777">
                    <w:pPr>
                      <w:jc w:val="right"/>
                      <w:rPr>
                        <w:rFonts w:cs="Arial"/>
                        <w:sz w:val="18"/>
                        <w:szCs w:val="18"/>
                      </w:rPr>
                    </w:pPr>
                    <w:r w:rsidRPr="003E6C64">
                      <w:rPr>
                        <w:rFonts w:cs="Arial"/>
                        <w:sz w:val="18"/>
                        <w:szCs w:val="18"/>
                      </w:rPr>
                      <w:t>2,2</w:t>
                    </w:r>
                  </w:p>
                </w:tc>
              </w:tr>
              <w:tr w:rsidRPr="003E6C64" w:rsidR="002318A8" w:rsidTr="0092291D" w14:paraId="0AC86C80"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633897C" w14:textId="77777777">
                    <w:pPr>
                      <w:rPr>
                        <w:rFonts w:cs="Arial"/>
                        <w:sz w:val="18"/>
                        <w:szCs w:val="18"/>
                      </w:rPr>
                    </w:pPr>
                    <w:r w:rsidRPr="003E6C64">
                      <w:rPr>
                        <w:rFonts w:cs="Arial"/>
                        <w:sz w:val="18"/>
                        <w:szCs w:val="18"/>
                      </w:rPr>
                      <w:t>Invoer goederen en diensten</w:t>
                    </w:r>
                  </w:p>
                </w:tc>
                <w:tc>
                  <w:tcPr>
                    <w:tcW w:w="574" w:type="pct"/>
                    <w:tcBorders>
                      <w:top w:val="nil"/>
                      <w:left w:val="nil"/>
                      <w:bottom w:val="nil"/>
                      <w:right w:val="nil"/>
                    </w:tcBorders>
                    <w:shd w:val="clear" w:color="auto" w:fill="auto"/>
                    <w:noWrap/>
                    <w:vAlign w:val="bottom"/>
                    <w:hideMark/>
                  </w:tcPr>
                  <w:p w:rsidRPr="003E6C64" w:rsidR="002318A8" w:rsidRDefault="002318A8" w14:paraId="022DFFF7" w14:textId="77777777">
                    <w:pPr>
                      <w:jc w:val="right"/>
                      <w:rPr>
                        <w:rFonts w:cs="Arial"/>
                        <w:sz w:val="18"/>
                        <w:szCs w:val="18"/>
                      </w:rPr>
                    </w:pPr>
                    <w:r w:rsidRPr="003E6C64">
                      <w:rPr>
                        <w:rFonts w:cs="Arial"/>
                        <w:sz w:val="18"/>
                        <w:szCs w:val="18"/>
                      </w:rPr>
                      <w:t>-0,2</w:t>
                    </w:r>
                  </w:p>
                </w:tc>
                <w:tc>
                  <w:tcPr>
                    <w:tcW w:w="343" w:type="pct"/>
                    <w:tcBorders>
                      <w:top w:val="nil"/>
                      <w:left w:val="nil"/>
                      <w:bottom w:val="nil"/>
                      <w:right w:val="nil"/>
                    </w:tcBorders>
                    <w:shd w:val="clear" w:color="auto" w:fill="auto"/>
                    <w:noWrap/>
                    <w:vAlign w:val="bottom"/>
                    <w:hideMark/>
                  </w:tcPr>
                  <w:p w:rsidRPr="003E6C64" w:rsidR="002318A8" w:rsidRDefault="002318A8" w14:paraId="39C156C3" w14:textId="77777777">
                    <w:pPr>
                      <w:jc w:val="right"/>
                      <w:rPr>
                        <w:rFonts w:cs="Arial"/>
                        <w:sz w:val="18"/>
                        <w:szCs w:val="18"/>
                      </w:rPr>
                    </w:pPr>
                    <w:r w:rsidRPr="003E6C64">
                      <w:rPr>
                        <w:rFonts w:cs="Arial"/>
                        <w:sz w:val="18"/>
                        <w:szCs w:val="18"/>
                      </w:rPr>
                      <w:t>2,8</w:t>
                    </w:r>
                  </w:p>
                </w:tc>
                <w:tc>
                  <w:tcPr>
                    <w:tcW w:w="440" w:type="pct"/>
                    <w:tcBorders>
                      <w:top w:val="nil"/>
                      <w:left w:val="nil"/>
                      <w:bottom w:val="nil"/>
                      <w:right w:val="nil"/>
                    </w:tcBorders>
                    <w:shd w:val="clear" w:color="auto" w:fill="auto"/>
                    <w:noWrap/>
                    <w:vAlign w:val="bottom"/>
                    <w:hideMark/>
                  </w:tcPr>
                  <w:p w:rsidRPr="003E6C64" w:rsidR="002318A8" w:rsidRDefault="002318A8" w14:paraId="492A3AE0" w14:textId="77777777">
                    <w:pPr>
                      <w:jc w:val="right"/>
                      <w:rPr>
                        <w:rFonts w:cs="Arial"/>
                        <w:sz w:val="18"/>
                        <w:szCs w:val="18"/>
                      </w:rPr>
                    </w:pPr>
                    <w:r w:rsidRPr="003E6C64">
                      <w:rPr>
                        <w:rFonts w:cs="Arial"/>
                        <w:sz w:val="18"/>
                        <w:szCs w:val="18"/>
                      </w:rPr>
                      <w:t>3,2</w:t>
                    </w:r>
                  </w:p>
                </w:tc>
                <w:tc>
                  <w:tcPr>
                    <w:tcW w:w="440" w:type="pct"/>
                    <w:tcBorders>
                      <w:top w:val="nil"/>
                      <w:left w:val="nil"/>
                      <w:bottom w:val="nil"/>
                      <w:right w:val="nil"/>
                    </w:tcBorders>
                    <w:shd w:val="clear" w:color="000000" w:fill="D9D9D9"/>
                    <w:noWrap/>
                    <w:vAlign w:val="bottom"/>
                    <w:hideMark/>
                  </w:tcPr>
                  <w:p w:rsidRPr="003E6C64" w:rsidR="002318A8" w:rsidRDefault="002318A8" w14:paraId="74219184" w14:textId="77777777">
                    <w:pPr>
                      <w:jc w:val="right"/>
                      <w:rPr>
                        <w:rFonts w:cs="Arial"/>
                        <w:sz w:val="18"/>
                        <w:szCs w:val="18"/>
                      </w:rPr>
                    </w:pPr>
                    <w:r w:rsidRPr="003E6C64">
                      <w:rPr>
                        <w:rFonts w:cs="Arial"/>
                        <w:sz w:val="18"/>
                        <w:szCs w:val="18"/>
                      </w:rPr>
                      <w:t>-0,7</w:t>
                    </w:r>
                  </w:p>
                </w:tc>
                <w:tc>
                  <w:tcPr>
                    <w:tcW w:w="440" w:type="pct"/>
                    <w:tcBorders>
                      <w:top w:val="nil"/>
                      <w:left w:val="nil"/>
                      <w:bottom w:val="nil"/>
                      <w:right w:val="nil"/>
                    </w:tcBorders>
                    <w:shd w:val="clear" w:color="000000" w:fill="D9D9D9"/>
                    <w:noWrap/>
                    <w:vAlign w:val="bottom"/>
                    <w:hideMark/>
                  </w:tcPr>
                  <w:p w:rsidRPr="003E6C64" w:rsidR="002318A8" w:rsidRDefault="002318A8" w14:paraId="46D8759B" w14:textId="77777777">
                    <w:pPr>
                      <w:jc w:val="right"/>
                      <w:rPr>
                        <w:rFonts w:cs="Arial"/>
                        <w:sz w:val="18"/>
                        <w:szCs w:val="18"/>
                      </w:rPr>
                    </w:pPr>
                    <w:r w:rsidRPr="003E6C64">
                      <w:rPr>
                        <w:rFonts w:cs="Arial"/>
                        <w:sz w:val="18"/>
                        <w:szCs w:val="18"/>
                      </w:rPr>
                      <w:t>3,7</w:t>
                    </w:r>
                  </w:p>
                </w:tc>
                <w:tc>
                  <w:tcPr>
                    <w:tcW w:w="440" w:type="pct"/>
                    <w:tcBorders>
                      <w:top w:val="nil"/>
                      <w:left w:val="nil"/>
                      <w:bottom w:val="nil"/>
                      <w:right w:val="nil"/>
                    </w:tcBorders>
                    <w:shd w:val="clear" w:color="000000" w:fill="D9D9D9"/>
                    <w:noWrap/>
                    <w:vAlign w:val="bottom"/>
                    <w:hideMark/>
                  </w:tcPr>
                  <w:p w:rsidRPr="003E6C64" w:rsidR="002318A8" w:rsidRDefault="002318A8" w14:paraId="79249080" w14:textId="77777777">
                    <w:pPr>
                      <w:jc w:val="right"/>
                      <w:rPr>
                        <w:rFonts w:cs="Arial"/>
                        <w:sz w:val="18"/>
                        <w:szCs w:val="18"/>
                      </w:rPr>
                    </w:pPr>
                    <w:r w:rsidRPr="003E6C64">
                      <w:rPr>
                        <w:rFonts w:cs="Arial"/>
                        <w:sz w:val="18"/>
                        <w:szCs w:val="18"/>
                      </w:rPr>
                      <w:t>3,5</w:t>
                    </w:r>
                  </w:p>
                </w:tc>
              </w:tr>
              <w:tr w:rsidRPr="003E6C64" w:rsidR="002318A8" w:rsidTr="0092291D" w14:paraId="197032C2"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45F7107D" w14:textId="77777777">
                    <w:pPr>
                      <w:jc w:val="right"/>
                      <w:rPr>
                        <w:rFonts w:cs="Arial"/>
                        <w:sz w:val="18"/>
                        <w:szCs w:val="18"/>
                      </w:rPr>
                    </w:pPr>
                  </w:p>
                </w:tc>
                <w:tc>
                  <w:tcPr>
                    <w:tcW w:w="574" w:type="pct"/>
                    <w:tcBorders>
                      <w:top w:val="nil"/>
                      <w:left w:val="nil"/>
                      <w:bottom w:val="nil"/>
                      <w:right w:val="nil"/>
                    </w:tcBorders>
                    <w:shd w:val="clear" w:color="auto" w:fill="auto"/>
                    <w:noWrap/>
                    <w:vAlign w:val="bottom"/>
                    <w:hideMark/>
                  </w:tcPr>
                  <w:p w:rsidRPr="003E6C64" w:rsidR="002318A8" w:rsidRDefault="002318A8" w14:paraId="324068C6" w14:textId="77777777">
                    <w:pPr>
                      <w:rPr>
                        <w:rFonts w:ascii="Times New Roman" w:hAnsi="Times New Roman"/>
                        <w:sz w:val="20"/>
                        <w:szCs w:val="20"/>
                      </w:rPr>
                    </w:pPr>
                  </w:p>
                </w:tc>
                <w:tc>
                  <w:tcPr>
                    <w:tcW w:w="343" w:type="pct"/>
                    <w:tcBorders>
                      <w:top w:val="nil"/>
                      <w:left w:val="nil"/>
                      <w:bottom w:val="nil"/>
                      <w:right w:val="nil"/>
                    </w:tcBorders>
                    <w:shd w:val="clear" w:color="auto" w:fill="auto"/>
                    <w:noWrap/>
                    <w:vAlign w:val="bottom"/>
                    <w:hideMark/>
                  </w:tcPr>
                  <w:p w:rsidRPr="003E6C64" w:rsidR="002318A8" w:rsidRDefault="002318A8" w14:paraId="6C0033D7" w14:textId="77777777">
                    <w:pPr>
                      <w:rPr>
                        <w:rFonts w:ascii="Times New Roman" w:hAnsi="Times New Roman"/>
                        <w:sz w:val="20"/>
                        <w:szCs w:val="20"/>
                      </w:rPr>
                    </w:pPr>
                  </w:p>
                </w:tc>
                <w:tc>
                  <w:tcPr>
                    <w:tcW w:w="440" w:type="pct"/>
                    <w:tcBorders>
                      <w:top w:val="nil"/>
                      <w:left w:val="nil"/>
                      <w:bottom w:val="nil"/>
                      <w:right w:val="nil"/>
                    </w:tcBorders>
                    <w:shd w:val="clear" w:color="auto" w:fill="auto"/>
                    <w:noWrap/>
                    <w:vAlign w:val="bottom"/>
                    <w:hideMark/>
                  </w:tcPr>
                  <w:p w:rsidRPr="003E6C64" w:rsidR="002318A8" w:rsidRDefault="002318A8" w14:paraId="5ED1BCFC" w14:textId="77777777">
                    <w:pPr>
                      <w:rPr>
                        <w:rFonts w:ascii="Times New Roman" w:hAnsi="Times New Roman"/>
                        <w:sz w:val="20"/>
                        <w:szCs w:val="20"/>
                      </w:rPr>
                    </w:pPr>
                  </w:p>
                </w:tc>
                <w:tc>
                  <w:tcPr>
                    <w:tcW w:w="440" w:type="pct"/>
                    <w:tcBorders>
                      <w:top w:val="nil"/>
                      <w:left w:val="nil"/>
                      <w:bottom w:val="nil"/>
                      <w:right w:val="nil"/>
                    </w:tcBorders>
                    <w:shd w:val="clear" w:color="000000" w:fill="D9D9D9"/>
                    <w:noWrap/>
                    <w:vAlign w:val="bottom"/>
                    <w:hideMark/>
                  </w:tcPr>
                  <w:p w:rsidRPr="003E6C64" w:rsidR="002318A8" w:rsidRDefault="002318A8" w14:paraId="2F4BEF62" w14:textId="77777777">
                    <w:pPr>
                      <w:rPr>
                        <w:rFonts w:cs="Arial"/>
                        <w:sz w:val="18"/>
                        <w:szCs w:val="18"/>
                      </w:rPr>
                    </w:pPr>
                    <w:r w:rsidRPr="003E6C64">
                      <w:rPr>
                        <w:rFonts w:cs="Arial"/>
                        <w:sz w:val="18"/>
                        <w:szCs w:val="18"/>
                      </w:rPr>
                      <w:t> </w:t>
                    </w:r>
                  </w:p>
                </w:tc>
                <w:tc>
                  <w:tcPr>
                    <w:tcW w:w="440" w:type="pct"/>
                    <w:tcBorders>
                      <w:top w:val="nil"/>
                      <w:left w:val="nil"/>
                      <w:bottom w:val="nil"/>
                      <w:right w:val="nil"/>
                    </w:tcBorders>
                    <w:shd w:val="clear" w:color="000000" w:fill="D9D9D9"/>
                    <w:noWrap/>
                    <w:vAlign w:val="bottom"/>
                    <w:hideMark/>
                  </w:tcPr>
                  <w:p w:rsidRPr="003E6C64" w:rsidR="002318A8" w:rsidRDefault="002318A8" w14:paraId="0F2B424B" w14:textId="77777777">
                    <w:pPr>
                      <w:rPr>
                        <w:rFonts w:cs="Arial"/>
                        <w:sz w:val="18"/>
                        <w:szCs w:val="18"/>
                      </w:rPr>
                    </w:pPr>
                    <w:r w:rsidRPr="003E6C64">
                      <w:rPr>
                        <w:rFonts w:cs="Arial"/>
                        <w:sz w:val="18"/>
                        <w:szCs w:val="18"/>
                      </w:rPr>
                      <w:t> </w:t>
                    </w:r>
                  </w:p>
                </w:tc>
                <w:tc>
                  <w:tcPr>
                    <w:tcW w:w="440" w:type="pct"/>
                    <w:tcBorders>
                      <w:top w:val="nil"/>
                      <w:left w:val="nil"/>
                      <w:bottom w:val="nil"/>
                      <w:right w:val="nil"/>
                    </w:tcBorders>
                    <w:shd w:val="clear" w:color="000000" w:fill="D9D9D9"/>
                    <w:noWrap/>
                    <w:vAlign w:val="bottom"/>
                    <w:hideMark/>
                  </w:tcPr>
                  <w:p w:rsidRPr="003E6C64" w:rsidR="002318A8" w:rsidRDefault="002318A8" w14:paraId="099AF9DC" w14:textId="77777777">
                    <w:pPr>
                      <w:rPr>
                        <w:rFonts w:cs="Arial"/>
                        <w:sz w:val="18"/>
                        <w:szCs w:val="18"/>
                      </w:rPr>
                    </w:pPr>
                    <w:r w:rsidRPr="003E6C64">
                      <w:rPr>
                        <w:rFonts w:cs="Arial"/>
                        <w:sz w:val="18"/>
                        <w:szCs w:val="18"/>
                      </w:rPr>
                      <w:t> </w:t>
                    </w:r>
                  </w:p>
                </w:tc>
              </w:tr>
              <w:tr w:rsidRPr="003E6C64" w:rsidR="002318A8" w:rsidTr="0092291D" w14:paraId="6FEA67A0"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057FB0C" w14:textId="77777777">
                    <w:pPr>
                      <w:rPr>
                        <w:rFonts w:cs="Arial"/>
                        <w:sz w:val="18"/>
                        <w:szCs w:val="18"/>
                      </w:rPr>
                    </w:pPr>
                    <w:r w:rsidRPr="003E6C64">
                      <w:rPr>
                        <w:rFonts w:cs="Arial"/>
                        <w:sz w:val="18"/>
                        <w:szCs w:val="18"/>
                      </w:rPr>
                      <w:t>Inflatie (</w:t>
                    </w:r>
                    <w:proofErr w:type="spellStart"/>
                    <w:r w:rsidRPr="003E6C64">
                      <w:rPr>
                        <w:rFonts w:cs="Arial"/>
                        <w:sz w:val="18"/>
                        <w:szCs w:val="18"/>
                      </w:rPr>
                      <w:t>hicp</w:t>
                    </w:r>
                    <w:proofErr w:type="spellEnd"/>
                    <w:r w:rsidRPr="003E6C64">
                      <w:rPr>
                        <w:rFonts w:cs="Arial"/>
                        <w:sz w:val="18"/>
                        <w:szCs w:val="18"/>
                      </w:rPr>
                      <w:t>)</w:t>
                    </w:r>
                  </w:p>
                </w:tc>
                <w:tc>
                  <w:tcPr>
                    <w:tcW w:w="574" w:type="pct"/>
                    <w:tcBorders>
                      <w:top w:val="nil"/>
                      <w:left w:val="nil"/>
                      <w:bottom w:val="nil"/>
                      <w:right w:val="nil"/>
                    </w:tcBorders>
                    <w:shd w:val="clear" w:color="auto" w:fill="auto"/>
                    <w:noWrap/>
                    <w:vAlign w:val="bottom"/>
                    <w:hideMark/>
                  </w:tcPr>
                  <w:p w:rsidRPr="003E6C64" w:rsidR="002318A8" w:rsidRDefault="002318A8" w14:paraId="4A46A22C" w14:textId="77777777">
                    <w:pPr>
                      <w:jc w:val="right"/>
                      <w:rPr>
                        <w:rFonts w:cs="Arial"/>
                        <w:sz w:val="18"/>
                        <w:szCs w:val="18"/>
                      </w:rPr>
                    </w:pPr>
                    <w:r w:rsidRPr="003E6C64">
                      <w:rPr>
                        <w:rFonts w:cs="Arial"/>
                        <w:sz w:val="18"/>
                        <w:szCs w:val="18"/>
                      </w:rPr>
                      <w:t>3,2</w:t>
                    </w:r>
                  </w:p>
                </w:tc>
                <w:tc>
                  <w:tcPr>
                    <w:tcW w:w="343" w:type="pct"/>
                    <w:tcBorders>
                      <w:top w:val="nil"/>
                      <w:left w:val="nil"/>
                      <w:bottom w:val="nil"/>
                      <w:right w:val="nil"/>
                    </w:tcBorders>
                    <w:shd w:val="clear" w:color="auto" w:fill="auto"/>
                    <w:noWrap/>
                    <w:vAlign w:val="bottom"/>
                    <w:hideMark/>
                  </w:tcPr>
                  <w:p w:rsidRPr="003E6C64" w:rsidR="002318A8" w:rsidRDefault="002318A8" w14:paraId="12C84F46" w14:textId="77777777">
                    <w:pPr>
                      <w:jc w:val="right"/>
                      <w:rPr>
                        <w:rFonts w:cs="Arial"/>
                        <w:sz w:val="18"/>
                        <w:szCs w:val="18"/>
                      </w:rPr>
                    </w:pPr>
                    <w:r w:rsidRPr="003E6C64">
                      <w:rPr>
                        <w:rFonts w:cs="Arial"/>
                        <w:sz w:val="18"/>
                        <w:szCs w:val="18"/>
                      </w:rPr>
                      <w:t>3</w:t>
                    </w:r>
                    <w:r>
                      <w:rPr>
                        <w:rFonts w:cs="Arial"/>
                        <w:sz w:val="18"/>
                        <w:szCs w:val="18"/>
                      </w:rPr>
                      <w:t>,0</w:t>
                    </w:r>
                  </w:p>
                </w:tc>
                <w:tc>
                  <w:tcPr>
                    <w:tcW w:w="440" w:type="pct"/>
                    <w:tcBorders>
                      <w:top w:val="nil"/>
                      <w:left w:val="nil"/>
                      <w:bottom w:val="nil"/>
                      <w:right w:val="nil"/>
                    </w:tcBorders>
                    <w:shd w:val="clear" w:color="auto" w:fill="auto"/>
                    <w:noWrap/>
                    <w:vAlign w:val="bottom"/>
                    <w:hideMark/>
                  </w:tcPr>
                  <w:p w:rsidRPr="003E6C64" w:rsidR="002318A8" w:rsidRDefault="002318A8" w14:paraId="2995F7C3" w14:textId="77777777">
                    <w:pPr>
                      <w:jc w:val="right"/>
                      <w:rPr>
                        <w:rFonts w:cs="Arial"/>
                        <w:sz w:val="18"/>
                        <w:szCs w:val="18"/>
                      </w:rPr>
                    </w:pPr>
                    <w:r w:rsidRPr="003E6C64">
                      <w:rPr>
                        <w:rFonts w:cs="Arial"/>
                        <w:sz w:val="18"/>
                        <w:szCs w:val="18"/>
                      </w:rPr>
                      <w:t>2,4</w:t>
                    </w:r>
                  </w:p>
                </w:tc>
                <w:tc>
                  <w:tcPr>
                    <w:tcW w:w="440" w:type="pct"/>
                    <w:tcBorders>
                      <w:top w:val="nil"/>
                      <w:left w:val="nil"/>
                      <w:bottom w:val="nil"/>
                      <w:right w:val="nil"/>
                    </w:tcBorders>
                    <w:shd w:val="clear" w:color="000000" w:fill="D9D9D9"/>
                    <w:noWrap/>
                    <w:vAlign w:val="bottom"/>
                    <w:hideMark/>
                  </w:tcPr>
                  <w:p w:rsidRPr="003E6C64" w:rsidR="002318A8" w:rsidRDefault="002318A8" w14:paraId="794ECAAE" w14:textId="77777777">
                    <w:pPr>
                      <w:jc w:val="right"/>
                      <w:rPr>
                        <w:rFonts w:cs="Arial"/>
                        <w:sz w:val="18"/>
                        <w:szCs w:val="18"/>
                      </w:rPr>
                    </w:pPr>
                    <w:r w:rsidRPr="003E6C64">
                      <w:rPr>
                        <w:rFonts w:cs="Arial"/>
                        <w:sz w:val="18"/>
                        <w:szCs w:val="18"/>
                      </w:rPr>
                      <w:t>3,5</w:t>
                    </w:r>
                  </w:p>
                </w:tc>
                <w:tc>
                  <w:tcPr>
                    <w:tcW w:w="440" w:type="pct"/>
                    <w:tcBorders>
                      <w:top w:val="nil"/>
                      <w:left w:val="nil"/>
                      <w:bottom w:val="nil"/>
                      <w:right w:val="nil"/>
                    </w:tcBorders>
                    <w:shd w:val="clear" w:color="000000" w:fill="D9D9D9"/>
                    <w:noWrap/>
                    <w:vAlign w:val="bottom"/>
                    <w:hideMark/>
                  </w:tcPr>
                  <w:p w:rsidRPr="003E6C64" w:rsidR="002318A8" w:rsidRDefault="002318A8" w14:paraId="5EC2630E" w14:textId="77777777">
                    <w:pPr>
                      <w:jc w:val="right"/>
                      <w:rPr>
                        <w:rFonts w:cs="Arial"/>
                        <w:sz w:val="18"/>
                        <w:szCs w:val="18"/>
                      </w:rPr>
                    </w:pPr>
                    <w:r w:rsidRPr="003E6C64">
                      <w:rPr>
                        <w:rFonts w:cs="Arial"/>
                        <w:sz w:val="18"/>
                        <w:szCs w:val="18"/>
                      </w:rPr>
                      <w:t>2,8</w:t>
                    </w:r>
                  </w:p>
                </w:tc>
                <w:tc>
                  <w:tcPr>
                    <w:tcW w:w="440" w:type="pct"/>
                    <w:tcBorders>
                      <w:top w:val="nil"/>
                      <w:left w:val="nil"/>
                      <w:bottom w:val="nil"/>
                      <w:right w:val="nil"/>
                    </w:tcBorders>
                    <w:shd w:val="clear" w:color="000000" w:fill="D9D9D9"/>
                    <w:noWrap/>
                    <w:vAlign w:val="bottom"/>
                    <w:hideMark/>
                  </w:tcPr>
                  <w:p w:rsidRPr="003E6C64" w:rsidR="002318A8" w:rsidRDefault="002318A8" w14:paraId="625EF503" w14:textId="77777777">
                    <w:pPr>
                      <w:jc w:val="right"/>
                      <w:rPr>
                        <w:rFonts w:cs="Arial"/>
                        <w:sz w:val="18"/>
                        <w:szCs w:val="18"/>
                      </w:rPr>
                    </w:pPr>
                    <w:r w:rsidRPr="003E6C64">
                      <w:rPr>
                        <w:rFonts w:cs="Arial"/>
                        <w:sz w:val="18"/>
                        <w:szCs w:val="18"/>
                      </w:rPr>
                      <w:t>2,9</w:t>
                    </w:r>
                  </w:p>
                </w:tc>
              </w:tr>
              <w:tr w:rsidRPr="003E6C64" w:rsidR="002318A8" w:rsidTr="0092291D" w14:paraId="0B741BCA"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E9668C7" w14:textId="77777777">
                    <w:pPr>
                      <w:rPr>
                        <w:rFonts w:cs="Arial"/>
                        <w:sz w:val="18"/>
                        <w:szCs w:val="18"/>
                      </w:rPr>
                    </w:pPr>
                    <w:r w:rsidRPr="003E6C64">
                      <w:rPr>
                        <w:rFonts w:cs="Arial"/>
                        <w:sz w:val="18"/>
                        <w:szCs w:val="18"/>
                      </w:rPr>
                      <w:t>Loonvoet bedrijven</w:t>
                    </w:r>
                  </w:p>
                </w:tc>
                <w:tc>
                  <w:tcPr>
                    <w:tcW w:w="574" w:type="pct"/>
                    <w:tcBorders>
                      <w:top w:val="nil"/>
                      <w:left w:val="nil"/>
                      <w:bottom w:val="nil"/>
                      <w:right w:val="nil"/>
                    </w:tcBorders>
                    <w:shd w:val="clear" w:color="auto" w:fill="auto"/>
                    <w:noWrap/>
                    <w:vAlign w:val="bottom"/>
                    <w:hideMark/>
                  </w:tcPr>
                  <w:p w:rsidRPr="003E6C64" w:rsidR="002318A8" w:rsidRDefault="002318A8" w14:paraId="3B3E5350" w14:textId="77777777">
                    <w:pPr>
                      <w:jc w:val="right"/>
                      <w:rPr>
                        <w:rFonts w:cs="Arial"/>
                        <w:sz w:val="18"/>
                        <w:szCs w:val="18"/>
                      </w:rPr>
                    </w:pPr>
                    <w:r w:rsidRPr="003E6C64">
                      <w:rPr>
                        <w:rFonts w:cs="Arial"/>
                        <w:sz w:val="18"/>
                        <w:szCs w:val="18"/>
                      </w:rPr>
                      <w:t>6,6</w:t>
                    </w:r>
                  </w:p>
                </w:tc>
                <w:tc>
                  <w:tcPr>
                    <w:tcW w:w="343" w:type="pct"/>
                    <w:tcBorders>
                      <w:top w:val="nil"/>
                      <w:left w:val="nil"/>
                      <w:bottom w:val="nil"/>
                      <w:right w:val="nil"/>
                    </w:tcBorders>
                    <w:shd w:val="clear" w:color="auto" w:fill="auto"/>
                    <w:noWrap/>
                    <w:vAlign w:val="bottom"/>
                    <w:hideMark/>
                  </w:tcPr>
                  <w:p w:rsidRPr="003E6C64" w:rsidR="002318A8" w:rsidRDefault="002318A8" w14:paraId="610F06AB" w14:textId="77777777">
                    <w:pPr>
                      <w:jc w:val="right"/>
                      <w:rPr>
                        <w:rFonts w:cs="Arial"/>
                        <w:sz w:val="18"/>
                        <w:szCs w:val="18"/>
                      </w:rPr>
                    </w:pPr>
                    <w:r w:rsidRPr="003E6C64">
                      <w:rPr>
                        <w:rFonts w:cs="Arial"/>
                        <w:sz w:val="18"/>
                        <w:szCs w:val="18"/>
                      </w:rPr>
                      <w:t>5,2</w:t>
                    </w:r>
                  </w:p>
                </w:tc>
                <w:tc>
                  <w:tcPr>
                    <w:tcW w:w="440" w:type="pct"/>
                    <w:tcBorders>
                      <w:top w:val="nil"/>
                      <w:left w:val="nil"/>
                      <w:bottom w:val="nil"/>
                      <w:right w:val="nil"/>
                    </w:tcBorders>
                    <w:shd w:val="clear" w:color="auto" w:fill="auto"/>
                    <w:noWrap/>
                    <w:vAlign w:val="bottom"/>
                    <w:hideMark/>
                  </w:tcPr>
                  <w:p w:rsidRPr="003E6C64" w:rsidR="002318A8" w:rsidRDefault="002318A8" w14:paraId="187FA976" w14:textId="77777777">
                    <w:pPr>
                      <w:jc w:val="right"/>
                      <w:rPr>
                        <w:rFonts w:cs="Arial"/>
                        <w:sz w:val="18"/>
                        <w:szCs w:val="18"/>
                      </w:rPr>
                    </w:pPr>
                    <w:r w:rsidRPr="003E6C64">
                      <w:rPr>
                        <w:rFonts w:cs="Arial"/>
                        <w:sz w:val="18"/>
                        <w:szCs w:val="18"/>
                      </w:rPr>
                      <w:t>4,3</w:t>
                    </w:r>
                  </w:p>
                </w:tc>
                <w:tc>
                  <w:tcPr>
                    <w:tcW w:w="440" w:type="pct"/>
                    <w:tcBorders>
                      <w:top w:val="nil"/>
                      <w:left w:val="nil"/>
                      <w:bottom w:val="nil"/>
                      <w:right w:val="nil"/>
                    </w:tcBorders>
                    <w:shd w:val="clear" w:color="000000" w:fill="D9D9D9"/>
                    <w:noWrap/>
                    <w:vAlign w:val="bottom"/>
                    <w:hideMark/>
                  </w:tcPr>
                  <w:p w:rsidRPr="003E6C64" w:rsidR="002318A8" w:rsidRDefault="002318A8" w14:paraId="7494D773" w14:textId="77777777">
                    <w:pPr>
                      <w:jc w:val="right"/>
                      <w:rPr>
                        <w:rFonts w:cs="Arial"/>
                        <w:sz w:val="18"/>
                        <w:szCs w:val="18"/>
                      </w:rPr>
                    </w:pPr>
                    <w:r w:rsidRPr="003E6C64">
                      <w:rPr>
                        <w:rFonts w:cs="Arial"/>
                        <w:sz w:val="18"/>
                        <w:szCs w:val="18"/>
                      </w:rPr>
                      <w:t>7</w:t>
                    </w:r>
                    <w:r>
                      <w:rPr>
                        <w:rFonts w:cs="Arial"/>
                        <w:sz w:val="18"/>
                        <w:szCs w:val="18"/>
                      </w:rPr>
                      <w:t>,0</w:t>
                    </w:r>
                  </w:p>
                </w:tc>
                <w:tc>
                  <w:tcPr>
                    <w:tcW w:w="440" w:type="pct"/>
                    <w:tcBorders>
                      <w:top w:val="nil"/>
                      <w:left w:val="nil"/>
                      <w:bottom w:val="nil"/>
                      <w:right w:val="nil"/>
                    </w:tcBorders>
                    <w:shd w:val="clear" w:color="000000" w:fill="D9D9D9"/>
                    <w:noWrap/>
                    <w:vAlign w:val="bottom"/>
                    <w:hideMark/>
                  </w:tcPr>
                  <w:p w:rsidRPr="003E6C64" w:rsidR="002318A8" w:rsidRDefault="002318A8" w14:paraId="0D1A50D7" w14:textId="77777777">
                    <w:pPr>
                      <w:jc w:val="right"/>
                      <w:rPr>
                        <w:rFonts w:cs="Arial"/>
                        <w:sz w:val="18"/>
                        <w:szCs w:val="18"/>
                      </w:rPr>
                    </w:pPr>
                    <w:r w:rsidRPr="003E6C64">
                      <w:rPr>
                        <w:rFonts w:cs="Arial"/>
                        <w:sz w:val="18"/>
                        <w:szCs w:val="18"/>
                      </w:rPr>
                      <w:t>5,2</w:t>
                    </w:r>
                  </w:p>
                </w:tc>
                <w:tc>
                  <w:tcPr>
                    <w:tcW w:w="440" w:type="pct"/>
                    <w:tcBorders>
                      <w:top w:val="nil"/>
                      <w:left w:val="nil"/>
                      <w:bottom w:val="nil"/>
                      <w:right w:val="nil"/>
                    </w:tcBorders>
                    <w:shd w:val="clear" w:color="000000" w:fill="D9D9D9"/>
                    <w:noWrap/>
                    <w:vAlign w:val="bottom"/>
                    <w:hideMark/>
                  </w:tcPr>
                  <w:p w:rsidRPr="003E6C64" w:rsidR="002318A8" w:rsidRDefault="002318A8" w14:paraId="459BF789" w14:textId="77777777">
                    <w:pPr>
                      <w:jc w:val="right"/>
                      <w:rPr>
                        <w:rFonts w:cs="Arial"/>
                        <w:sz w:val="18"/>
                        <w:szCs w:val="18"/>
                      </w:rPr>
                    </w:pPr>
                    <w:r w:rsidRPr="003E6C64">
                      <w:rPr>
                        <w:rFonts w:cs="Arial"/>
                        <w:sz w:val="18"/>
                        <w:szCs w:val="18"/>
                      </w:rPr>
                      <w:t>4</w:t>
                    </w:r>
                    <w:r>
                      <w:rPr>
                        <w:rFonts w:cs="Arial"/>
                        <w:sz w:val="18"/>
                        <w:szCs w:val="18"/>
                      </w:rPr>
                      <w:t>,0</w:t>
                    </w:r>
                  </w:p>
                </w:tc>
              </w:tr>
              <w:tr w:rsidRPr="003E6C64" w:rsidR="002318A8" w:rsidTr="0092291D" w14:paraId="5D14099A" w14:textId="77777777">
                <w:trPr>
                  <w:trHeight w:val="258"/>
                </w:trPr>
                <w:tc>
                  <w:tcPr>
                    <w:tcW w:w="2322" w:type="pct"/>
                    <w:tcBorders>
                      <w:top w:val="nil"/>
                      <w:left w:val="nil"/>
                      <w:bottom w:val="nil"/>
                      <w:right w:val="nil"/>
                    </w:tcBorders>
                    <w:shd w:val="clear" w:color="auto" w:fill="auto"/>
                    <w:noWrap/>
                    <w:vAlign w:val="bottom"/>
                    <w:hideMark/>
                  </w:tcPr>
                  <w:p w:rsidRPr="003E6C64" w:rsidR="002318A8" w:rsidRDefault="002318A8" w14:paraId="005ABFC5" w14:textId="77777777">
                    <w:pPr>
                      <w:rPr>
                        <w:rFonts w:cs="Arial"/>
                        <w:sz w:val="18"/>
                        <w:szCs w:val="18"/>
                      </w:rPr>
                    </w:pPr>
                    <w:r w:rsidRPr="003E6C64">
                      <w:rPr>
                        <w:rFonts w:cs="Arial"/>
                        <w:sz w:val="18"/>
                        <w:szCs w:val="18"/>
                      </w:rPr>
                      <w:t>Werkloosheidspercentage beroepsbevolking (%)</w:t>
                    </w:r>
                  </w:p>
                </w:tc>
                <w:tc>
                  <w:tcPr>
                    <w:tcW w:w="574" w:type="pct"/>
                    <w:tcBorders>
                      <w:top w:val="nil"/>
                      <w:left w:val="nil"/>
                      <w:bottom w:val="nil"/>
                      <w:right w:val="nil"/>
                    </w:tcBorders>
                    <w:shd w:val="clear" w:color="auto" w:fill="auto"/>
                    <w:noWrap/>
                    <w:vAlign w:val="bottom"/>
                    <w:hideMark/>
                  </w:tcPr>
                  <w:p w:rsidRPr="003E6C64" w:rsidR="002318A8" w:rsidRDefault="002318A8" w14:paraId="347BA290" w14:textId="77777777">
                    <w:pPr>
                      <w:jc w:val="right"/>
                      <w:rPr>
                        <w:rFonts w:cs="Arial"/>
                        <w:sz w:val="18"/>
                        <w:szCs w:val="18"/>
                      </w:rPr>
                    </w:pPr>
                    <w:r w:rsidRPr="003E6C64">
                      <w:rPr>
                        <w:rFonts w:cs="Arial"/>
                        <w:sz w:val="18"/>
                        <w:szCs w:val="18"/>
                      </w:rPr>
                      <w:t>3,7</w:t>
                    </w:r>
                  </w:p>
                </w:tc>
                <w:tc>
                  <w:tcPr>
                    <w:tcW w:w="343" w:type="pct"/>
                    <w:tcBorders>
                      <w:top w:val="nil"/>
                      <w:left w:val="nil"/>
                      <w:bottom w:val="nil"/>
                      <w:right w:val="nil"/>
                    </w:tcBorders>
                    <w:shd w:val="clear" w:color="auto" w:fill="auto"/>
                    <w:noWrap/>
                    <w:vAlign w:val="bottom"/>
                    <w:hideMark/>
                  </w:tcPr>
                  <w:p w:rsidRPr="003E6C64" w:rsidR="002318A8" w:rsidRDefault="002318A8" w14:paraId="0618386C" w14:textId="77777777">
                    <w:pPr>
                      <w:jc w:val="right"/>
                      <w:rPr>
                        <w:rFonts w:cs="Arial"/>
                        <w:sz w:val="18"/>
                        <w:szCs w:val="18"/>
                      </w:rPr>
                    </w:pPr>
                    <w:r w:rsidRPr="003E6C64">
                      <w:rPr>
                        <w:rFonts w:cs="Arial"/>
                        <w:sz w:val="18"/>
                        <w:szCs w:val="18"/>
                      </w:rPr>
                      <w:t>3,8</w:t>
                    </w:r>
                  </w:p>
                </w:tc>
                <w:tc>
                  <w:tcPr>
                    <w:tcW w:w="440" w:type="pct"/>
                    <w:tcBorders>
                      <w:top w:val="nil"/>
                      <w:left w:val="nil"/>
                      <w:bottom w:val="nil"/>
                      <w:right w:val="nil"/>
                    </w:tcBorders>
                    <w:shd w:val="clear" w:color="auto" w:fill="auto"/>
                    <w:noWrap/>
                    <w:vAlign w:val="bottom"/>
                    <w:hideMark/>
                  </w:tcPr>
                  <w:p w:rsidRPr="003E6C64" w:rsidR="002318A8" w:rsidRDefault="002318A8" w14:paraId="6A393B62" w14:textId="77777777">
                    <w:pPr>
                      <w:jc w:val="right"/>
                      <w:rPr>
                        <w:rFonts w:cs="Arial"/>
                        <w:sz w:val="18"/>
                        <w:szCs w:val="18"/>
                      </w:rPr>
                    </w:pPr>
                    <w:r w:rsidRPr="003E6C64">
                      <w:rPr>
                        <w:rFonts w:cs="Arial"/>
                        <w:sz w:val="18"/>
                        <w:szCs w:val="18"/>
                      </w:rPr>
                      <w:t>4</w:t>
                    </w:r>
                    <w:r>
                      <w:rPr>
                        <w:rFonts w:cs="Arial"/>
                        <w:sz w:val="18"/>
                        <w:szCs w:val="18"/>
                      </w:rPr>
                      <w:t>,0</w:t>
                    </w:r>
                  </w:p>
                </w:tc>
                <w:tc>
                  <w:tcPr>
                    <w:tcW w:w="440" w:type="pct"/>
                    <w:tcBorders>
                      <w:top w:val="nil"/>
                      <w:left w:val="nil"/>
                      <w:bottom w:val="nil"/>
                      <w:right w:val="nil"/>
                    </w:tcBorders>
                    <w:shd w:val="clear" w:color="000000" w:fill="D9D9D9"/>
                    <w:noWrap/>
                    <w:vAlign w:val="bottom"/>
                    <w:hideMark/>
                  </w:tcPr>
                  <w:p w:rsidRPr="003E6C64" w:rsidR="002318A8" w:rsidRDefault="002318A8" w14:paraId="30A808A0" w14:textId="77777777">
                    <w:pPr>
                      <w:jc w:val="right"/>
                      <w:rPr>
                        <w:rFonts w:cs="Arial"/>
                        <w:sz w:val="18"/>
                        <w:szCs w:val="18"/>
                      </w:rPr>
                    </w:pPr>
                    <w:r w:rsidRPr="003E6C64">
                      <w:rPr>
                        <w:rFonts w:cs="Arial"/>
                        <w:sz w:val="18"/>
                        <w:szCs w:val="18"/>
                      </w:rPr>
                      <w:t>3,7</w:t>
                    </w:r>
                  </w:p>
                </w:tc>
                <w:tc>
                  <w:tcPr>
                    <w:tcW w:w="440" w:type="pct"/>
                    <w:tcBorders>
                      <w:top w:val="nil"/>
                      <w:left w:val="nil"/>
                      <w:bottom w:val="nil"/>
                      <w:right w:val="nil"/>
                    </w:tcBorders>
                    <w:shd w:val="clear" w:color="000000" w:fill="D9D9D9"/>
                    <w:noWrap/>
                    <w:vAlign w:val="bottom"/>
                    <w:hideMark/>
                  </w:tcPr>
                  <w:p w:rsidRPr="003E6C64" w:rsidR="002318A8" w:rsidRDefault="002318A8" w14:paraId="395FBCCA" w14:textId="77777777">
                    <w:pPr>
                      <w:jc w:val="right"/>
                      <w:rPr>
                        <w:rFonts w:cs="Arial"/>
                        <w:sz w:val="18"/>
                        <w:szCs w:val="18"/>
                      </w:rPr>
                    </w:pPr>
                    <w:r w:rsidRPr="003E6C64">
                      <w:rPr>
                        <w:rFonts w:cs="Arial"/>
                        <w:sz w:val="18"/>
                        <w:szCs w:val="18"/>
                      </w:rPr>
                      <w:t>3,8</w:t>
                    </w:r>
                  </w:p>
                </w:tc>
                <w:tc>
                  <w:tcPr>
                    <w:tcW w:w="440" w:type="pct"/>
                    <w:tcBorders>
                      <w:top w:val="nil"/>
                      <w:left w:val="nil"/>
                      <w:bottom w:val="nil"/>
                      <w:right w:val="nil"/>
                    </w:tcBorders>
                    <w:shd w:val="clear" w:color="000000" w:fill="D9D9D9"/>
                    <w:noWrap/>
                    <w:vAlign w:val="bottom"/>
                    <w:hideMark/>
                  </w:tcPr>
                  <w:p w:rsidRPr="003E6C64" w:rsidR="002318A8" w:rsidRDefault="002318A8" w14:paraId="28DA62FB" w14:textId="77777777">
                    <w:pPr>
                      <w:jc w:val="right"/>
                      <w:rPr>
                        <w:rFonts w:cs="Arial"/>
                        <w:sz w:val="18"/>
                        <w:szCs w:val="18"/>
                      </w:rPr>
                    </w:pPr>
                    <w:r w:rsidRPr="003E6C64">
                      <w:rPr>
                        <w:rFonts w:cs="Arial"/>
                        <w:sz w:val="18"/>
                        <w:szCs w:val="18"/>
                      </w:rPr>
                      <w:t>4,1</w:t>
                    </w:r>
                  </w:p>
                </w:tc>
              </w:tr>
              <w:tr w:rsidRPr="003E6C64" w:rsidR="002318A8" w:rsidTr="0092291D" w14:paraId="1F2FAB37" w14:textId="77777777">
                <w:trPr>
                  <w:trHeight w:val="258"/>
                </w:trPr>
                <w:tc>
                  <w:tcPr>
                    <w:tcW w:w="2322" w:type="pct"/>
                    <w:tcBorders>
                      <w:top w:val="nil"/>
                      <w:left w:val="nil"/>
                      <w:bottom w:val="single" w:color="auto" w:sz="12" w:space="0"/>
                      <w:right w:val="nil"/>
                    </w:tcBorders>
                    <w:shd w:val="clear" w:color="auto" w:fill="auto"/>
                    <w:noWrap/>
                    <w:vAlign w:val="bottom"/>
                    <w:hideMark/>
                  </w:tcPr>
                  <w:p w:rsidRPr="003E6C64" w:rsidR="002318A8" w:rsidRDefault="002318A8" w14:paraId="64C151A7" w14:textId="77777777">
                    <w:pPr>
                      <w:rPr>
                        <w:rFonts w:cs="Arial"/>
                        <w:sz w:val="18"/>
                        <w:szCs w:val="18"/>
                      </w:rPr>
                    </w:pPr>
                    <w:r w:rsidRPr="003E6C64">
                      <w:rPr>
                        <w:rFonts w:cs="Arial"/>
                        <w:sz w:val="18"/>
                        <w:szCs w:val="18"/>
                      </w:rPr>
                      <w:t>Arbeidsproductiviteit bedrijven</w:t>
                    </w:r>
                  </w:p>
                </w:tc>
                <w:tc>
                  <w:tcPr>
                    <w:tcW w:w="574" w:type="pct"/>
                    <w:tcBorders>
                      <w:top w:val="nil"/>
                      <w:left w:val="nil"/>
                      <w:bottom w:val="single" w:color="auto" w:sz="12" w:space="0"/>
                      <w:right w:val="nil"/>
                    </w:tcBorders>
                    <w:shd w:val="clear" w:color="auto" w:fill="auto"/>
                    <w:noWrap/>
                    <w:vAlign w:val="bottom"/>
                    <w:hideMark/>
                  </w:tcPr>
                  <w:p w:rsidRPr="003E6C64" w:rsidR="002318A8" w:rsidRDefault="002318A8" w14:paraId="67666568" w14:textId="77777777">
                    <w:pPr>
                      <w:jc w:val="right"/>
                      <w:rPr>
                        <w:rFonts w:cs="Arial"/>
                        <w:sz w:val="18"/>
                        <w:szCs w:val="18"/>
                      </w:rPr>
                    </w:pPr>
                    <w:r w:rsidRPr="003E6C64">
                      <w:rPr>
                        <w:rFonts w:cs="Arial"/>
                        <w:sz w:val="18"/>
                        <w:szCs w:val="18"/>
                      </w:rPr>
                      <w:t>0,3</w:t>
                    </w:r>
                  </w:p>
                </w:tc>
                <w:tc>
                  <w:tcPr>
                    <w:tcW w:w="343" w:type="pct"/>
                    <w:tcBorders>
                      <w:top w:val="nil"/>
                      <w:left w:val="nil"/>
                      <w:bottom w:val="single" w:color="auto" w:sz="12" w:space="0"/>
                      <w:right w:val="nil"/>
                    </w:tcBorders>
                    <w:shd w:val="clear" w:color="auto" w:fill="auto"/>
                    <w:noWrap/>
                    <w:vAlign w:val="bottom"/>
                    <w:hideMark/>
                  </w:tcPr>
                  <w:p w:rsidRPr="003E6C64" w:rsidR="002318A8" w:rsidRDefault="002318A8" w14:paraId="5E4D3CA4" w14:textId="77777777">
                    <w:pPr>
                      <w:jc w:val="right"/>
                      <w:rPr>
                        <w:rFonts w:cs="Arial"/>
                        <w:sz w:val="18"/>
                        <w:szCs w:val="18"/>
                      </w:rPr>
                    </w:pPr>
                    <w:r w:rsidRPr="003E6C64">
                      <w:rPr>
                        <w:rFonts w:cs="Arial"/>
                        <w:sz w:val="18"/>
                        <w:szCs w:val="18"/>
                      </w:rPr>
                      <w:t>1,6</w:t>
                    </w:r>
                  </w:p>
                </w:tc>
                <w:tc>
                  <w:tcPr>
                    <w:tcW w:w="440" w:type="pct"/>
                    <w:tcBorders>
                      <w:top w:val="nil"/>
                      <w:left w:val="nil"/>
                      <w:bottom w:val="single" w:color="auto" w:sz="12" w:space="0"/>
                      <w:right w:val="nil"/>
                    </w:tcBorders>
                    <w:shd w:val="clear" w:color="auto" w:fill="auto"/>
                    <w:noWrap/>
                    <w:vAlign w:val="bottom"/>
                    <w:hideMark/>
                  </w:tcPr>
                  <w:p w:rsidRPr="003E6C64" w:rsidR="002318A8" w:rsidRDefault="002318A8" w14:paraId="541C5511" w14:textId="77777777">
                    <w:pPr>
                      <w:jc w:val="right"/>
                      <w:rPr>
                        <w:rFonts w:cs="Arial"/>
                        <w:sz w:val="18"/>
                        <w:szCs w:val="18"/>
                      </w:rPr>
                    </w:pPr>
                    <w:r w:rsidRPr="003E6C64">
                      <w:rPr>
                        <w:rFonts w:cs="Arial"/>
                        <w:sz w:val="18"/>
                        <w:szCs w:val="18"/>
                      </w:rPr>
                      <w:t>1,2</w:t>
                    </w:r>
                  </w:p>
                </w:tc>
                <w:tc>
                  <w:tcPr>
                    <w:tcW w:w="440" w:type="pct"/>
                    <w:tcBorders>
                      <w:top w:val="nil"/>
                      <w:left w:val="nil"/>
                      <w:bottom w:val="single" w:color="auto" w:sz="12" w:space="0"/>
                      <w:right w:val="nil"/>
                    </w:tcBorders>
                    <w:shd w:val="clear" w:color="000000" w:fill="D9D9D9"/>
                    <w:noWrap/>
                    <w:vAlign w:val="bottom"/>
                    <w:hideMark/>
                  </w:tcPr>
                  <w:p w:rsidRPr="003E6C64" w:rsidR="002318A8" w:rsidRDefault="002318A8" w14:paraId="5DF83FD2" w14:textId="77777777">
                    <w:pPr>
                      <w:jc w:val="right"/>
                      <w:rPr>
                        <w:rFonts w:cs="Arial"/>
                        <w:sz w:val="18"/>
                        <w:szCs w:val="18"/>
                      </w:rPr>
                    </w:pPr>
                    <w:r w:rsidRPr="003E6C64">
                      <w:rPr>
                        <w:rFonts w:cs="Arial"/>
                        <w:sz w:val="18"/>
                        <w:szCs w:val="18"/>
                      </w:rPr>
                      <w:t>-0,3</w:t>
                    </w:r>
                  </w:p>
                </w:tc>
                <w:tc>
                  <w:tcPr>
                    <w:tcW w:w="440" w:type="pct"/>
                    <w:tcBorders>
                      <w:top w:val="nil"/>
                      <w:left w:val="nil"/>
                      <w:bottom w:val="single" w:color="auto" w:sz="12" w:space="0"/>
                      <w:right w:val="nil"/>
                    </w:tcBorders>
                    <w:shd w:val="clear" w:color="000000" w:fill="D9D9D9"/>
                    <w:noWrap/>
                    <w:vAlign w:val="bottom"/>
                    <w:hideMark/>
                  </w:tcPr>
                  <w:p w:rsidRPr="003E6C64" w:rsidR="002318A8" w:rsidRDefault="002318A8" w14:paraId="17B5428B" w14:textId="77777777">
                    <w:pPr>
                      <w:jc w:val="right"/>
                      <w:rPr>
                        <w:rFonts w:cs="Arial"/>
                        <w:sz w:val="18"/>
                        <w:szCs w:val="18"/>
                      </w:rPr>
                    </w:pPr>
                    <w:r w:rsidRPr="003E6C64">
                      <w:rPr>
                        <w:rFonts w:cs="Arial"/>
                        <w:sz w:val="18"/>
                        <w:szCs w:val="18"/>
                      </w:rPr>
                      <w:t>1,3</w:t>
                    </w:r>
                  </w:p>
                </w:tc>
                <w:tc>
                  <w:tcPr>
                    <w:tcW w:w="440" w:type="pct"/>
                    <w:tcBorders>
                      <w:top w:val="nil"/>
                      <w:left w:val="nil"/>
                      <w:bottom w:val="single" w:color="auto" w:sz="12" w:space="0"/>
                      <w:right w:val="nil"/>
                    </w:tcBorders>
                    <w:shd w:val="clear" w:color="000000" w:fill="D9D9D9"/>
                    <w:noWrap/>
                    <w:vAlign w:val="bottom"/>
                    <w:hideMark/>
                  </w:tcPr>
                  <w:p w:rsidRPr="003E6C64" w:rsidR="002318A8" w:rsidRDefault="002318A8" w14:paraId="1FC68D83" w14:textId="77777777">
                    <w:pPr>
                      <w:jc w:val="right"/>
                      <w:rPr>
                        <w:rFonts w:cs="Arial"/>
                        <w:sz w:val="18"/>
                        <w:szCs w:val="18"/>
                      </w:rPr>
                    </w:pPr>
                    <w:r w:rsidRPr="003E6C64">
                      <w:rPr>
                        <w:rFonts w:cs="Arial"/>
                        <w:sz w:val="18"/>
                        <w:szCs w:val="18"/>
                      </w:rPr>
                      <w:t>1,2</w:t>
                    </w:r>
                  </w:p>
                </w:tc>
              </w:tr>
            </w:tbl>
            <w:p w:rsidRPr="0004695C" w:rsidR="002318A8" w:rsidP="002318A8" w:rsidRDefault="002318A8" w14:paraId="02C8218B" w14:textId="77777777">
              <w:pPr>
                <w:rPr>
                  <w:i/>
                  <w:iCs/>
                  <w:sz w:val="18"/>
                  <w:szCs w:val="18"/>
                </w:rPr>
              </w:pPr>
              <w:r w:rsidRPr="0004695C">
                <w:rPr>
                  <w:i/>
                  <w:iCs/>
                  <w:sz w:val="18"/>
                  <w:szCs w:val="18"/>
                </w:rPr>
                <w:t>Bron: CPB, Centraal Economisch Plan 2025 (februari 2025) en Macro Economische Verkenning 2024 (september 2024)</w:t>
              </w:r>
            </w:p>
            <w:p w:rsidR="002318A8" w:rsidP="002318A8" w:rsidRDefault="002318A8" w14:paraId="52BB8CB0" w14:textId="77777777">
              <w:pPr>
                <w:rPr>
                  <w:b/>
                  <w:bCs/>
                </w:rPr>
              </w:pPr>
            </w:p>
            <w:p w:rsidR="002318A8" w:rsidP="002318A8" w:rsidRDefault="002318A8" w14:paraId="001128D1" w14:textId="77777777">
              <w:r>
                <w:t xml:space="preserve">De Voorjaarsnota bevat een aantal maatregelen die vermoedelijk een effect hebben op de inflatie en koopkracht van huishoudens. Zo voorkomt het schrappen van de btw-verhoging op cultuur, sport en media naar verwachting een opwaarts effect op de inflatie, en hebben het verlagen van de </w:t>
              </w:r>
              <w:r>
                <w:lastRenderedPageBreak/>
                <w:t xml:space="preserve">energiebelasting en het verhogen van de huurtoeslag een opwaarts effect op de koopkracht in 2025 en 2026. Daar staat echter een lastenverhoging tegenover door het beperkt aanpassen van de grenzen van de belastingschijven aan de ontwikkeling van de inflatie vanaf 2026. Een definitief beeld van de kwantitatieve effecten van deze maatregelen op de koopkracht volgt bij de concept-Macro-Economische Verkenning van het CPB in augustus. </w:t>
              </w:r>
            </w:p>
            <w:p w:rsidR="002318A8" w:rsidP="002318A8" w:rsidRDefault="002318A8" w14:paraId="2D577B1F" w14:textId="77777777">
              <w:pPr>
                <w:rPr>
                  <w:b/>
                  <w:bCs/>
                </w:rPr>
              </w:pPr>
            </w:p>
            <w:p w:rsidRPr="008351F2" w:rsidR="002318A8" w:rsidP="002318A8" w:rsidRDefault="002318A8" w14:paraId="101B19A6" w14:textId="77777777">
              <w:pPr>
                <w:rPr>
                  <w:i/>
                  <w:iCs/>
                </w:rPr>
              </w:pPr>
              <w:r w:rsidRPr="008351F2">
                <w:rPr>
                  <w:i/>
                  <w:iCs/>
                </w:rPr>
                <w:t>Macro-economische vooruitzichten</w:t>
              </w:r>
              <w:r>
                <w:rPr>
                  <w:i/>
                  <w:iCs/>
                </w:rPr>
                <w:t xml:space="preserve"> (middellange termijn)</w:t>
              </w:r>
            </w:p>
            <w:p w:rsidR="002318A8" w:rsidP="002318A8" w:rsidRDefault="002318A8" w14:paraId="7AB3BE0F" w14:textId="77777777">
              <w:r w:rsidRPr="001A2515">
                <w:t xml:space="preserve">Op de middellange termijn vertraagt </w:t>
              </w:r>
              <w:r>
                <w:t xml:space="preserve">naar verwachting </w:t>
              </w:r>
              <w:r w:rsidRPr="001A2515">
                <w:t>de economisch groei</w:t>
              </w:r>
              <w:r>
                <w:t xml:space="preserve"> in de CEP-raming naar 1,2% per jaar in de periode 2026-2033, vooral door een minder sterke groei van het arbeidsaanbod. Het CPB veronderstelt dat het feitelijke niveau van de economie gelijk zal zijn aan het potentiële niveau. Het potentiële niveau – en daarmee ook de groei – van de economie hangt af van de beschikbare hoeveelheid arbeid, kapitaal en de productiviteit. </w:t>
              </w:r>
            </w:p>
            <w:p w:rsidR="002318A8" w:rsidP="002318A8" w:rsidRDefault="002318A8" w14:paraId="5C8F2D99" w14:textId="77777777"/>
            <w:p w:rsidR="002318A8" w:rsidP="002318A8" w:rsidRDefault="002318A8" w14:paraId="7BD53300" w14:textId="77777777">
              <w:r>
                <w:t xml:space="preserve">De geschatte potentiële groei zal in de periode 2025-2033 lager liggen dan in de afgelopen decennia, vooral door een afnemende groei van het structurele arbeidsaanbod. De bevolking groeit minder hard, </w:t>
              </w:r>
              <w:r w:rsidRPr="004E0A67">
                <w:t>terwijl ook de participatiegraa</w:t>
              </w:r>
              <w:r>
                <w:t>d</w:t>
              </w:r>
              <w:r w:rsidRPr="004E0A67">
                <w:t xml:space="preserve"> de komende jaren minder sterk toeneemt</w:t>
              </w:r>
              <w:r>
                <w:t xml:space="preserve"> dan in de afgelopen decennia</w:t>
              </w:r>
              <w:r w:rsidRPr="004E0A67">
                <w:t xml:space="preserve">, vooral van vrouwen. Sinds de jaren negentig </w:t>
              </w:r>
              <w:r>
                <w:t>laat</w:t>
              </w:r>
              <w:r w:rsidRPr="004E0A67">
                <w:t xml:space="preserve"> vooral de participatie van vrouwen een sterke groei zien</w:t>
              </w:r>
              <w:r>
                <w:t xml:space="preserve">. De ruimte voor een verdere vergroting van het potentiële arbeidsaanbod van vrouwen is daarom inmiddels beperkt. De productiviteitsgroei zal met 0,7% ongeveer op het niveau liggen van de afgelopen decennia. </w:t>
              </w:r>
            </w:p>
            <w:p w:rsidR="002318A8" w:rsidP="002318A8" w:rsidRDefault="002318A8" w14:paraId="3D1280D5" w14:textId="77777777">
              <w:pPr>
                <w:rPr>
                  <w:b/>
                  <w:bCs/>
                </w:rPr>
              </w:pPr>
            </w:p>
            <w:p w:rsidRPr="0004695C" w:rsidR="002318A8" w:rsidP="002318A8" w:rsidRDefault="002318A8" w14:paraId="09E552B5" w14:textId="77777777">
              <w:pPr>
                <w:rPr>
                  <w:b/>
                  <w:bCs/>
                  <w:sz w:val="18"/>
                  <w:szCs w:val="18"/>
                </w:rPr>
              </w:pPr>
              <w:r w:rsidRPr="0004695C">
                <w:rPr>
                  <w:b/>
                  <w:bCs/>
                  <w:sz w:val="18"/>
                  <w:szCs w:val="18"/>
                </w:rPr>
                <w:t>Tabel 2: Kerngegevens macro-economische ontwikkelingen 2027-2033</w:t>
              </w:r>
            </w:p>
            <w:tbl>
              <w:tblPr>
                <w:tblW w:w="5000" w:type="pct"/>
                <w:tblCellMar>
                  <w:left w:w="70" w:type="dxa"/>
                  <w:right w:w="70" w:type="dxa"/>
                </w:tblCellMar>
                <w:tblLook w:val="04A0" w:firstRow="1" w:lastRow="0" w:firstColumn="1" w:lastColumn="0" w:noHBand="0" w:noVBand="1"/>
              </w:tblPr>
              <w:tblGrid>
                <w:gridCol w:w="4376"/>
                <w:gridCol w:w="931"/>
                <w:gridCol w:w="754"/>
                <w:gridCol w:w="754"/>
                <w:gridCol w:w="757"/>
                <w:gridCol w:w="931"/>
              </w:tblGrid>
              <w:tr w:rsidRPr="003E6C64" w:rsidR="002318A8" w:rsidTr="0092291D" w14:paraId="0C236685" w14:textId="77777777">
                <w:trPr>
                  <w:trHeight w:val="263"/>
                </w:trPr>
                <w:tc>
                  <w:tcPr>
                    <w:tcW w:w="2596"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3DA2AFBD" w14:textId="77777777">
                    <w:pPr>
                      <w:rPr>
                        <w:rFonts w:cs="Arial"/>
                        <w:sz w:val="18"/>
                        <w:szCs w:val="18"/>
                      </w:rPr>
                    </w:pPr>
                    <w:r w:rsidRPr="003E6C64">
                      <w:rPr>
                        <w:rFonts w:cs="Arial"/>
                        <w:sz w:val="18"/>
                        <w:szCs w:val="18"/>
                      </w:rPr>
                      <w:t> </w:t>
                    </w:r>
                  </w:p>
                </w:tc>
                <w:tc>
                  <w:tcPr>
                    <w:tcW w:w="534"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253CB22A" w14:textId="77777777">
                    <w:pPr>
                      <w:rPr>
                        <w:rFonts w:cs="Arial"/>
                        <w:sz w:val="18"/>
                        <w:szCs w:val="18"/>
                      </w:rPr>
                    </w:pPr>
                    <w:r w:rsidRPr="003E6C64">
                      <w:rPr>
                        <w:rFonts w:cs="Arial"/>
                        <w:sz w:val="18"/>
                        <w:szCs w:val="18"/>
                      </w:rPr>
                      <w:t>CEP 2025</w:t>
                    </w:r>
                  </w:p>
                </w:tc>
                <w:tc>
                  <w:tcPr>
                    <w:tcW w:w="467" w:type="pct"/>
                    <w:tcBorders>
                      <w:top w:val="single" w:color="auto" w:sz="12" w:space="0"/>
                      <w:left w:val="nil"/>
                      <w:bottom w:val="single" w:color="auto" w:sz="12" w:space="0"/>
                      <w:right w:val="nil"/>
                    </w:tcBorders>
                    <w:shd w:val="clear" w:color="auto" w:fill="auto"/>
                    <w:noWrap/>
                    <w:vAlign w:val="bottom"/>
                    <w:hideMark/>
                  </w:tcPr>
                  <w:p w:rsidRPr="003E6C64" w:rsidR="002318A8" w:rsidRDefault="002318A8" w14:paraId="248BBA32" w14:textId="77777777">
                    <w:pPr>
                      <w:rPr>
                        <w:rFonts w:cs="Arial"/>
                        <w:sz w:val="18"/>
                        <w:szCs w:val="18"/>
                      </w:rPr>
                    </w:pPr>
                    <w:r w:rsidRPr="003E6C64">
                      <w:rPr>
                        <w:rFonts w:cs="Arial"/>
                        <w:sz w:val="18"/>
                        <w:szCs w:val="18"/>
                      </w:rPr>
                      <w:t> </w:t>
                    </w:r>
                  </w:p>
                </w:tc>
                <w:tc>
                  <w:tcPr>
                    <w:tcW w:w="935" w:type="pct"/>
                    <w:gridSpan w:val="2"/>
                    <w:tcBorders>
                      <w:top w:val="single" w:color="auto" w:sz="12" w:space="0"/>
                      <w:left w:val="nil"/>
                      <w:bottom w:val="single" w:color="auto" w:sz="12" w:space="0"/>
                      <w:right w:val="nil"/>
                    </w:tcBorders>
                    <w:shd w:val="clear" w:color="000000" w:fill="D9D9D9"/>
                    <w:noWrap/>
                    <w:vAlign w:val="bottom"/>
                    <w:hideMark/>
                  </w:tcPr>
                  <w:p w:rsidRPr="003E6C64" w:rsidR="002318A8" w:rsidRDefault="002318A8" w14:paraId="1F72C7D7" w14:textId="77777777">
                    <w:pPr>
                      <w:rPr>
                        <w:rFonts w:cs="Arial"/>
                        <w:sz w:val="18"/>
                        <w:szCs w:val="18"/>
                      </w:rPr>
                    </w:pPr>
                    <w:r>
                      <w:rPr>
                        <w:rFonts w:cs="Arial"/>
                        <w:sz w:val="18"/>
                        <w:szCs w:val="18"/>
                      </w:rPr>
                      <w:t>MEV 2025</w:t>
                    </w:r>
                    <w:r w:rsidRPr="003E6C64">
                      <w:rPr>
                        <w:rFonts w:cs="Arial"/>
                        <w:sz w:val="18"/>
                        <w:szCs w:val="18"/>
                      </w:rPr>
                      <w:t> </w:t>
                    </w:r>
                  </w:p>
                </w:tc>
                <w:tc>
                  <w:tcPr>
                    <w:tcW w:w="467" w:type="pct"/>
                    <w:tcBorders>
                      <w:top w:val="single" w:color="auto" w:sz="12" w:space="0"/>
                      <w:left w:val="nil"/>
                      <w:bottom w:val="single" w:color="auto" w:sz="12" w:space="0"/>
                      <w:right w:val="nil"/>
                    </w:tcBorders>
                    <w:shd w:val="clear" w:color="000000" w:fill="D9D9D9"/>
                    <w:noWrap/>
                    <w:vAlign w:val="bottom"/>
                    <w:hideMark/>
                  </w:tcPr>
                  <w:p w:rsidRPr="003E6C64" w:rsidR="002318A8" w:rsidRDefault="002318A8" w14:paraId="11693503" w14:textId="77777777">
                    <w:pPr>
                      <w:rPr>
                        <w:rFonts w:cs="Arial"/>
                        <w:sz w:val="18"/>
                        <w:szCs w:val="18"/>
                      </w:rPr>
                    </w:pPr>
                    <w:r w:rsidRPr="003E6C64">
                      <w:rPr>
                        <w:rFonts w:cs="Arial"/>
                        <w:sz w:val="18"/>
                        <w:szCs w:val="18"/>
                      </w:rPr>
                      <w:t>CEP 2025</w:t>
                    </w:r>
                  </w:p>
                </w:tc>
              </w:tr>
              <w:tr w:rsidRPr="003E6C64" w:rsidR="002318A8" w:rsidTr="0092291D" w14:paraId="2C71F661" w14:textId="77777777">
                <w:trPr>
                  <w:trHeight w:val="263"/>
                </w:trPr>
                <w:tc>
                  <w:tcPr>
                    <w:tcW w:w="2596" w:type="pct"/>
                    <w:tcBorders>
                      <w:top w:val="single" w:color="auto" w:sz="12" w:space="0"/>
                      <w:left w:val="nil"/>
                      <w:right w:val="nil"/>
                    </w:tcBorders>
                    <w:shd w:val="clear" w:color="auto" w:fill="auto"/>
                    <w:noWrap/>
                    <w:vAlign w:val="bottom"/>
                    <w:hideMark/>
                  </w:tcPr>
                  <w:p w:rsidRPr="003E6C64" w:rsidR="002318A8" w:rsidRDefault="002318A8" w14:paraId="4520B928" w14:textId="77777777">
                    <w:pPr>
                      <w:rPr>
                        <w:rFonts w:cs="Arial"/>
                        <w:b/>
                        <w:bCs/>
                        <w:sz w:val="18"/>
                        <w:szCs w:val="18"/>
                      </w:rPr>
                    </w:pPr>
                    <w:r w:rsidRPr="003E6C64">
                      <w:rPr>
                        <w:rFonts w:cs="Arial"/>
                        <w:b/>
                        <w:bCs/>
                        <w:sz w:val="18"/>
                        <w:szCs w:val="18"/>
                      </w:rPr>
                      <w:t>Macro-economische kernindicatoren</w:t>
                    </w:r>
                    <w:r>
                      <w:rPr>
                        <w:rFonts w:cs="Arial"/>
                        <w:b/>
                        <w:bCs/>
                        <w:sz w:val="18"/>
                        <w:szCs w:val="18"/>
                      </w:rPr>
                      <w:t xml:space="preserve"> (groei in %)</w:t>
                    </w:r>
                  </w:p>
                </w:tc>
                <w:tc>
                  <w:tcPr>
                    <w:tcW w:w="534" w:type="pct"/>
                    <w:tcBorders>
                      <w:top w:val="single" w:color="auto" w:sz="12" w:space="0"/>
                      <w:left w:val="nil"/>
                      <w:right w:val="nil"/>
                    </w:tcBorders>
                    <w:shd w:val="clear" w:color="auto" w:fill="auto"/>
                    <w:noWrap/>
                    <w:vAlign w:val="bottom"/>
                    <w:hideMark/>
                  </w:tcPr>
                  <w:p w:rsidRPr="003E6C64" w:rsidR="002318A8" w:rsidRDefault="002318A8" w14:paraId="136C2041" w14:textId="77777777">
                    <w:pPr>
                      <w:rPr>
                        <w:rFonts w:cs="Arial"/>
                        <w:b/>
                        <w:bCs/>
                        <w:sz w:val="18"/>
                        <w:szCs w:val="18"/>
                      </w:rPr>
                    </w:pPr>
                  </w:p>
                </w:tc>
                <w:tc>
                  <w:tcPr>
                    <w:tcW w:w="467" w:type="pct"/>
                    <w:tcBorders>
                      <w:top w:val="single" w:color="auto" w:sz="12" w:space="0"/>
                      <w:left w:val="nil"/>
                      <w:right w:val="nil"/>
                    </w:tcBorders>
                    <w:shd w:val="clear" w:color="auto" w:fill="auto"/>
                    <w:noWrap/>
                    <w:vAlign w:val="bottom"/>
                    <w:hideMark/>
                  </w:tcPr>
                  <w:p w:rsidRPr="003E6C64" w:rsidR="002318A8" w:rsidRDefault="002318A8" w14:paraId="361E2698" w14:textId="77777777">
                    <w:pPr>
                      <w:rPr>
                        <w:rFonts w:ascii="Times New Roman" w:hAnsi="Times New Roman"/>
                        <w:sz w:val="20"/>
                        <w:szCs w:val="20"/>
                      </w:rPr>
                    </w:pPr>
                  </w:p>
                </w:tc>
                <w:tc>
                  <w:tcPr>
                    <w:tcW w:w="467" w:type="pct"/>
                    <w:tcBorders>
                      <w:top w:val="single" w:color="auto" w:sz="12" w:space="0"/>
                      <w:left w:val="nil"/>
                      <w:right w:val="nil"/>
                    </w:tcBorders>
                    <w:shd w:val="clear" w:color="000000" w:fill="D9D9D9"/>
                    <w:noWrap/>
                    <w:vAlign w:val="bottom"/>
                    <w:hideMark/>
                  </w:tcPr>
                  <w:p w:rsidRPr="003E6C64" w:rsidR="002318A8" w:rsidRDefault="002318A8" w14:paraId="3DBB6BE9" w14:textId="77777777">
                    <w:pPr>
                      <w:rPr>
                        <w:rFonts w:cs="Arial"/>
                        <w:sz w:val="18"/>
                        <w:szCs w:val="18"/>
                      </w:rPr>
                    </w:pPr>
                    <w:r w:rsidRPr="003E6C64">
                      <w:rPr>
                        <w:rFonts w:cs="Arial"/>
                        <w:sz w:val="18"/>
                        <w:szCs w:val="18"/>
                      </w:rPr>
                      <w:t> </w:t>
                    </w:r>
                  </w:p>
                </w:tc>
                <w:tc>
                  <w:tcPr>
                    <w:tcW w:w="468" w:type="pct"/>
                    <w:tcBorders>
                      <w:top w:val="single" w:color="auto" w:sz="12" w:space="0"/>
                      <w:left w:val="nil"/>
                      <w:right w:val="nil"/>
                    </w:tcBorders>
                    <w:shd w:val="clear" w:color="000000" w:fill="D9D9D9"/>
                    <w:noWrap/>
                    <w:vAlign w:val="bottom"/>
                    <w:hideMark/>
                  </w:tcPr>
                  <w:p w:rsidRPr="003E6C64" w:rsidR="002318A8" w:rsidRDefault="002318A8" w14:paraId="5A27A98D" w14:textId="77777777">
                    <w:pPr>
                      <w:rPr>
                        <w:rFonts w:cs="Arial"/>
                        <w:sz w:val="18"/>
                        <w:szCs w:val="18"/>
                      </w:rPr>
                    </w:pPr>
                    <w:r w:rsidRPr="003E6C64">
                      <w:rPr>
                        <w:rFonts w:cs="Arial"/>
                        <w:sz w:val="18"/>
                        <w:szCs w:val="18"/>
                      </w:rPr>
                      <w:t> </w:t>
                    </w:r>
                  </w:p>
                </w:tc>
                <w:tc>
                  <w:tcPr>
                    <w:tcW w:w="467" w:type="pct"/>
                    <w:tcBorders>
                      <w:top w:val="single" w:color="auto" w:sz="12" w:space="0"/>
                      <w:left w:val="nil"/>
                      <w:right w:val="nil"/>
                    </w:tcBorders>
                    <w:shd w:val="clear" w:color="000000" w:fill="D9D9D9"/>
                    <w:noWrap/>
                    <w:vAlign w:val="bottom"/>
                    <w:hideMark/>
                  </w:tcPr>
                  <w:p w:rsidRPr="003E6C64" w:rsidR="002318A8" w:rsidRDefault="002318A8" w14:paraId="3EA0733E" w14:textId="77777777">
                    <w:pPr>
                      <w:rPr>
                        <w:rFonts w:cs="Arial"/>
                        <w:sz w:val="18"/>
                        <w:szCs w:val="18"/>
                      </w:rPr>
                    </w:pPr>
                    <w:r w:rsidRPr="003E6C64">
                      <w:rPr>
                        <w:rFonts w:cs="Arial"/>
                        <w:sz w:val="18"/>
                        <w:szCs w:val="18"/>
                      </w:rPr>
                      <w:t> </w:t>
                    </w:r>
                  </w:p>
                </w:tc>
              </w:tr>
              <w:tr w:rsidRPr="003E6C64" w:rsidR="002318A8" w:rsidTr="0092291D" w14:paraId="30F74E83" w14:textId="77777777">
                <w:trPr>
                  <w:trHeight w:val="263"/>
                </w:trPr>
                <w:tc>
                  <w:tcPr>
                    <w:tcW w:w="2596" w:type="pct"/>
                    <w:tcBorders>
                      <w:top w:val="nil"/>
                      <w:left w:val="nil"/>
                      <w:bottom w:val="single" w:color="auto" w:sz="4" w:space="0"/>
                      <w:right w:val="nil"/>
                    </w:tcBorders>
                    <w:shd w:val="clear" w:color="auto" w:fill="auto"/>
                    <w:noWrap/>
                    <w:vAlign w:val="bottom"/>
                    <w:hideMark/>
                  </w:tcPr>
                  <w:p w:rsidRPr="003E6C64" w:rsidR="002318A8" w:rsidRDefault="002318A8" w14:paraId="2B05AD73" w14:textId="77777777">
                    <w:pPr>
                      <w:rPr>
                        <w:rFonts w:cs="Arial"/>
                        <w:sz w:val="18"/>
                        <w:szCs w:val="18"/>
                      </w:rPr>
                    </w:pPr>
                  </w:p>
                </w:tc>
                <w:tc>
                  <w:tcPr>
                    <w:tcW w:w="534" w:type="pct"/>
                    <w:tcBorders>
                      <w:top w:val="nil"/>
                      <w:left w:val="nil"/>
                      <w:bottom w:val="single" w:color="auto" w:sz="4" w:space="0"/>
                      <w:right w:val="nil"/>
                    </w:tcBorders>
                    <w:shd w:val="clear" w:color="auto" w:fill="auto"/>
                    <w:noWrap/>
                    <w:vAlign w:val="bottom"/>
                    <w:hideMark/>
                  </w:tcPr>
                  <w:p w:rsidRPr="00AA1448" w:rsidR="002318A8" w:rsidRDefault="002318A8" w14:paraId="13DBCFD3" w14:textId="77777777">
                    <w:pPr>
                      <w:jc w:val="right"/>
                      <w:rPr>
                        <w:rFonts w:cs="Arial"/>
                        <w:b/>
                        <w:bCs/>
                        <w:sz w:val="18"/>
                        <w:szCs w:val="18"/>
                      </w:rPr>
                    </w:pPr>
                    <w:r w:rsidRPr="00AA1448">
                      <w:rPr>
                        <w:rFonts w:cs="Arial"/>
                        <w:b/>
                        <w:bCs/>
                        <w:sz w:val="18"/>
                        <w:szCs w:val="18"/>
                      </w:rPr>
                      <w:t>2027</w:t>
                    </w:r>
                  </w:p>
                </w:tc>
                <w:tc>
                  <w:tcPr>
                    <w:tcW w:w="467" w:type="pct"/>
                    <w:tcBorders>
                      <w:top w:val="nil"/>
                      <w:left w:val="nil"/>
                      <w:bottom w:val="single" w:color="auto" w:sz="4" w:space="0"/>
                      <w:right w:val="nil"/>
                    </w:tcBorders>
                    <w:shd w:val="clear" w:color="auto" w:fill="auto"/>
                    <w:noWrap/>
                    <w:vAlign w:val="bottom"/>
                    <w:hideMark/>
                  </w:tcPr>
                  <w:p w:rsidRPr="00AA1448" w:rsidR="002318A8" w:rsidRDefault="002318A8" w14:paraId="72C08A38" w14:textId="77777777">
                    <w:pPr>
                      <w:jc w:val="right"/>
                      <w:rPr>
                        <w:rFonts w:cs="Arial"/>
                        <w:b/>
                        <w:bCs/>
                        <w:sz w:val="18"/>
                        <w:szCs w:val="18"/>
                      </w:rPr>
                    </w:pPr>
                    <w:r w:rsidRPr="00AA1448">
                      <w:rPr>
                        <w:rFonts w:cs="Arial"/>
                        <w:b/>
                        <w:bCs/>
                        <w:sz w:val="18"/>
                        <w:szCs w:val="18"/>
                      </w:rPr>
                      <w:t>2028</w:t>
                    </w:r>
                  </w:p>
                </w:tc>
                <w:tc>
                  <w:tcPr>
                    <w:tcW w:w="467" w:type="pct"/>
                    <w:tcBorders>
                      <w:top w:val="nil"/>
                      <w:left w:val="nil"/>
                      <w:bottom w:val="single" w:color="auto" w:sz="4" w:space="0"/>
                      <w:right w:val="nil"/>
                    </w:tcBorders>
                    <w:shd w:val="clear" w:color="000000" w:fill="D9D9D9"/>
                    <w:noWrap/>
                    <w:vAlign w:val="bottom"/>
                    <w:hideMark/>
                  </w:tcPr>
                  <w:p w:rsidRPr="00AA1448" w:rsidR="002318A8" w:rsidRDefault="002318A8" w14:paraId="5F838BDD" w14:textId="77777777">
                    <w:pPr>
                      <w:jc w:val="right"/>
                      <w:rPr>
                        <w:rFonts w:cs="Arial"/>
                        <w:b/>
                        <w:bCs/>
                        <w:sz w:val="18"/>
                        <w:szCs w:val="18"/>
                      </w:rPr>
                    </w:pPr>
                    <w:r w:rsidRPr="00AA1448">
                      <w:rPr>
                        <w:rFonts w:cs="Arial"/>
                        <w:b/>
                        <w:bCs/>
                        <w:sz w:val="18"/>
                        <w:szCs w:val="18"/>
                      </w:rPr>
                      <w:t>2027</w:t>
                    </w:r>
                  </w:p>
                </w:tc>
                <w:tc>
                  <w:tcPr>
                    <w:tcW w:w="468" w:type="pct"/>
                    <w:tcBorders>
                      <w:top w:val="nil"/>
                      <w:left w:val="nil"/>
                      <w:bottom w:val="single" w:color="auto" w:sz="4" w:space="0"/>
                      <w:right w:val="nil"/>
                    </w:tcBorders>
                    <w:shd w:val="clear" w:color="000000" w:fill="D9D9D9"/>
                    <w:noWrap/>
                    <w:vAlign w:val="bottom"/>
                    <w:hideMark/>
                  </w:tcPr>
                  <w:p w:rsidRPr="00AA1448" w:rsidR="002318A8" w:rsidRDefault="002318A8" w14:paraId="5499917F" w14:textId="77777777">
                    <w:pPr>
                      <w:jc w:val="right"/>
                      <w:rPr>
                        <w:rFonts w:cs="Arial"/>
                        <w:b/>
                        <w:bCs/>
                        <w:sz w:val="18"/>
                        <w:szCs w:val="18"/>
                      </w:rPr>
                    </w:pPr>
                    <w:r w:rsidRPr="00AA1448">
                      <w:rPr>
                        <w:rFonts w:cs="Arial"/>
                        <w:b/>
                        <w:bCs/>
                        <w:sz w:val="18"/>
                        <w:szCs w:val="18"/>
                      </w:rPr>
                      <w:t>2028</w:t>
                    </w:r>
                  </w:p>
                </w:tc>
                <w:tc>
                  <w:tcPr>
                    <w:tcW w:w="467" w:type="pct"/>
                    <w:tcBorders>
                      <w:top w:val="nil"/>
                      <w:left w:val="nil"/>
                      <w:bottom w:val="single" w:color="auto" w:sz="4" w:space="0"/>
                      <w:right w:val="nil"/>
                    </w:tcBorders>
                    <w:shd w:val="clear" w:color="000000" w:fill="D9D9D9"/>
                    <w:noWrap/>
                    <w:vAlign w:val="bottom"/>
                    <w:hideMark/>
                  </w:tcPr>
                  <w:p w:rsidRPr="00AA1448" w:rsidR="002318A8" w:rsidRDefault="002318A8" w14:paraId="226FAAC7" w14:textId="77777777">
                    <w:pPr>
                      <w:rPr>
                        <w:rFonts w:cs="Arial"/>
                        <w:b/>
                        <w:bCs/>
                        <w:sz w:val="18"/>
                        <w:szCs w:val="18"/>
                      </w:rPr>
                    </w:pPr>
                    <w:r w:rsidRPr="00AA1448">
                      <w:rPr>
                        <w:rFonts w:cs="Arial"/>
                        <w:b/>
                        <w:bCs/>
                        <w:sz w:val="18"/>
                        <w:szCs w:val="18"/>
                      </w:rPr>
                      <w:t xml:space="preserve">    26-33</w:t>
                    </w:r>
                  </w:p>
                </w:tc>
              </w:tr>
              <w:tr w:rsidRPr="003E6C64" w:rsidR="002318A8" w:rsidTr="0092291D" w14:paraId="3108C1E4" w14:textId="77777777">
                <w:trPr>
                  <w:trHeight w:val="263"/>
                </w:trPr>
                <w:tc>
                  <w:tcPr>
                    <w:tcW w:w="2596" w:type="pct"/>
                    <w:tcBorders>
                      <w:top w:val="single" w:color="auto" w:sz="4" w:space="0"/>
                      <w:left w:val="nil"/>
                      <w:bottom w:val="nil"/>
                      <w:right w:val="nil"/>
                    </w:tcBorders>
                    <w:shd w:val="clear" w:color="auto" w:fill="auto"/>
                    <w:noWrap/>
                    <w:vAlign w:val="bottom"/>
                    <w:hideMark/>
                  </w:tcPr>
                  <w:p w:rsidRPr="003E6C64" w:rsidR="002318A8" w:rsidRDefault="002318A8" w14:paraId="1A8BD69A" w14:textId="77777777">
                    <w:pPr>
                      <w:rPr>
                        <w:rFonts w:cs="Arial"/>
                        <w:sz w:val="18"/>
                        <w:szCs w:val="18"/>
                      </w:rPr>
                    </w:pPr>
                  </w:p>
                </w:tc>
                <w:tc>
                  <w:tcPr>
                    <w:tcW w:w="534" w:type="pct"/>
                    <w:tcBorders>
                      <w:top w:val="single" w:color="auto" w:sz="4" w:space="0"/>
                      <w:left w:val="nil"/>
                      <w:bottom w:val="nil"/>
                      <w:right w:val="nil"/>
                    </w:tcBorders>
                    <w:shd w:val="clear" w:color="auto" w:fill="auto"/>
                    <w:noWrap/>
                    <w:vAlign w:val="bottom"/>
                    <w:hideMark/>
                  </w:tcPr>
                  <w:p w:rsidRPr="003E6C64" w:rsidR="002318A8" w:rsidRDefault="002318A8" w14:paraId="01B491B7" w14:textId="77777777">
                    <w:pPr>
                      <w:rPr>
                        <w:rFonts w:cs="Arial"/>
                        <w:sz w:val="18"/>
                        <w:szCs w:val="18"/>
                      </w:rPr>
                    </w:pPr>
                  </w:p>
                </w:tc>
                <w:tc>
                  <w:tcPr>
                    <w:tcW w:w="467" w:type="pct"/>
                    <w:tcBorders>
                      <w:top w:val="single" w:color="auto" w:sz="4" w:space="0"/>
                      <w:left w:val="nil"/>
                      <w:bottom w:val="nil"/>
                      <w:right w:val="nil"/>
                    </w:tcBorders>
                    <w:shd w:val="clear" w:color="auto" w:fill="auto"/>
                    <w:noWrap/>
                    <w:vAlign w:val="bottom"/>
                    <w:hideMark/>
                  </w:tcPr>
                  <w:p w:rsidRPr="003E6C64" w:rsidR="002318A8" w:rsidRDefault="002318A8" w14:paraId="0746BCB3" w14:textId="77777777">
                    <w:pPr>
                      <w:rPr>
                        <w:rFonts w:cs="Arial"/>
                        <w:sz w:val="18"/>
                        <w:szCs w:val="18"/>
                      </w:rPr>
                    </w:pPr>
                  </w:p>
                </w:tc>
                <w:tc>
                  <w:tcPr>
                    <w:tcW w:w="467" w:type="pct"/>
                    <w:tcBorders>
                      <w:top w:val="single" w:color="auto" w:sz="4" w:space="0"/>
                      <w:left w:val="nil"/>
                      <w:bottom w:val="nil"/>
                      <w:right w:val="nil"/>
                    </w:tcBorders>
                    <w:shd w:val="clear" w:color="000000" w:fill="D9D9D9"/>
                    <w:noWrap/>
                    <w:vAlign w:val="bottom"/>
                    <w:hideMark/>
                  </w:tcPr>
                  <w:p w:rsidRPr="003E6C64" w:rsidR="002318A8" w:rsidRDefault="002318A8" w14:paraId="3FC1E0BE" w14:textId="77777777">
                    <w:pPr>
                      <w:rPr>
                        <w:rFonts w:cs="Arial"/>
                        <w:sz w:val="18"/>
                        <w:szCs w:val="18"/>
                      </w:rPr>
                    </w:pPr>
                    <w:r w:rsidRPr="003E6C64">
                      <w:rPr>
                        <w:rFonts w:cs="Arial"/>
                        <w:sz w:val="18"/>
                        <w:szCs w:val="18"/>
                      </w:rPr>
                      <w:t> </w:t>
                    </w:r>
                  </w:p>
                </w:tc>
                <w:tc>
                  <w:tcPr>
                    <w:tcW w:w="468" w:type="pct"/>
                    <w:tcBorders>
                      <w:top w:val="single" w:color="auto" w:sz="4" w:space="0"/>
                      <w:left w:val="nil"/>
                      <w:bottom w:val="nil"/>
                      <w:right w:val="nil"/>
                    </w:tcBorders>
                    <w:shd w:val="clear" w:color="000000" w:fill="D9D9D9"/>
                    <w:noWrap/>
                    <w:vAlign w:val="bottom"/>
                    <w:hideMark/>
                  </w:tcPr>
                  <w:p w:rsidRPr="003E6C64" w:rsidR="002318A8" w:rsidRDefault="002318A8" w14:paraId="0BD7AEF6" w14:textId="77777777">
                    <w:pPr>
                      <w:rPr>
                        <w:rFonts w:cs="Arial"/>
                        <w:sz w:val="18"/>
                        <w:szCs w:val="18"/>
                      </w:rPr>
                    </w:pPr>
                    <w:r w:rsidRPr="003E6C64">
                      <w:rPr>
                        <w:rFonts w:cs="Arial"/>
                        <w:sz w:val="18"/>
                        <w:szCs w:val="18"/>
                      </w:rPr>
                      <w:t> </w:t>
                    </w:r>
                  </w:p>
                </w:tc>
                <w:tc>
                  <w:tcPr>
                    <w:tcW w:w="467" w:type="pct"/>
                    <w:tcBorders>
                      <w:top w:val="single" w:color="auto" w:sz="4" w:space="0"/>
                      <w:left w:val="nil"/>
                      <w:bottom w:val="nil"/>
                      <w:right w:val="nil"/>
                    </w:tcBorders>
                    <w:shd w:val="clear" w:color="000000" w:fill="D9D9D9"/>
                    <w:noWrap/>
                    <w:vAlign w:val="bottom"/>
                    <w:hideMark/>
                  </w:tcPr>
                  <w:p w:rsidRPr="003E6C64" w:rsidR="002318A8" w:rsidRDefault="002318A8" w14:paraId="6C5FC4AB" w14:textId="77777777">
                    <w:pPr>
                      <w:rPr>
                        <w:rFonts w:cs="Arial"/>
                        <w:sz w:val="18"/>
                        <w:szCs w:val="18"/>
                      </w:rPr>
                    </w:pPr>
                    <w:r w:rsidRPr="003E6C64">
                      <w:rPr>
                        <w:rFonts w:cs="Arial"/>
                        <w:sz w:val="18"/>
                        <w:szCs w:val="18"/>
                      </w:rPr>
                      <w:t> </w:t>
                    </w:r>
                  </w:p>
                </w:tc>
              </w:tr>
              <w:tr w:rsidRPr="003E6C64" w:rsidR="002318A8" w:rsidTr="0092291D" w14:paraId="6B001A7C"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380325B7" w14:textId="77777777">
                    <w:pPr>
                      <w:rPr>
                        <w:rFonts w:cs="Arial"/>
                        <w:sz w:val="18"/>
                        <w:szCs w:val="18"/>
                      </w:rPr>
                    </w:pPr>
                    <w:r w:rsidRPr="003E6C64">
                      <w:rPr>
                        <w:rFonts w:cs="Arial"/>
                        <w:sz w:val="18"/>
                        <w:szCs w:val="18"/>
                      </w:rPr>
                      <w:t>Bruto binnenlands product (bbp)</w:t>
                    </w:r>
                  </w:p>
                </w:tc>
                <w:tc>
                  <w:tcPr>
                    <w:tcW w:w="534" w:type="pct"/>
                    <w:tcBorders>
                      <w:top w:val="nil"/>
                      <w:left w:val="nil"/>
                      <w:bottom w:val="nil"/>
                      <w:right w:val="nil"/>
                    </w:tcBorders>
                    <w:shd w:val="clear" w:color="auto" w:fill="auto"/>
                    <w:noWrap/>
                    <w:vAlign w:val="bottom"/>
                    <w:hideMark/>
                  </w:tcPr>
                  <w:p w:rsidRPr="003E6C64" w:rsidR="002318A8" w:rsidRDefault="002318A8" w14:paraId="6BCAA7CF" w14:textId="77777777">
                    <w:pPr>
                      <w:jc w:val="right"/>
                      <w:rPr>
                        <w:rFonts w:cs="Arial"/>
                        <w:sz w:val="18"/>
                        <w:szCs w:val="18"/>
                      </w:rPr>
                    </w:pPr>
                    <w:r w:rsidRPr="003E6C64">
                      <w:rPr>
                        <w:rFonts w:cs="Arial"/>
                        <w:sz w:val="18"/>
                        <w:szCs w:val="18"/>
                      </w:rPr>
                      <w:t>1,4</w:t>
                    </w:r>
                  </w:p>
                </w:tc>
                <w:tc>
                  <w:tcPr>
                    <w:tcW w:w="467" w:type="pct"/>
                    <w:tcBorders>
                      <w:top w:val="nil"/>
                      <w:left w:val="nil"/>
                      <w:bottom w:val="nil"/>
                      <w:right w:val="nil"/>
                    </w:tcBorders>
                    <w:shd w:val="clear" w:color="auto" w:fill="auto"/>
                    <w:noWrap/>
                    <w:vAlign w:val="bottom"/>
                    <w:hideMark/>
                  </w:tcPr>
                  <w:p w:rsidRPr="003E6C64" w:rsidR="002318A8" w:rsidRDefault="002318A8" w14:paraId="5894913B" w14:textId="77777777">
                    <w:pPr>
                      <w:jc w:val="right"/>
                      <w:rPr>
                        <w:rFonts w:cs="Arial"/>
                        <w:sz w:val="18"/>
                        <w:szCs w:val="18"/>
                      </w:rPr>
                    </w:pPr>
                    <w:r w:rsidRPr="003E6C64">
                      <w:rPr>
                        <w:rFonts w:cs="Arial"/>
                        <w:sz w:val="18"/>
                        <w:szCs w:val="18"/>
                      </w:rPr>
                      <w:t>1,4</w:t>
                    </w:r>
                  </w:p>
                </w:tc>
                <w:tc>
                  <w:tcPr>
                    <w:tcW w:w="467" w:type="pct"/>
                    <w:tcBorders>
                      <w:top w:val="nil"/>
                      <w:left w:val="nil"/>
                      <w:bottom w:val="nil"/>
                      <w:right w:val="nil"/>
                    </w:tcBorders>
                    <w:shd w:val="clear" w:color="000000" w:fill="D9D9D9"/>
                    <w:noWrap/>
                    <w:vAlign w:val="bottom"/>
                    <w:hideMark/>
                  </w:tcPr>
                  <w:p w:rsidRPr="003E6C64" w:rsidR="002318A8" w:rsidRDefault="002318A8" w14:paraId="569466F7" w14:textId="77777777">
                    <w:pPr>
                      <w:jc w:val="right"/>
                      <w:rPr>
                        <w:rFonts w:cs="Arial"/>
                        <w:sz w:val="18"/>
                        <w:szCs w:val="18"/>
                      </w:rPr>
                    </w:pPr>
                    <w:r w:rsidRPr="003E6C64">
                      <w:rPr>
                        <w:rFonts w:cs="Arial"/>
                        <w:sz w:val="18"/>
                        <w:szCs w:val="18"/>
                      </w:rPr>
                      <w:t>1,4</w:t>
                    </w:r>
                  </w:p>
                </w:tc>
                <w:tc>
                  <w:tcPr>
                    <w:tcW w:w="468" w:type="pct"/>
                    <w:tcBorders>
                      <w:top w:val="nil"/>
                      <w:left w:val="nil"/>
                      <w:bottom w:val="nil"/>
                      <w:right w:val="nil"/>
                    </w:tcBorders>
                    <w:shd w:val="clear" w:color="000000" w:fill="D9D9D9"/>
                    <w:noWrap/>
                    <w:vAlign w:val="bottom"/>
                    <w:hideMark/>
                  </w:tcPr>
                  <w:p w:rsidRPr="003E6C64" w:rsidR="002318A8" w:rsidRDefault="002318A8" w14:paraId="163EE61A" w14:textId="77777777">
                    <w:pPr>
                      <w:jc w:val="right"/>
                      <w:rPr>
                        <w:rFonts w:cs="Arial"/>
                        <w:sz w:val="18"/>
                        <w:szCs w:val="18"/>
                      </w:rPr>
                    </w:pPr>
                    <w:r w:rsidRPr="003E6C64">
                      <w:rPr>
                        <w:rFonts w:cs="Arial"/>
                        <w:sz w:val="18"/>
                        <w:szCs w:val="18"/>
                      </w:rPr>
                      <w:t>1,1</w:t>
                    </w:r>
                  </w:p>
                </w:tc>
                <w:tc>
                  <w:tcPr>
                    <w:tcW w:w="467" w:type="pct"/>
                    <w:tcBorders>
                      <w:top w:val="nil"/>
                      <w:left w:val="nil"/>
                      <w:bottom w:val="nil"/>
                      <w:right w:val="nil"/>
                    </w:tcBorders>
                    <w:shd w:val="clear" w:color="000000" w:fill="D9D9D9"/>
                    <w:noWrap/>
                    <w:vAlign w:val="bottom"/>
                    <w:hideMark/>
                  </w:tcPr>
                  <w:p w:rsidRPr="003E6C64" w:rsidR="002318A8" w:rsidRDefault="002318A8" w14:paraId="060E3B28" w14:textId="77777777">
                    <w:pPr>
                      <w:jc w:val="right"/>
                      <w:rPr>
                        <w:rFonts w:cs="Arial"/>
                        <w:sz w:val="18"/>
                        <w:szCs w:val="18"/>
                      </w:rPr>
                    </w:pPr>
                    <w:r w:rsidRPr="003E6C64">
                      <w:rPr>
                        <w:rFonts w:cs="Arial"/>
                        <w:sz w:val="18"/>
                        <w:szCs w:val="18"/>
                      </w:rPr>
                      <w:t>1,2</w:t>
                    </w:r>
                  </w:p>
                </w:tc>
              </w:tr>
              <w:tr w:rsidRPr="003E6C64" w:rsidR="002318A8" w:rsidTr="0092291D" w14:paraId="4AD5D689"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7E0506A5" w14:textId="77777777">
                    <w:pPr>
                      <w:rPr>
                        <w:rFonts w:cs="Arial"/>
                        <w:sz w:val="18"/>
                        <w:szCs w:val="18"/>
                      </w:rPr>
                    </w:pPr>
                    <w:r w:rsidRPr="003E6C64">
                      <w:rPr>
                        <w:rFonts w:cs="Arial"/>
                        <w:sz w:val="18"/>
                        <w:szCs w:val="18"/>
                      </w:rPr>
                      <w:t>Consumptie huishoudens</w:t>
                    </w:r>
                  </w:p>
                </w:tc>
                <w:tc>
                  <w:tcPr>
                    <w:tcW w:w="534" w:type="pct"/>
                    <w:tcBorders>
                      <w:top w:val="nil"/>
                      <w:left w:val="nil"/>
                      <w:bottom w:val="nil"/>
                      <w:right w:val="nil"/>
                    </w:tcBorders>
                    <w:shd w:val="clear" w:color="auto" w:fill="auto"/>
                    <w:noWrap/>
                    <w:vAlign w:val="bottom"/>
                    <w:hideMark/>
                  </w:tcPr>
                  <w:p w:rsidRPr="003E6C64" w:rsidR="002318A8" w:rsidRDefault="002318A8" w14:paraId="21DCF509" w14:textId="77777777">
                    <w:pPr>
                      <w:jc w:val="right"/>
                      <w:rPr>
                        <w:rFonts w:cs="Arial"/>
                        <w:sz w:val="18"/>
                        <w:szCs w:val="18"/>
                      </w:rPr>
                    </w:pPr>
                    <w:r w:rsidRPr="003E6C64">
                      <w:rPr>
                        <w:rFonts w:cs="Arial"/>
                        <w:sz w:val="18"/>
                        <w:szCs w:val="18"/>
                      </w:rPr>
                      <w:t>1,3</w:t>
                    </w:r>
                  </w:p>
                </w:tc>
                <w:tc>
                  <w:tcPr>
                    <w:tcW w:w="467" w:type="pct"/>
                    <w:tcBorders>
                      <w:top w:val="nil"/>
                      <w:left w:val="nil"/>
                      <w:bottom w:val="nil"/>
                      <w:right w:val="nil"/>
                    </w:tcBorders>
                    <w:shd w:val="clear" w:color="auto" w:fill="auto"/>
                    <w:noWrap/>
                    <w:vAlign w:val="bottom"/>
                    <w:hideMark/>
                  </w:tcPr>
                  <w:p w:rsidRPr="003E6C64" w:rsidR="002318A8" w:rsidRDefault="002318A8" w14:paraId="34B10EF2" w14:textId="77777777">
                    <w:pPr>
                      <w:jc w:val="right"/>
                      <w:rPr>
                        <w:rFonts w:cs="Arial"/>
                        <w:sz w:val="18"/>
                        <w:szCs w:val="18"/>
                      </w:rPr>
                    </w:pPr>
                    <w:r w:rsidRPr="003E6C64">
                      <w:rPr>
                        <w:rFonts w:cs="Arial"/>
                        <w:sz w:val="18"/>
                        <w:szCs w:val="18"/>
                      </w:rPr>
                      <w:t>1,2</w:t>
                    </w:r>
                  </w:p>
                </w:tc>
                <w:tc>
                  <w:tcPr>
                    <w:tcW w:w="467" w:type="pct"/>
                    <w:tcBorders>
                      <w:top w:val="nil"/>
                      <w:left w:val="nil"/>
                      <w:bottom w:val="nil"/>
                      <w:right w:val="nil"/>
                    </w:tcBorders>
                    <w:shd w:val="clear" w:color="000000" w:fill="D9D9D9"/>
                    <w:noWrap/>
                    <w:vAlign w:val="bottom"/>
                    <w:hideMark/>
                  </w:tcPr>
                  <w:p w:rsidRPr="003E6C64" w:rsidR="002318A8" w:rsidRDefault="002318A8" w14:paraId="079727FE" w14:textId="77777777">
                    <w:pPr>
                      <w:jc w:val="right"/>
                      <w:rPr>
                        <w:rFonts w:cs="Arial"/>
                        <w:sz w:val="18"/>
                        <w:szCs w:val="18"/>
                      </w:rPr>
                    </w:pPr>
                    <w:r w:rsidRPr="003E6C64">
                      <w:rPr>
                        <w:rFonts w:cs="Arial"/>
                        <w:sz w:val="18"/>
                        <w:szCs w:val="18"/>
                      </w:rPr>
                      <w:t>1,5</w:t>
                    </w:r>
                  </w:p>
                </w:tc>
                <w:tc>
                  <w:tcPr>
                    <w:tcW w:w="468" w:type="pct"/>
                    <w:tcBorders>
                      <w:top w:val="nil"/>
                      <w:left w:val="nil"/>
                      <w:bottom w:val="nil"/>
                      <w:right w:val="nil"/>
                    </w:tcBorders>
                    <w:shd w:val="clear" w:color="000000" w:fill="D9D9D9"/>
                    <w:noWrap/>
                    <w:vAlign w:val="bottom"/>
                    <w:hideMark/>
                  </w:tcPr>
                  <w:p w:rsidRPr="003E6C64" w:rsidR="002318A8" w:rsidRDefault="002318A8" w14:paraId="4CE5F917" w14:textId="77777777">
                    <w:pPr>
                      <w:jc w:val="right"/>
                      <w:rPr>
                        <w:rFonts w:cs="Arial"/>
                        <w:sz w:val="18"/>
                        <w:szCs w:val="18"/>
                      </w:rPr>
                    </w:pPr>
                    <w:r w:rsidRPr="003E6C64">
                      <w:rPr>
                        <w:rFonts w:cs="Arial"/>
                        <w:sz w:val="18"/>
                        <w:szCs w:val="18"/>
                      </w:rPr>
                      <w:t>1,2</w:t>
                    </w:r>
                  </w:p>
                </w:tc>
                <w:tc>
                  <w:tcPr>
                    <w:tcW w:w="467" w:type="pct"/>
                    <w:tcBorders>
                      <w:top w:val="nil"/>
                      <w:left w:val="nil"/>
                      <w:bottom w:val="nil"/>
                      <w:right w:val="nil"/>
                    </w:tcBorders>
                    <w:shd w:val="clear" w:color="000000" w:fill="D9D9D9"/>
                    <w:noWrap/>
                    <w:vAlign w:val="bottom"/>
                    <w:hideMark/>
                  </w:tcPr>
                  <w:p w:rsidRPr="003E6C64" w:rsidR="002318A8" w:rsidRDefault="002318A8" w14:paraId="2D91BB94" w14:textId="77777777">
                    <w:pPr>
                      <w:jc w:val="right"/>
                      <w:rPr>
                        <w:rFonts w:cs="Arial"/>
                        <w:sz w:val="18"/>
                        <w:szCs w:val="18"/>
                      </w:rPr>
                    </w:pPr>
                    <w:r w:rsidRPr="003E6C64">
                      <w:rPr>
                        <w:rFonts w:cs="Arial"/>
                        <w:sz w:val="18"/>
                        <w:szCs w:val="18"/>
                      </w:rPr>
                      <w:t>1,1</w:t>
                    </w:r>
                  </w:p>
                </w:tc>
              </w:tr>
              <w:tr w:rsidRPr="003E6C64" w:rsidR="002318A8" w:rsidTr="0092291D" w14:paraId="15288BED"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08942156" w14:textId="77777777">
                    <w:pPr>
                      <w:rPr>
                        <w:rFonts w:cs="Arial"/>
                        <w:sz w:val="18"/>
                        <w:szCs w:val="18"/>
                      </w:rPr>
                    </w:pPr>
                    <w:r w:rsidRPr="003E6C64">
                      <w:rPr>
                        <w:rFonts w:cs="Arial"/>
                        <w:sz w:val="18"/>
                        <w:szCs w:val="18"/>
                      </w:rPr>
                      <w:t>Consumptie overheid</w:t>
                    </w:r>
                  </w:p>
                </w:tc>
                <w:tc>
                  <w:tcPr>
                    <w:tcW w:w="534" w:type="pct"/>
                    <w:tcBorders>
                      <w:top w:val="nil"/>
                      <w:left w:val="nil"/>
                      <w:bottom w:val="nil"/>
                      <w:right w:val="nil"/>
                    </w:tcBorders>
                    <w:shd w:val="clear" w:color="auto" w:fill="auto"/>
                    <w:noWrap/>
                    <w:vAlign w:val="bottom"/>
                    <w:hideMark/>
                  </w:tcPr>
                  <w:p w:rsidRPr="003E6C64" w:rsidR="002318A8" w:rsidRDefault="002318A8" w14:paraId="35CF925F" w14:textId="77777777">
                    <w:pPr>
                      <w:jc w:val="right"/>
                      <w:rPr>
                        <w:rFonts w:cs="Arial"/>
                        <w:sz w:val="18"/>
                        <w:szCs w:val="18"/>
                      </w:rPr>
                    </w:pPr>
                    <w:r w:rsidRPr="003E6C64">
                      <w:rPr>
                        <w:rFonts w:cs="Arial"/>
                        <w:sz w:val="18"/>
                        <w:szCs w:val="18"/>
                      </w:rPr>
                      <w:t>1,9</w:t>
                    </w:r>
                  </w:p>
                </w:tc>
                <w:tc>
                  <w:tcPr>
                    <w:tcW w:w="467" w:type="pct"/>
                    <w:tcBorders>
                      <w:top w:val="nil"/>
                      <w:left w:val="nil"/>
                      <w:bottom w:val="nil"/>
                      <w:right w:val="nil"/>
                    </w:tcBorders>
                    <w:shd w:val="clear" w:color="auto" w:fill="auto"/>
                    <w:noWrap/>
                    <w:vAlign w:val="bottom"/>
                    <w:hideMark/>
                  </w:tcPr>
                  <w:p w:rsidRPr="003E6C64" w:rsidR="002318A8" w:rsidRDefault="002318A8" w14:paraId="772F0DD7" w14:textId="77777777">
                    <w:pPr>
                      <w:jc w:val="right"/>
                      <w:rPr>
                        <w:rFonts w:cs="Arial"/>
                        <w:sz w:val="18"/>
                        <w:szCs w:val="18"/>
                      </w:rPr>
                    </w:pPr>
                    <w:r w:rsidRPr="003E6C64">
                      <w:rPr>
                        <w:rFonts w:cs="Arial"/>
                        <w:sz w:val="18"/>
                        <w:szCs w:val="18"/>
                      </w:rPr>
                      <w:t>0,8</w:t>
                    </w:r>
                  </w:p>
                </w:tc>
                <w:tc>
                  <w:tcPr>
                    <w:tcW w:w="467" w:type="pct"/>
                    <w:tcBorders>
                      <w:top w:val="nil"/>
                      <w:left w:val="nil"/>
                      <w:bottom w:val="nil"/>
                      <w:right w:val="nil"/>
                    </w:tcBorders>
                    <w:shd w:val="clear" w:color="000000" w:fill="D9D9D9"/>
                    <w:noWrap/>
                    <w:vAlign w:val="bottom"/>
                    <w:hideMark/>
                  </w:tcPr>
                  <w:p w:rsidRPr="003E6C64" w:rsidR="002318A8" w:rsidRDefault="002318A8" w14:paraId="6332EE4F" w14:textId="77777777">
                    <w:pPr>
                      <w:jc w:val="right"/>
                      <w:rPr>
                        <w:rFonts w:cs="Arial"/>
                        <w:sz w:val="18"/>
                        <w:szCs w:val="18"/>
                      </w:rPr>
                    </w:pPr>
                    <w:r w:rsidRPr="003E6C64">
                      <w:rPr>
                        <w:rFonts w:cs="Arial"/>
                        <w:sz w:val="18"/>
                        <w:szCs w:val="18"/>
                      </w:rPr>
                      <w:t>1,9</w:t>
                    </w:r>
                  </w:p>
                </w:tc>
                <w:tc>
                  <w:tcPr>
                    <w:tcW w:w="468" w:type="pct"/>
                    <w:tcBorders>
                      <w:top w:val="nil"/>
                      <w:left w:val="nil"/>
                      <w:bottom w:val="nil"/>
                      <w:right w:val="nil"/>
                    </w:tcBorders>
                    <w:shd w:val="clear" w:color="000000" w:fill="D9D9D9"/>
                    <w:noWrap/>
                    <w:vAlign w:val="bottom"/>
                    <w:hideMark/>
                  </w:tcPr>
                  <w:p w:rsidRPr="003E6C64" w:rsidR="002318A8" w:rsidRDefault="002318A8" w14:paraId="33ED3A9F" w14:textId="77777777">
                    <w:pPr>
                      <w:jc w:val="right"/>
                      <w:rPr>
                        <w:rFonts w:cs="Arial"/>
                        <w:sz w:val="18"/>
                        <w:szCs w:val="18"/>
                      </w:rPr>
                    </w:pPr>
                    <w:r w:rsidRPr="003E6C64">
                      <w:rPr>
                        <w:rFonts w:cs="Arial"/>
                        <w:sz w:val="18"/>
                        <w:szCs w:val="18"/>
                      </w:rPr>
                      <w:t>1,2</w:t>
                    </w:r>
                  </w:p>
                </w:tc>
                <w:tc>
                  <w:tcPr>
                    <w:tcW w:w="467" w:type="pct"/>
                    <w:tcBorders>
                      <w:top w:val="nil"/>
                      <w:left w:val="nil"/>
                      <w:bottom w:val="nil"/>
                      <w:right w:val="nil"/>
                    </w:tcBorders>
                    <w:shd w:val="clear" w:color="000000" w:fill="D9D9D9"/>
                    <w:noWrap/>
                    <w:vAlign w:val="bottom"/>
                    <w:hideMark/>
                  </w:tcPr>
                  <w:p w:rsidRPr="003E6C64" w:rsidR="002318A8" w:rsidRDefault="002318A8" w14:paraId="2EEEAB26" w14:textId="77777777">
                    <w:pPr>
                      <w:jc w:val="right"/>
                      <w:rPr>
                        <w:rFonts w:cs="Arial"/>
                        <w:sz w:val="18"/>
                        <w:szCs w:val="18"/>
                      </w:rPr>
                    </w:pPr>
                    <w:r w:rsidRPr="003E6C64">
                      <w:rPr>
                        <w:rFonts w:cs="Arial"/>
                        <w:sz w:val="18"/>
                        <w:szCs w:val="18"/>
                      </w:rPr>
                      <w:t>1,3</w:t>
                    </w:r>
                  </w:p>
                </w:tc>
              </w:tr>
              <w:tr w:rsidRPr="003E6C64" w:rsidR="002318A8" w:rsidTr="0092291D" w14:paraId="2B542578"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4F8CC2A3" w14:textId="77777777">
                    <w:pPr>
                      <w:rPr>
                        <w:rFonts w:cs="Arial"/>
                        <w:sz w:val="18"/>
                        <w:szCs w:val="18"/>
                      </w:rPr>
                    </w:pPr>
                    <w:r w:rsidRPr="003E6C64">
                      <w:rPr>
                        <w:rFonts w:cs="Arial"/>
                        <w:sz w:val="18"/>
                        <w:szCs w:val="18"/>
                      </w:rPr>
                      <w:t>Investeringen (inclusief voorraden)</w:t>
                    </w:r>
                  </w:p>
                </w:tc>
                <w:tc>
                  <w:tcPr>
                    <w:tcW w:w="534" w:type="pct"/>
                    <w:tcBorders>
                      <w:top w:val="nil"/>
                      <w:left w:val="nil"/>
                      <w:bottom w:val="nil"/>
                      <w:right w:val="nil"/>
                    </w:tcBorders>
                    <w:shd w:val="clear" w:color="auto" w:fill="auto"/>
                    <w:noWrap/>
                    <w:vAlign w:val="bottom"/>
                    <w:hideMark/>
                  </w:tcPr>
                  <w:p w:rsidRPr="003E6C64" w:rsidR="002318A8" w:rsidRDefault="002318A8" w14:paraId="6613C240" w14:textId="77777777">
                    <w:pPr>
                      <w:jc w:val="right"/>
                      <w:rPr>
                        <w:rFonts w:cs="Arial"/>
                        <w:sz w:val="18"/>
                        <w:szCs w:val="18"/>
                      </w:rPr>
                    </w:pPr>
                    <w:r w:rsidRPr="003E6C64">
                      <w:rPr>
                        <w:rFonts w:cs="Arial"/>
                        <w:sz w:val="18"/>
                        <w:szCs w:val="18"/>
                      </w:rPr>
                      <w:t>3,2</w:t>
                    </w:r>
                  </w:p>
                </w:tc>
                <w:tc>
                  <w:tcPr>
                    <w:tcW w:w="467" w:type="pct"/>
                    <w:tcBorders>
                      <w:top w:val="nil"/>
                      <w:left w:val="nil"/>
                      <w:bottom w:val="nil"/>
                      <w:right w:val="nil"/>
                    </w:tcBorders>
                    <w:shd w:val="clear" w:color="auto" w:fill="auto"/>
                    <w:noWrap/>
                    <w:vAlign w:val="bottom"/>
                    <w:hideMark/>
                  </w:tcPr>
                  <w:p w:rsidRPr="003E6C64" w:rsidR="002318A8" w:rsidRDefault="002318A8" w14:paraId="1F1005B1" w14:textId="77777777">
                    <w:pPr>
                      <w:jc w:val="right"/>
                      <w:rPr>
                        <w:rFonts w:cs="Arial"/>
                        <w:sz w:val="18"/>
                        <w:szCs w:val="18"/>
                      </w:rPr>
                    </w:pPr>
                    <w:r w:rsidRPr="003E6C64">
                      <w:rPr>
                        <w:rFonts w:cs="Arial"/>
                        <w:sz w:val="18"/>
                        <w:szCs w:val="18"/>
                      </w:rPr>
                      <w:t>2,5</w:t>
                    </w:r>
                  </w:p>
                </w:tc>
                <w:tc>
                  <w:tcPr>
                    <w:tcW w:w="467" w:type="pct"/>
                    <w:tcBorders>
                      <w:top w:val="nil"/>
                      <w:left w:val="nil"/>
                      <w:bottom w:val="nil"/>
                      <w:right w:val="nil"/>
                    </w:tcBorders>
                    <w:shd w:val="clear" w:color="000000" w:fill="D9D9D9"/>
                    <w:noWrap/>
                    <w:vAlign w:val="bottom"/>
                    <w:hideMark/>
                  </w:tcPr>
                  <w:p w:rsidRPr="003E6C64" w:rsidR="002318A8" w:rsidRDefault="002318A8" w14:paraId="44B7151E" w14:textId="77777777">
                    <w:pPr>
                      <w:jc w:val="right"/>
                      <w:rPr>
                        <w:rFonts w:cs="Arial"/>
                        <w:sz w:val="18"/>
                        <w:szCs w:val="18"/>
                      </w:rPr>
                    </w:pPr>
                    <w:r w:rsidRPr="003E6C64">
                      <w:rPr>
                        <w:rFonts w:cs="Arial"/>
                        <w:sz w:val="18"/>
                        <w:szCs w:val="18"/>
                      </w:rPr>
                      <w:t>2,9</w:t>
                    </w:r>
                  </w:p>
                </w:tc>
                <w:tc>
                  <w:tcPr>
                    <w:tcW w:w="468" w:type="pct"/>
                    <w:tcBorders>
                      <w:top w:val="nil"/>
                      <w:left w:val="nil"/>
                      <w:bottom w:val="nil"/>
                      <w:right w:val="nil"/>
                    </w:tcBorders>
                    <w:shd w:val="clear" w:color="000000" w:fill="D9D9D9"/>
                    <w:noWrap/>
                    <w:vAlign w:val="bottom"/>
                    <w:hideMark/>
                  </w:tcPr>
                  <w:p w:rsidRPr="003E6C64" w:rsidR="002318A8" w:rsidRDefault="002318A8" w14:paraId="3EB1F41E" w14:textId="77777777">
                    <w:pPr>
                      <w:jc w:val="right"/>
                      <w:rPr>
                        <w:rFonts w:cs="Arial"/>
                        <w:sz w:val="18"/>
                        <w:szCs w:val="18"/>
                      </w:rPr>
                    </w:pPr>
                    <w:r w:rsidRPr="003E6C64">
                      <w:rPr>
                        <w:rFonts w:cs="Arial"/>
                        <w:sz w:val="18"/>
                        <w:szCs w:val="18"/>
                      </w:rPr>
                      <w:t>2,7</w:t>
                    </w:r>
                  </w:p>
                </w:tc>
                <w:tc>
                  <w:tcPr>
                    <w:tcW w:w="467" w:type="pct"/>
                    <w:tcBorders>
                      <w:top w:val="nil"/>
                      <w:left w:val="nil"/>
                      <w:bottom w:val="nil"/>
                      <w:right w:val="nil"/>
                    </w:tcBorders>
                    <w:shd w:val="clear" w:color="000000" w:fill="D9D9D9"/>
                    <w:noWrap/>
                    <w:vAlign w:val="bottom"/>
                    <w:hideMark/>
                  </w:tcPr>
                  <w:p w:rsidRPr="003E6C64" w:rsidR="002318A8" w:rsidRDefault="002318A8" w14:paraId="4BEF0308" w14:textId="77777777">
                    <w:pPr>
                      <w:jc w:val="right"/>
                      <w:rPr>
                        <w:rFonts w:cs="Arial"/>
                        <w:sz w:val="18"/>
                        <w:szCs w:val="18"/>
                      </w:rPr>
                    </w:pPr>
                    <w:r w:rsidRPr="003E6C64">
                      <w:rPr>
                        <w:rFonts w:cs="Arial"/>
                        <w:sz w:val="18"/>
                        <w:szCs w:val="18"/>
                      </w:rPr>
                      <w:t>2,1</w:t>
                    </w:r>
                  </w:p>
                </w:tc>
              </w:tr>
              <w:tr w:rsidRPr="003E6C64" w:rsidR="002318A8" w:rsidTr="0092291D" w14:paraId="13C7964F"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562E4515" w14:textId="77777777">
                    <w:pPr>
                      <w:rPr>
                        <w:rFonts w:cs="Arial"/>
                        <w:sz w:val="18"/>
                        <w:szCs w:val="18"/>
                      </w:rPr>
                    </w:pPr>
                    <w:r w:rsidRPr="003E6C64">
                      <w:rPr>
                        <w:rFonts w:cs="Arial"/>
                        <w:sz w:val="18"/>
                        <w:szCs w:val="18"/>
                      </w:rPr>
                      <w:t>Uitvoer van goederen en diensten</w:t>
                    </w:r>
                  </w:p>
                </w:tc>
                <w:tc>
                  <w:tcPr>
                    <w:tcW w:w="534" w:type="pct"/>
                    <w:tcBorders>
                      <w:top w:val="nil"/>
                      <w:left w:val="nil"/>
                      <w:bottom w:val="nil"/>
                      <w:right w:val="nil"/>
                    </w:tcBorders>
                    <w:shd w:val="clear" w:color="auto" w:fill="auto"/>
                    <w:noWrap/>
                    <w:vAlign w:val="bottom"/>
                    <w:hideMark/>
                  </w:tcPr>
                  <w:p w:rsidRPr="003E6C64" w:rsidR="002318A8" w:rsidRDefault="002318A8" w14:paraId="481D2453" w14:textId="77777777">
                    <w:pPr>
                      <w:jc w:val="right"/>
                      <w:rPr>
                        <w:rFonts w:cs="Arial"/>
                        <w:sz w:val="18"/>
                        <w:szCs w:val="18"/>
                      </w:rPr>
                    </w:pPr>
                    <w:r w:rsidRPr="003E6C64">
                      <w:rPr>
                        <w:rFonts w:cs="Arial"/>
                        <w:sz w:val="18"/>
                        <w:szCs w:val="18"/>
                      </w:rPr>
                      <w:t>1,7</w:t>
                    </w:r>
                  </w:p>
                </w:tc>
                <w:tc>
                  <w:tcPr>
                    <w:tcW w:w="467" w:type="pct"/>
                    <w:tcBorders>
                      <w:top w:val="nil"/>
                      <w:left w:val="nil"/>
                      <w:bottom w:val="nil"/>
                      <w:right w:val="nil"/>
                    </w:tcBorders>
                    <w:shd w:val="clear" w:color="auto" w:fill="auto"/>
                    <w:noWrap/>
                    <w:vAlign w:val="bottom"/>
                    <w:hideMark/>
                  </w:tcPr>
                  <w:p w:rsidRPr="003E6C64" w:rsidR="002318A8" w:rsidRDefault="002318A8" w14:paraId="21075AFF" w14:textId="77777777">
                    <w:pPr>
                      <w:jc w:val="right"/>
                      <w:rPr>
                        <w:rFonts w:cs="Arial"/>
                        <w:sz w:val="18"/>
                        <w:szCs w:val="18"/>
                      </w:rPr>
                    </w:pPr>
                    <w:r w:rsidRPr="003E6C64">
                      <w:rPr>
                        <w:rFonts w:cs="Arial"/>
                        <w:sz w:val="18"/>
                        <w:szCs w:val="18"/>
                      </w:rPr>
                      <w:t>1,7</w:t>
                    </w:r>
                  </w:p>
                </w:tc>
                <w:tc>
                  <w:tcPr>
                    <w:tcW w:w="467" w:type="pct"/>
                    <w:tcBorders>
                      <w:top w:val="nil"/>
                      <w:left w:val="nil"/>
                      <w:bottom w:val="nil"/>
                      <w:right w:val="nil"/>
                    </w:tcBorders>
                    <w:shd w:val="clear" w:color="000000" w:fill="D9D9D9"/>
                    <w:noWrap/>
                    <w:vAlign w:val="bottom"/>
                    <w:hideMark/>
                  </w:tcPr>
                  <w:p w:rsidRPr="003E6C64" w:rsidR="002318A8" w:rsidRDefault="002318A8" w14:paraId="323AB01F" w14:textId="77777777">
                    <w:pPr>
                      <w:jc w:val="right"/>
                      <w:rPr>
                        <w:rFonts w:cs="Arial"/>
                        <w:sz w:val="18"/>
                        <w:szCs w:val="18"/>
                      </w:rPr>
                    </w:pPr>
                    <w:r w:rsidRPr="003E6C64">
                      <w:rPr>
                        <w:rFonts w:cs="Arial"/>
                        <w:sz w:val="18"/>
                        <w:szCs w:val="18"/>
                      </w:rPr>
                      <w:t>2,2</w:t>
                    </w:r>
                  </w:p>
                </w:tc>
                <w:tc>
                  <w:tcPr>
                    <w:tcW w:w="468" w:type="pct"/>
                    <w:tcBorders>
                      <w:top w:val="nil"/>
                      <w:left w:val="nil"/>
                      <w:bottom w:val="nil"/>
                      <w:right w:val="nil"/>
                    </w:tcBorders>
                    <w:shd w:val="clear" w:color="000000" w:fill="D9D9D9"/>
                    <w:noWrap/>
                    <w:vAlign w:val="bottom"/>
                    <w:hideMark/>
                  </w:tcPr>
                  <w:p w:rsidRPr="003E6C64" w:rsidR="002318A8" w:rsidRDefault="002318A8" w14:paraId="108353AE" w14:textId="77777777">
                    <w:pPr>
                      <w:jc w:val="right"/>
                      <w:rPr>
                        <w:rFonts w:cs="Arial"/>
                        <w:sz w:val="18"/>
                        <w:szCs w:val="18"/>
                      </w:rPr>
                    </w:pPr>
                    <w:r w:rsidRPr="003E6C64">
                      <w:rPr>
                        <w:rFonts w:cs="Arial"/>
                        <w:sz w:val="18"/>
                        <w:szCs w:val="18"/>
                      </w:rPr>
                      <w:t>2,1</w:t>
                    </w:r>
                  </w:p>
                </w:tc>
                <w:tc>
                  <w:tcPr>
                    <w:tcW w:w="467" w:type="pct"/>
                    <w:tcBorders>
                      <w:top w:val="nil"/>
                      <w:left w:val="nil"/>
                      <w:bottom w:val="nil"/>
                      <w:right w:val="nil"/>
                    </w:tcBorders>
                    <w:shd w:val="clear" w:color="000000" w:fill="D9D9D9"/>
                    <w:noWrap/>
                    <w:vAlign w:val="bottom"/>
                    <w:hideMark/>
                  </w:tcPr>
                  <w:p w:rsidRPr="003E6C64" w:rsidR="002318A8" w:rsidRDefault="002318A8" w14:paraId="192DF974" w14:textId="77777777">
                    <w:pPr>
                      <w:jc w:val="right"/>
                      <w:rPr>
                        <w:rFonts w:cs="Arial"/>
                        <w:sz w:val="18"/>
                        <w:szCs w:val="18"/>
                      </w:rPr>
                    </w:pPr>
                    <w:r w:rsidRPr="003E6C64">
                      <w:rPr>
                        <w:rFonts w:cs="Arial"/>
                        <w:sz w:val="18"/>
                        <w:szCs w:val="18"/>
                      </w:rPr>
                      <w:t>1,7</w:t>
                    </w:r>
                  </w:p>
                </w:tc>
              </w:tr>
              <w:tr w:rsidRPr="003E6C64" w:rsidR="002318A8" w:rsidTr="0092291D" w14:paraId="6E4385BD"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6ADE0CE5" w14:textId="77777777">
                    <w:pPr>
                      <w:rPr>
                        <w:rFonts w:cs="Arial"/>
                        <w:sz w:val="18"/>
                        <w:szCs w:val="18"/>
                      </w:rPr>
                    </w:pPr>
                    <w:r w:rsidRPr="003E6C64">
                      <w:rPr>
                        <w:rFonts w:cs="Arial"/>
                        <w:sz w:val="18"/>
                        <w:szCs w:val="18"/>
                      </w:rPr>
                      <w:t>Invoer goederen en diensten</w:t>
                    </w:r>
                  </w:p>
                </w:tc>
                <w:tc>
                  <w:tcPr>
                    <w:tcW w:w="534" w:type="pct"/>
                    <w:tcBorders>
                      <w:top w:val="nil"/>
                      <w:left w:val="nil"/>
                      <w:bottom w:val="nil"/>
                      <w:right w:val="nil"/>
                    </w:tcBorders>
                    <w:shd w:val="clear" w:color="auto" w:fill="auto"/>
                    <w:noWrap/>
                    <w:vAlign w:val="bottom"/>
                    <w:hideMark/>
                  </w:tcPr>
                  <w:p w:rsidRPr="003E6C64" w:rsidR="002318A8" w:rsidRDefault="002318A8" w14:paraId="63A18FDF" w14:textId="77777777">
                    <w:pPr>
                      <w:jc w:val="right"/>
                      <w:rPr>
                        <w:rFonts w:cs="Arial"/>
                        <w:sz w:val="18"/>
                        <w:szCs w:val="18"/>
                      </w:rPr>
                    </w:pPr>
                    <w:r w:rsidRPr="003E6C64">
                      <w:rPr>
                        <w:rFonts w:cs="Arial"/>
                        <w:sz w:val="18"/>
                        <w:szCs w:val="18"/>
                      </w:rPr>
                      <w:t>2,3</w:t>
                    </w:r>
                  </w:p>
                </w:tc>
                <w:tc>
                  <w:tcPr>
                    <w:tcW w:w="467" w:type="pct"/>
                    <w:tcBorders>
                      <w:top w:val="nil"/>
                      <w:left w:val="nil"/>
                      <w:bottom w:val="nil"/>
                      <w:right w:val="nil"/>
                    </w:tcBorders>
                    <w:shd w:val="clear" w:color="auto" w:fill="auto"/>
                    <w:noWrap/>
                    <w:vAlign w:val="bottom"/>
                    <w:hideMark/>
                  </w:tcPr>
                  <w:p w:rsidRPr="003E6C64" w:rsidR="002318A8" w:rsidRDefault="002318A8" w14:paraId="48194064" w14:textId="77777777">
                    <w:pPr>
                      <w:jc w:val="right"/>
                      <w:rPr>
                        <w:rFonts w:cs="Arial"/>
                        <w:sz w:val="18"/>
                        <w:szCs w:val="18"/>
                      </w:rPr>
                    </w:pPr>
                    <w:r w:rsidRPr="003E6C64">
                      <w:rPr>
                        <w:rFonts w:cs="Arial"/>
                        <w:sz w:val="18"/>
                        <w:szCs w:val="18"/>
                      </w:rPr>
                      <w:t>1,7</w:t>
                    </w:r>
                  </w:p>
                </w:tc>
                <w:tc>
                  <w:tcPr>
                    <w:tcW w:w="467" w:type="pct"/>
                    <w:tcBorders>
                      <w:top w:val="nil"/>
                      <w:left w:val="nil"/>
                      <w:bottom w:val="nil"/>
                      <w:right w:val="nil"/>
                    </w:tcBorders>
                    <w:shd w:val="clear" w:color="000000" w:fill="D9D9D9"/>
                    <w:noWrap/>
                    <w:vAlign w:val="bottom"/>
                    <w:hideMark/>
                  </w:tcPr>
                  <w:p w:rsidRPr="003E6C64" w:rsidR="002318A8" w:rsidRDefault="002318A8" w14:paraId="0BC82921" w14:textId="77777777">
                    <w:pPr>
                      <w:jc w:val="right"/>
                      <w:rPr>
                        <w:rFonts w:cs="Arial"/>
                        <w:sz w:val="18"/>
                        <w:szCs w:val="18"/>
                      </w:rPr>
                    </w:pPr>
                    <w:r w:rsidRPr="003E6C64">
                      <w:rPr>
                        <w:rFonts w:cs="Arial"/>
                        <w:sz w:val="18"/>
                        <w:szCs w:val="18"/>
                      </w:rPr>
                      <w:t>2,9</w:t>
                    </w:r>
                  </w:p>
                </w:tc>
                <w:tc>
                  <w:tcPr>
                    <w:tcW w:w="468" w:type="pct"/>
                    <w:tcBorders>
                      <w:top w:val="nil"/>
                      <w:left w:val="nil"/>
                      <w:bottom w:val="nil"/>
                      <w:right w:val="nil"/>
                    </w:tcBorders>
                    <w:shd w:val="clear" w:color="000000" w:fill="D9D9D9"/>
                    <w:noWrap/>
                    <w:vAlign w:val="bottom"/>
                    <w:hideMark/>
                  </w:tcPr>
                  <w:p w:rsidRPr="003E6C64" w:rsidR="002318A8" w:rsidRDefault="002318A8" w14:paraId="18DE8094" w14:textId="77777777">
                    <w:pPr>
                      <w:jc w:val="right"/>
                      <w:rPr>
                        <w:rFonts w:cs="Arial"/>
                        <w:sz w:val="18"/>
                        <w:szCs w:val="18"/>
                      </w:rPr>
                    </w:pPr>
                    <w:r w:rsidRPr="003E6C64">
                      <w:rPr>
                        <w:rFonts w:cs="Arial"/>
                        <w:sz w:val="18"/>
                        <w:szCs w:val="18"/>
                      </w:rPr>
                      <w:t>2,8</w:t>
                    </w:r>
                  </w:p>
                </w:tc>
                <w:tc>
                  <w:tcPr>
                    <w:tcW w:w="467" w:type="pct"/>
                    <w:tcBorders>
                      <w:top w:val="nil"/>
                      <w:left w:val="nil"/>
                      <w:bottom w:val="nil"/>
                      <w:right w:val="nil"/>
                    </w:tcBorders>
                    <w:shd w:val="clear" w:color="000000" w:fill="D9D9D9"/>
                    <w:noWrap/>
                    <w:vAlign w:val="bottom"/>
                    <w:hideMark/>
                  </w:tcPr>
                  <w:p w:rsidRPr="003E6C64" w:rsidR="002318A8" w:rsidRDefault="002318A8" w14:paraId="2AF759FA" w14:textId="77777777">
                    <w:pPr>
                      <w:jc w:val="right"/>
                      <w:rPr>
                        <w:rFonts w:cs="Arial"/>
                        <w:sz w:val="18"/>
                        <w:szCs w:val="18"/>
                      </w:rPr>
                    </w:pPr>
                    <w:r w:rsidRPr="003E6C64">
                      <w:rPr>
                        <w:rFonts w:cs="Arial"/>
                        <w:sz w:val="18"/>
                        <w:szCs w:val="18"/>
                      </w:rPr>
                      <w:t>2,2</w:t>
                    </w:r>
                  </w:p>
                </w:tc>
              </w:tr>
              <w:tr w:rsidRPr="003E6C64" w:rsidR="002318A8" w:rsidTr="0092291D" w14:paraId="43062A07"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2F6E8D29" w14:textId="77777777">
                    <w:pPr>
                      <w:jc w:val="right"/>
                      <w:rPr>
                        <w:rFonts w:cs="Arial"/>
                        <w:sz w:val="18"/>
                        <w:szCs w:val="18"/>
                      </w:rPr>
                    </w:pPr>
                  </w:p>
                </w:tc>
                <w:tc>
                  <w:tcPr>
                    <w:tcW w:w="534" w:type="pct"/>
                    <w:tcBorders>
                      <w:top w:val="nil"/>
                      <w:left w:val="nil"/>
                      <w:bottom w:val="nil"/>
                      <w:right w:val="nil"/>
                    </w:tcBorders>
                    <w:shd w:val="clear" w:color="auto" w:fill="auto"/>
                    <w:noWrap/>
                    <w:vAlign w:val="bottom"/>
                    <w:hideMark/>
                  </w:tcPr>
                  <w:p w:rsidRPr="003E6C64" w:rsidR="002318A8" w:rsidRDefault="002318A8" w14:paraId="3F2A2E25" w14:textId="77777777">
                    <w:pPr>
                      <w:rPr>
                        <w:rFonts w:ascii="Times New Roman" w:hAnsi="Times New Roman"/>
                        <w:sz w:val="20"/>
                        <w:szCs w:val="20"/>
                      </w:rPr>
                    </w:pPr>
                  </w:p>
                </w:tc>
                <w:tc>
                  <w:tcPr>
                    <w:tcW w:w="467" w:type="pct"/>
                    <w:tcBorders>
                      <w:top w:val="nil"/>
                      <w:left w:val="nil"/>
                      <w:bottom w:val="nil"/>
                      <w:right w:val="nil"/>
                    </w:tcBorders>
                    <w:shd w:val="clear" w:color="auto" w:fill="auto"/>
                    <w:noWrap/>
                    <w:vAlign w:val="bottom"/>
                    <w:hideMark/>
                  </w:tcPr>
                  <w:p w:rsidRPr="003E6C64" w:rsidR="002318A8" w:rsidRDefault="002318A8" w14:paraId="50390986" w14:textId="77777777">
                    <w:pPr>
                      <w:rPr>
                        <w:rFonts w:ascii="Times New Roman" w:hAnsi="Times New Roman"/>
                        <w:sz w:val="20"/>
                        <w:szCs w:val="20"/>
                      </w:rPr>
                    </w:pPr>
                  </w:p>
                </w:tc>
                <w:tc>
                  <w:tcPr>
                    <w:tcW w:w="467" w:type="pct"/>
                    <w:tcBorders>
                      <w:top w:val="nil"/>
                      <w:left w:val="nil"/>
                      <w:bottom w:val="nil"/>
                      <w:right w:val="nil"/>
                    </w:tcBorders>
                    <w:shd w:val="clear" w:color="000000" w:fill="D9D9D9"/>
                    <w:noWrap/>
                    <w:vAlign w:val="bottom"/>
                    <w:hideMark/>
                  </w:tcPr>
                  <w:p w:rsidRPr="003E6C64" w:rsidR="002318A8" w:rsidRDefault="002318A8" w14:paraId="372F297B" w14:textId="77777777">
                    <w:pPr>
                      <w:rPr>
                        <w:rFonts w:cs="Arial"/>
                        <w:sz w:val="18"/>
                        <w:szCs w:val="18"/>
                      </w:rPr>
                    </w:pPr>
                    <w:r w:rsidRPr="003E6C64">
                      <w:rPr>
                        <w:rFonts w:cs="Arial"/>
                        <w:sz w:val="18"/>
                        <w:szCs w:val="18"/>
                      </w:rPr>
                      <w:t> </w:t>
                    </w:r>
                  </w:p>
                </w:tc>
                <w:tc>
                  <w:tcPr>
                    <w:tcW w:w="468" w:type="pct"/>
                    <w:tcBorders>
                      <w:top w:val="nil"/>
                      <w:left w:val="nil"/>
                      <w:bottom w:val="nil"/>
                      <w:right w:val="nil"/>
                    </w:tcBorders>
                    <w:shd w:val="clear" w:color="000000" w:fill="D9D9D9"/>
                    <w:noWrap/>
                    <w:vAlign w:val="bottom"/>
                    <w:hideMark/>
                  </w:tcPr>
                  <w:p w:rsidRPr="003E6C64" w:rsidR="002318A8" w:rsidRDefault="002318A8" w14:paraId="27571852" w14:textId="77777777">
                    <w:pPr>
                      <w:rPr>
                        <w:rFonts w:cs="Arial"/>
                        <w:sz w:val="18"/>
                        <w:szCs w:val="18"/>
                      </w:rPr>
                    </w:pPr>
                    <w:r w:rsidRPr="003E6C64">
                      <w:rPr>
                        <w:rFonts w:cs="Arial"/>
                        <w:sz w:val="18"/>
                        <w:szCs w:val="18"/>
                      </w:rPr>
                      <w:t> </w:t>
                    </w:r>
                  </w:p>
                </w:tc>
                <w:tc>
                  <w:tcPr>
                    <w:tcW w:w="467" w:type="pct"/>
                    <w:tcBorders>
                      <w:top w:val="nil"/>
                      <w:left w:val="nil"/>
                      <w:bottom w:val="nil"/>
                      <w:right w:val="nil"/>
                    </w:tcBorders>
                    <w:shd w:val="clear" w:color="000000" w:fill="D9D9D9"/>
                    <w:noWrap/>
                    <w:vAlign w:val="bottom"/>
                    <w:hideMark/>
                  </w:tcPr>
                  <w:p w:rsidRPr="003E6C64" w:rsidR="002318A8" w:rsidRDefault="002318A8" w14:paraId="534CC3F3" w14:textId="77777777">
                    <w:pPr>
                      <w:rPr>
                        <w:rFonts w:cs="Arial"/>
                        <w:sz w:val="18"/>
                        <w:szCs w:val="18"/>
                      </w:rPr>
                    </w:pPr>
                    <w:r w:rsidRPr="003E6C64">
                      <w:rPr>
                        <w:rFonts w:cs="Arial"/>
                        <w:sz w:val="18"/>
                        <w:szCs w:val="18"/>
                      </w:rPr>
                      <w:t> </w:t>
                    </w:r>
                  </w:p>
                </w:tc>
              </w:tr>
              <w:tr w:rsidRPr="003E6C64" w:rsidR="002318A8" w:rsidTr="0092291D" w14:paraId="306F1100"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5E8725D5" w14:textId="77777777">
                    <w:pPr>
                      <w:rPr>
                        <w:rFonts w:cs="Arial"/>
                        <w:sz w:val="18"/>
                        <w:szCs w:val="18"/>
                      </w:rPr>
                    </w:pPr>
                    <w:r w:rsidRPr="003E6C64">
                      <w:rPr>
                        <w:rFonts w:cs="Arial"/>
                        <w:sz w:val="18"/>
                        <w:szCs w:val="18"/>
                      </w:rPr>
                      <w:t>Inflatie (</w:t>
                    </w:r>
                    <w:proofErr w:type="spellStart"/>
                    <w:r w:rsidRPr="003E6C64">
                      <w:rPr>
                        <w:rFonts w:cs="Arial"/>
                        <w:sz w:val="18"/>
                        <w:szCs w:val="18"/>
                      </w:rPr>
                      <w:t>hicp</w:t>
                    </w:r>
                    <w:proofErr w:type="spellEnd"/>
                    <w:r w:rsidRPr="003E6C64">
                      <w:rPr>
                        <w:rFonts w:cs="Arial"/>
                        <w:sz w:val="18"/>
                        <w:szCs w:val="18"/>
                      </w:rPr>
                      <w:t>)</w:t>
                    </w:r>
                  </w:p>
                </w:tc>
                <w:tc>
                  <w:tcPr>
                    <w:tcW w:w="534" w:type="pct"/>
                    <w:tcBorders>
                      <w:top w:val="nil"/>
                      <w:left w:val="nil"/>
                      <w:bottom w:val="nil"/>
                      <w:right w:val="nil"/>
                    </w:tcBorders>
                    <w:shd w:val="clear" w:color="auto" w:fill="auto"/>
                    <w:noWrap/>
                    <w:vAlign w:val="bottom"/>
                    <w:hideMark/>
                  </w:tcPr>
                  <w:p w:rsidRPr="003E6C64" w:rsidR="002318A8" w:rsidRDefault="002318A8" w14:paraId="01C34DAD" w14:textId="77777777">
                    <w:pPr>
                      <w:jc w:val="right"/>
                      <w:rPr>
                        <w:rFonts w:cs="Arial"/>
                        <w:sz w:val="18"/>
                        <w:szCs w:val="18"/>
                      </w:rPr>
                    </w:pPr>
                    <w:r w:rsidRPr="003E6C64">
                      <w:rPr>
                        <w:rFonts w:cs="Arial"/>
                        <w:sz w:val="18"/>
                        <w:szCs w:val="18"/>
                      </w:rPr>
                      <w:t>2,2</w:t>
                    </w:r>
                  </w:p>
                </w:tc>
                <w:tc>
                  <w:tcPr>
                    <w:tcW w:w="467" w:type="pct"/>
                    <w:tcBorders>
                      <w:top w:val="nil"/>
                      <w:left w:val="nil"/>
                      <w:bottom w:val="nil"/>
                      <w:right w:val="nil"/>
                    </w:tcBorders>
                    <w:shd w:val="clear" w:color="auto" w:fill="auto"/>
                    <w:noWrap/>
                    <w:vAlign w:val="bottom"/>
                    <w:hideMark/>
                  </w:tcPr>
                  <w:p w:rsidRPr="003E6C64" w:rsidR="002318A8" w:rsidRDefault="002318A8" w14:paraId="3C878B8A" w14:textId="77777777">
                    <w:pPr>
                      <w:jc w:val="right"/>
                      <w:rPr>
                        <w:rFonts w:cs="Arial"/>
                        <w:sz w:val="18"/>
                        <w:szCs w:val="18"/>
                      </w:rPr>
                    </w:pPr>
                    <w:r w:rsidRPr="003E6C64">
                      <w:rPr>
                        <w:rFonts w:cs="Arial"/>
                        <w:sz w:val="18"/>
                        <w:szCs w:val="18"/>
                      </w:rPr>
                      <w:t>2,1</w:t>
                    </w:r>
                  </w:p>
                </w:tc>
                <w:tc>
                  <w:tcPr>
                    <w:tcW w:w="467" w:type="pct"/>
                    <w:tcBorders>
                      <w:top w:val="nil"/>
                      <w:left w:val="nil"/>
                      <w:bottom w:val="nil"/>
                      <w:right w:val="nil"/>
                    </w:tcBorders>
                    <w:shd w:val="clear" w:color="000000" w:fill="D9D9D9"/>
                    <w:noWrap/>
                    <w:vAlign w:val="bottom"/>
                    <w:hideMark/>
                  </w:tcPr>
                  <w:p w:rsidRPr="003E6C64" w:rsidR="002318A8" w:rsidRDefault="002318A8" w14:paraId="3700EEA0" w14:textId="77777777">
                    <w:pPr>
                      <w:jc w:val="right"/>
                      <w:rPr>
                        <w:rFonts w:cs="Arial"/>
                        <w:sz w:val="18"/>
                        <w:szCs w:val="18"/>
                      </w:rPr>
                    </w:pPr>
                    <w:r w:rsidRPr="003E6C64">
                      <w:rPr>
                        <w:rFonts w:cs="Arial"/>
                        <w:sz w:val="18"/>
                        <w:szCs w:val="18"/>
                      </w:rPr>
                      <w:t>2,3</w:t>
                    </w:r>
                  </w:p>
                </w:tc>
                <w:tc>
                  <w:tcPr>
                    <w:tcW w:w="468" w:type="pct"/>
                    <w:tcBorders>
                      <w:top w:val="nil"/>
                      <w:left w:val="nil"/>
                      <w:bottom w:val="nil"/>
                      <w:right w:val="nil"/>
                    </w:tcBorders>
                    <w:shd w:val="clear" w:color="000000" w:fill="D9D9D9"/>
                    <w:noWrap/>
                    <w:vAlign w:val="bottom"/>
                    <w:hideMark/>
                  </w:tcPr>
                  <w:p w:rsidRPr="003E6C64" w:rsidR="002318A8" w:rsidRDefault="002318A8" w14:paraId="39CF312A" w14:textId="77777777">
                    <w:pPr>
                      <w:jc w:val="right"/>
                      <w:rPr>
                        <w:rFonts w:cs="Arial"/>
                        <w:sz w:val="18"/>
                        <w:szCs w:val="18"/>
                      </w:rPr>
                    </w:pPr>
                    <w:r w:rsidRPr="003E6C64">
                      <w:rPr>
                        <w:rFonts w:cs="Arial"/>
                        <w:sz w:val="18"/>
                        <w:szCs w:val="18"/>
                      </w:rPr>
                      <w:t>2,2</w:t>
                    </w:r>
                  </w:p>
                </w:tc>
                <w:tc>
                  <w:tcPr>
                    <w:tcW w:w="467" w:type="pct"/>
                    <w:tcBorders>
                      <w:top w:val="nil"/>
                      <w:left w:val="nil"/>
                      <w:bottom w:val="nil"/>
                      <w:right w:val="nil"/>
                    </w:tcBorders>
                    <w:shd w:val="clear" w:color="000000" w:fill="D9D9D9"/>
                    <w:noWrap/>
                    <w:vAlign w:val="bottom"/>
                    <w:hideMark/>
                  </w:tcPr>
                  <w:p w:rsidRPr="003E6C64" w:rsidR="002318A8" w:rsidRDefault="002318A8" w14:paraId="5C9DE535" w14:textId="77777777">
                    <w:pPr>
                      <w:jc w:val="right"/>
                      <w:rPr>
                        <w:rFonts w:cs="Arial"/>
                        <w:sz w:val="18"/>
                        <w:szCs w:val="18"/>
                      </w:rPr>
                    </w:pPr>
                    <w:r w:rsidRPr="003E6C64">
                      <w:rPr>
                        <w:rFonts w:cs="Arial"/>
                        <w:sz w:val="18"/>
                        <w:szCs w:val="18"/>
                      </w:rPr>
                      <w:t>2,2</w:t>
                    </w:r>
                  </w:p>
                </w:tc>
              </w:tr>
              <w:tr w:rsidRPr="003E6C64" w:rsidR="002318A8" w:rsidTr="0092291D" w14:paraId="21788CB4"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2FEBF24F" w14:textId="77777777">
                    <w:pPr>
                      <w:rPr>
                        <w:rFonts w:cs="Arial"/>
                        <w:sz w:val="18"/>
                        <w:szCs w:val="18"/>
                      </w:rPr>
                    </w:pPr>
                    <w:r w:rsidRPr="003E6C64">
                      <w:rPr>
                        <w:rFonts w:cs="Arial"/>
                        <w:sz w:val="18"/>
                        <w:szCs w:val="18"/>
                      </w:rPr>
                      <w:t>Loonvoet bedrijven</w:t>
                    </w:r>
                  </w:p>
                </w:tc>
                <w:tc>
                  <w:tcPr>
                    <w:tcW w:w="534" w:type="pct"/>
                    <w:tcBorders>
                      <w:top w:val="nil"/>
                      <w:left w:val="nil"/>
                      <w:bottom w:val="nil"/>
                      <w:right w:val="nil"/>
                    </w:tcBorders>
                    <w:shd w:val="clear" w:color="auto" w:fill="auto"/>
                    <w:noWrap/>
                    <w:vAlign w:val="bottom"/>
                    <w:hideMark/>
                  </w:tcPr>
                  <w:p w:rsidRPr="003E6C64" w:rsidR="002318A8" w:rsidRDefault="002318A8" w14:paraId="09BB9B37" w14:textId="77777777">
                    <w:pPr>
                      <w:jc w:val="right"/>
                      <w:rPr>
                        <w:rFonts w:cs="Arial"/>
                        <w:sz w:val="18"/>
                        <w:szCs w:val="18"/>
                      </w:rPr>
                    </w:pPr>
                    <w:r w:rsidRPr="003E6C64">
                      <w:rPr>
                        <w:rFonts w:cs="Arial"/>
                        <w:sz w:val="18"/>
                        <w:szCs w:val="18"/>
                      </w:rPr>
                      <w:t>4,1</w:t>
                    </w:r>
                  </w:p>
                </w:tc>
                <w:tc>
                  <w:tcPr>
                    <w:tcW w:w="467" w:type="pct"/>
                    <w:tcBorders>
                      <w:top w:val="nil"/>
                      <w:left w:val="nil"/>
                      <w:bottom w:val="nil"/>
                      <w:right w:val="nil"/>
                    </w:tcBorders>
                    <w:shd w:val="clear" w:color="auto" w:fill="auto"/>
                    <w:noWrap/>
                    <w:vAlign w:val="bottom"/>
                    <w:hideMark/>
                  </w:tcPr>
                  <w:p w:rsidRPr="003E6C64" w:rsidR="002318A8" w:rsidRDefault="002318A8" w14:paraId="7D3E50A3" w14:textId="77777777">
                    <w:pPr>
                      <w:jc w:val="right"/>
                      <w:rPr>
                        <w:rFonts w:cs="Arial"/>
                        <w:sz w:val="18"/>
                        <w:szCs w:val="18"/>
                      </w:rPr>
                    </w:pPr>
                    <w:r w:rsidRPr="003E6C64">
                      <w:rPr>
                        <w:rFonts w:cs="Arial"/>
                        <w:sz w:val="18"/>
                        <w:szCs w:val="18"/>
                      </w:rPr>
                      <w:t>3,8</w:t>
                    </w:r>
                  </w:p>
                </w:tc>
                <w:tc>
                  <w:tcPr>
                    <w:tcW w:w="467" w:type="pct"/>
                    <w:tcBorders>
                      <w:top w:val="nil"/>
                      <w:left w:val="nil"/>
                      <w:bottom w:val="nil"/>
                      <w:right w:val="nil"/>
                    </w:tcBorders>
                    <w:shd w:val="clear" w:color="000000" w:fill="D9D9D9"/>
                    <w:noWrap/>
                    <w:vAlign w:val="bottom"/>
                    <w:hideMark/>
                  </w:tcPr>
                  <w:p w:rsidRPr="003E6C64" w:rsidR="002318A8" w:rsidRDefault="002318A8" w14:paraId="5AA87E3D" w14:textId="77777777">
                    <w:pPr>
                      <w:jc w:val="right"/>
                      <w:rPr>
                        <w:rFonts w:cs="Arial"/>
                        <w:sz w:val="18"/>
                        <w:szCs w:val="18"/>
                      </w:rPr>
                    </w:pPr>
                    <w:r w:rsidRPr="003E6C64">
                      <w:rPr>
                        <w:rFonts w:cs="Arial"/>
                        <w:sz w:val="18"/>
                        <w:szCs w:val="18"/>
                      </w:rPr>
                      <w:t>4,1</w:t>
                    </w:r>
                  </w:p>
                </w:tc>
                <w:tc>
                  <w:tcPr>
                    <w:tcW w:w="468" w:type="pct"/>
                    <w:tcBorders>
                      <w:top w:val="nil"/>
                      <w:left w:val="nil"/>
                      <w:bottom w:val="nil"/>
                      <w:right w:val="nil"/>
                    </w:tcBorders>
                    <w:shd w:val="clear" w:color="000000" w:fill="D9D9D9"/>
                    <w:noWrap/>
                    <w:vAlign w:val="bottom"/>
                    <w:hideMark/>
                  </w:tcPr>
                  <w:p w:rsidRPr="003E6C64" w:rsidR="002318A8" w:rsidRDefault="002318A8" w14:paraId="0CFFE246" w14:textId="77777777">
                    <w:pPr>
                      <w:jc w:val="right"/>
                      <w:rPr>
                        <w:rFonts w:cs="Arial"/>
                        <w:sz w:val="18"/>
                        <w:szCs w:val="18"/>
                      </w:rPr>
                    </w:pPr>
                    <w:r w:rsidRPr="003E6C64">
                      <w:rPr>
                        <w:rFonts w:cs="Arial"/>
                        <w:sz w:val="18"/>
                        <w:szCs w:val="18"/>
                      </w:rPr>
                      <w:t>3,9</w:t>
                    </w:r>
                  </w:p>
                </w:tc>
                <w:tc>
                  <w:tcPr>
                    <w:tcW w:w="467" w:type="pct"/>
                    <w:tcBorders>
                      <w:top w:val="nil"/>
                      <w:left w:val="nil"/>
                      <w:bottom w:val="nil"/>
                      <w:right w:val="nil"/>
                    </w:tcBorders>
                    <w:shd w:val="clear" w:color="000000" w:fill="D9D9D9"/>
                    <w:noWrap/>
                    <w:vAlign w:val="bottom"/>
                    <w:hideMark/>
                  </w:tcPr>
                  <w:p w:rsidRPr="003E6C64" w:rsidR="002318A8" w:rsidRDefault="002318A8" w14:paraId="4F98516C" w14:textId="77777777">
                    <w:pPr>
                      <w:jc w:val="right"/>
                      <w:rPr>
                        <w:rFonts w:cs="Arial"/>
                        <w:sz w:val="18"/>
                        <w:szCs w:val="18"/>
                      </w:rPr>
                    </w:pPr>
                    <w:r w:rsidRPr="003E6C64">
                      <w:rPr>
                        <w:rFonts w:cs="Arial"/>
                        <w:sz w:val="18"/>
                        <w:szCs w:val="18"/>
                      </w:rPr>
                      <w:t>3,</w:t>
                    </w:r>
                    <w:r>
                      <w:rPr>
                        <w:rFonts w:cs="Arial"/>
                        <w:sz w:val="18"/>
                        <w:szCs w:val="18"/>
                      </w:rPr>
                      <w:t>7</w:t>
                    </w:r>
                  </w:p>
                </w:tc>
              </w:tr>
              <w:tr w:rsidRPr="003E6C64" w:rsidR="002318A8" w:rsidTr="0092291D" w14:paraId="663FB8BD" w14:textId="77777777">
                <w:trPr>
                  <w:trHeight w:val="263"/>
                </w:trPr>
                <w:tc>
                  <w:tcPr>
                    <w:tcW w:w="2596" w:type="pct"/>
                    <w:tcBorders>
                      <w:top w:val="nil"/>
                      <w:left w:val="nil"/>
                      <w:bottom w:val="nil"/>
                      <w:right w:val="nil"/>
                    </w:tcBorders>
                    <w:shd w:val="clear" w:color="auto" w:fill="auto"/>
                    <w:noWrap/>
                    <w:vAlign w:val="bottom"/>
                    <w:hideMark/>
                  </w:tcPr>
                  <w:p w:rsidRPr="003E6C64" w:rsidR="002318A8" w:rsidRDefault="002318A8" w14:paraId="28BAA185" w14:textId="77777777">
                    <w:pPr>
                      <w:rPr>
                        <w:rFonts w:cs="Arial"/>
                        <w:sz w:val="18"/>
                        <w:szCs w:val="18"/>
                      </w:rPr>
                    </w:pPr>
                    <w:r w:rsidRPr="003E6C64">
                      <w:rPr>
                        <w:rFonts w:cs="Arial"/>
                        <w:sz w:val="18"/>
                        <w:szCs w:val="18"/>
                      </w:rPr>
                      <w:t>Werkloosheidspercentage beroepsbevolking (%)</w:t>
                    </w:r>
                  </w:p>
                </w:tc>
                <w:tc>
                  <w:tcPr>
                    <w:tcW w:w="534" w:type="pct"/>
                    <w:tcBorders>
                      <w:top w:val="nil"/>
                      <w:left w:val="nil"/>
                      <w:bottom w:val="nil"/>
                      <w:right w:val="nil"/>
                    </w:tcBorders>
                    <w:shd w:val="clear" w:color="auto" w:fill="auto"/>
                    <w:noWrap/>
                    <w:vAlign w:val="bottom"/>
                    <w:hideMark/>
                  </w:tcPr>
                  <w:p w:rsidRPr="003E6C64" w:rsidR="002318A8" w:rsidRDefault="002318A8" w14:paraId="1AD333C6" w14:textId="77777777">
                    <w:pPr>
                      <w:jc w:val="right"/>
                      <w:rPr>
                        <w:rFonts w:cs="Arial"/>
                        <w:sz w:val="18"/>
                        <w:szCs w:val="18"/>
                      </w:rPr>
                    </w:pPr>
                    <w:r w:rsidRPr="003E6C64">
                      <w:rPr>
                        <w:rFonts w:cs="Arial"/>
                        <w:sz w:val="18"/>
                        <w:szCs w:val="18"/>
                      </w:rPr>
                      <w:t>4,1</w:t>
                    </w:r>
                  </w:p>
                </w:tc>
                <w:tc>
                  <w:tcPr>
                    <w:tcW w:w="467" w:type="pct"/>
                    <w:tcBorders>
                      <w:top w:val="nil"/>
                      <w:left w:val="nil"/>
                      <w:bottom w:val="nil"/>
                      <w:right w:val="nil"/>
                    </w:tcBorders>
                    <w:shd w:val="clear" w:color="auto" w:fill="auto"/>
                    <w:noWrap/>
                    <w:vAlign w:val="bottom"/>
                    <w:hideMark/>
                  </w:tcPr>
                  <w:p w:rsidRPr="003E6C64" w:rsidR="002318A8" w:rsidRDefault="002318A8" w14:paraId="3375FF35" w14:textId="77777777">
                    <w:pPr>
                      <w:jc w:val="right"/>
                      <w:rPr>
                        <w:rFonts w:cs="Arial"/>
                        <w:sz w:val="18"/>
                        <w:szCs w:val="18"/>
                      </w:rPr>
                    </w:pPr>
                    <w:r w:rsidRPr="003E6C64">
                      <w:rPr>
                        <w:rFonts w:cs="Arial"/>
                        <w:sz w:val="18"/>
                        <w:szCs w:val="18"/>
                      </w:rPr>
                      <w:t>4,2</w:t>
                    </w:r>
                  </w:p>
                </w:tc>
                <w:tc>
                  <w:tcPr>
                    <w:tcW w:w="467" w:type="pct"/>
                    <w:tcBorders>
                      <w:top w:val="nil"/>
                      <w:left w:val="nil"/>
                      <w:bottom w:val="nil"/>
                      <w:right w:val="nil"/>
                    </w:tcBorders>
                    <w:shd w:val="clear" w:color="000000" w:fill="D9D9D9"/>
                    <w:noWrap/>
                    <w:vAlign w:val="bottom"/>
                    <w:hideMark/>
                  </w:tcPr>
                  <w:p w:rsidRPr="003E6C64" w:rsidR="002318A8" w:rsidRDefault="002318A8" w14:paraId="50CC6AA5" w14:textId="77777777">
                    <w:pPr>
                      <w:jc w:val="right"/>
                      <w:rPr>
                        <w:rFonts w:cs="Arial"/>
                        <w:sz w:val="18"/>
                        <w:szCs w:val="18"/>
                      </w:rPr>
                    </w:pPr>
                    <w:r w:rsidRPr="003E6C64">
                      <w:rPr>
                        <w:rFonts w:cs="Arial"/>
                        <w:sz w:val="18"/>
                        <w:szCs w:val="18"/>
                      </w:rPr>
                      <w:t>4,3</w:t>
                    </w:r>
                  </w:p>
                </w:tc>
                <w:tc>
                  <w:tcPr>
                    <w:tcW w:w="468" w:type="pct"/>
                    <w:tcBorders>
                      <w:top w:val="nil"/>
                      <w:left w:val="nil"/>
                      <w:bottom w:val="nil"/>
                      <w:right w:val="nil"/>
                    </w:tcBorders>
                    <w:shd w:val="clear" w:color="000000" w:fill="D9D9D9"/>
                    <w:noWrap/>
                    <w:vAlign w:val="bottom"/>
                    <w:hideMark/>
                  </w:tcPr>
                  <w:p w:rsidRPr="003E6C64" w:rsidR="002318A8" w:rsidRDefault="002318A8" w14:paraId="4D242657" w14:textId="77777777">
                    <w:pPr>
                      <w:jc w:val="right"/>
                      <w:rPr>
                        <w:rFonts w:cs="Arial"/>
                        <w:sz w:val="18"/>
                        <w:szCs w:val="18"/>
                      </w:rPr>
                    </w:pPr>
                    <w:r w:rsidRPr="003E6C64">
                      <w:rPr>
                        <w:rFonts w:cs="Arial"/>
                        <w:sz w:val="18"/>
                        <w:szCs w:val="18"/>
                      </w:rPr>
                      <w:t>4,5</w:t>
                    </w:r>
                  </w:p>
                </w:tc>
                <w:tc>
                  <w:tcPr>
                    <w:tcW w:w="467" w:type="pct"/>
                    <w:tcBorders>
                      <w:top w:val="nil"/>
                      <w:left w:val="nil"/>
                      <w:bottom w:val="nil"/>
                      <w:right w:val="nil"/>
                    </w:tcBorders>
                    <w:shd w:val="clear" w:color="000000" w:fill="D9D9D9"/>
                    <w:noWrap/>
                    <w:vAlign w:val="bottom"/>
                    <w:hideMark/>
                  </w:tcPr>
                  <w:p w:rsidRPr="003E6C64" w:rsidR="002318A8" w:rsidRDefault="002318A8" w14:paraId="7EDFAEBE" w14:textId="77777777">
                    <w:pPr>
                      <w:jc w:val="right"/>
                      <w:rPr>
                        <w:rFonts w:cs="Arial"/>
                        <w:sz w:val="18"/>
                        <w:szCs w:val="18"/>
                      </w:rPr>
                    </w:pPr>
                    <w:r w:rsidRPr="003E6C64">
                      <w:rPr>
                        <w:rFonts w:cs="Arial"/>
                        <w:sz w:val="18"/>
                        <w:szCs w:val="18"/>
                      </w:rPr>
                      <w:t>4,4</w:t>
                    </w:r>
                  </w:p>
                </w:tc>
              </w:tr>
              <w:tr w:rsidRPr="003E6C64" w:rsidR="002318A8" w:rsidTr="0092291D" w14:paraId="7E2F9C93" w14:textId="77777777">
                <w:trPr>
                  <w:trHeight w:val="263"/>
                </w:trPr>
                <w:tc>
                  <w:tcPr>
                    <w:tcW w:w="2596" w:type="pct"/>
                    <w:tcBorders>
                      <w:top w:val="nil"/>
                      <w:left w:val="nil"/>
                      <w:bottom w:val="single" w:color="auto" w:sz="12" w:space="0"/>
                      <w:right w:val="nil"/>
                    </w:tcBorders>
                    <w:shd w:val="clear" w:color="auto" w:fill="auto"/>
                    <w:noWrap/>
                    <w:vAlign w:val="bottom"/>
                    <w:hideMark/>
                  </w:tcPr>
                  <w:p w:rsidRPr="003E6C64" w:rsidR="002318A8" w:rsidRDefault="002318A8" w14:paraId="359F2578" w14:textId="77777777">
                    <w:pPr>
                      <w:rPr>
                        <w:rFonts w:cs="Arial"/>
                        <w:sz w:val="18"/>
                        <w:szCs w:val="18"/>
                      </w:rPr>
                    </w:pPr>
                    <w:r w:rsidRPr="003E6C64">
                      <w:rPr>
                        <w:rFonts w:cs="Arial"/>
                        <w:sz w:val="18"/>
                        <w:szCs w:val="18"/>
                      </w:rPr>
                      <w:t>Arbeidsproductiviteit bedrijven</w:t>
                    </w:r>
                  </w:p>
                </w:tc>
                <w:tc>
                  <w:tcPr>
                    <w:tcW w:w="534" w:type="pct"/>
                    <w:tcBorders>
                      <w:top w:val="nil"/>
                      <w:left w:val="nil"/>
                      <w:bottom w:val="single" w:color="auto" w:sz="12" w:space="0"/>
                      <w:right w:val="nil"/>
                    </w:tcBorders>
                    <w:shd w:val="clear" w:color="auto" w:fill="auto"/>
                    <w:noWrap/>
                    <w:vAlign w:val="bottom"/>
                    <w:hideMark/>
                  </w:tcPr>
                  <w:p w:rsidRPr="003E6C64" w:rsidR="002318A8" w:rsidRDefault="002318A8" w14:paraId="356D3B45" w14:textId="77777777">
                    <w:pPr>
                      <w:jc w:val="right"/>
                      <w:rPr>
                        <w:rFonts w:cs="Arial"/>
                        <w:sz w:val="18"/>
                        <w:szCs w:val="18"/>
                      </w:rPr>
                    </w:pPr>
                    <w:r w:rsidRPr="003E6C64">
                      <w:rPr>
                        <w:rFonts w:cs="Arial"/>
                        <w:sz w:val="18"/>
                        <w:szCs w:val="18"/>
                      </w:rPr>
                      <w:t>1,2</w:t>
                    </w:r>
                  </w:p>
                </w:tc>
                <w:tc>
                  <w:tcPr>
                    <w:tcW w:w="467" w:type="pct"/>
                    <w:tcBorders>
                      <w:top w:val="nil"/>
                      <w:left w:val="nil"/>
                      <w:bottom w:val="single" w:color="auto" w:sz="12" w:space="0"/>
                      <w:right w:val="nil"/>
                    </w:tcBorders>
                    <w:shd w:val="clear" w:color="auto" w:fill="auto"/>
                    <w:noWrap/>
                    <w:vAlign w:val="bottom"/>
                    <w:hideMark/>
                  </w:tcPr>
                  <w:p w:rsidRPr="003E6C64" w:rsidR="002318A8" w:rsidRDefault="002318A8" w14:paraId="3A879544" w14:textId="77777777">
                    <w:pPr>
                      <w:jc w:val="right"/>
                      <w:rPr>
                        <w:rFonts w:cs="Arial"/>
                        <w:sz w:val="18"/>
                        <w:szCs w:val="18"/>
                      </w:rPr>
                    </w:pPr>
                    <w:r w:rsidRPr="003E6C64">
                      <w:rPr>
                        <w:rFonts w:cs="Arial"/>
                        <w:sz w:val="18"/>
                        <w:szCs w:val="18"/>
                      </w:rPr>
                      <w:t>0,9</w:t>
                    </w:r>
                  </w:p>
                </w:tc>
                <w:tc>
                  <w:tcPr>
                    <w:tcW w:w="467" w:type="pct"/>
                    <w:tcBorders>
                      <w:top w:val="nil"/>
                      <w:left w:val="nil"/>
                      <w:bottom w:val="single" w:color="auto" w:sz="12" w:space="0"/>
                      <w:right w:val="nil"/>
                    </w:tcBorders>
                    <w:shd w:val="clear" w:color="000000" w:fill="D9D9D9"/>
                    <w:noWrap/>
                    <w:vAlign w:val="bottom"/>
                    <w:hideMark/>
                  </w:tcPr>
                  <w:p w:rsidRPr="003E6C64" w:rsidR="002318A8" w:rsidRDefault="002318A8" w14:paraId="7E762B50" w14:textId="77777777">
                    <w:pPr>
                      <w:jc w:val="right"/>
                      <w:rPr>
                        <w:rFonts w:cs="Arial"/>
                        <w:sz w:val="18"/>
                        <w:szCs w:val="18"/>
                      </w:rPr>
                    </w:pPr>
                    <w:r w:rsidRPr="003E6C64">
                      <w:rPr>
                        <w:rFonts w:cs="Arial"/>
                        <w:sz w:val="18"/>
                        <w:szCs w:val="18"/>
                      </w:rPr>
                      <w:t>1,3</w:t>
                    </w:r>
                  </w:p>
                </w:tc>
                <w:tc>
                  <w:tcPr>
                    <w:tcW w:w="468" w:type="pct"/>
                    <w:tcBorders>
                      <w:top w:val="nil"/>
                      <w:left w:val="nil"/>
                      <w:bottom w:val="single" w:color="auto" w:sz="12" w:space="0"/>
                      <w:right w:val="nil"/>
                    </w:tcBorders>
                    <w:shd w:val="clear" w:color="000000" w:fill="D9D9D9"/>
                    <w:noWrap/>
                    <w:vAlign w:val="bottom"/>
                    <w:hideMark/>
                  </w:tcPr>
                  <w:p w:rsidRPr="003E6C64" w:rsidR="002318A8" w:rsidRDefault="002318A8" w14:paraId="1668A58F" w14:textId="77777777">
                    <w:pPr>
                      <w:jc w:val="right"/>
                      <w:rPr>
                        <w:rFonts w:cs="Arial"/>
                        <w:sz w:val="18"/>
                        <w:szCs w:val="18"/>
                      </w:rPr>
                    </w:pPr>
                    <w:r w:rsidRPr="003E6C64">
                      <w:rPr>
                        <w:rFonts w:cs="Arial"/>
                        <w:sz w:val="18"/>
                        <w:szCs w:val="18"/>
                      </w:rPr>
                      <w:t>1,1</w:t>
                    </w:r>
                  </w:p>
                </w:tc>
                <w:tc>
                  <w:tcPr>
                    <w:tcW w:w="467" w:type="pct"/>
                    <w:tcBorders>
                      <w:top w:val="nil"/>
                      <w:left w:val="nil"/>
                      <w:bottom w:val="single" w:color="auto" w:sz="12" w:space="0"/>
                      <w:right w:val="nil"/>
                    </w:tcBorders>
                    <w:shd w:val="clear" w:color="000000" w:fill="D9D9D9"/>
                    <w:noWrap/>
                    <w:vAlign w:val="bottom"/>
                    <w:hideMark/>
                  </w:tcPr>
                  <w:p w:rsidRPr="003E6C64" w:rsidR="002318A8" w:rsidRDefault="002318A8" w14:paraId="47A41E6A" w14:textId="77777777">
                    <w:pPr>
                      <w:jc w:val="right"/>
                      <w:rPr>
                        <w:rFonts w:cs="Arial"/>
                        <w:sz w:val="18"/>
                        <w:szCs w:val="18"/>
                      </w:rPr>
                    </w:pPr>
                    <w:r w:rsidRPr="003E6C64">
                      <w:rPr>
                        <w:rFonts w:cs="Arial"/>
                        <w:sz w:val="18"/>
                        <w:szCs w:val="18"/>
                      </w:rPr>
                      <w:t>1,0</w:t>
                    </w:r>
                  </w:p>
                </w:tc>
              </w:tr>
            </w:tbl>
            <w:p w:rsidRPr="0004695C" w:rsidR="002318A8" w:rsidP="002318A8" w:rsidRDefault="002318A8" w14:paraId="0396ABF7" w14:textId="77777777">
              <w:pPr>
                <w:rPr>
                  <w:i/>
                  <w:iCs/>
                  <w:sz w:val="18"/>
                  <w:szCs w:val="18"/>
                </w:rPr>
              </w:pPr>
              <w:r w:rsidRPr="0004695C">
                <w:rPr>
                  <w:i/>
                  <w:iCs/>
                  <w:sz w:val="18"/>
                  <w:szCs w:val="18"/>
                </w:rPr>
                <w:t>Bron: CPB, Centraal Economisch Plan 2025 (februari 2025) en Macro Economische Verkenning 2024 (september 2024)</w:t>
              </w:r>
              <w:r>
                <w:rPr>
                  <w:i/>
                  <w:iCs/>
                  <w:sz w:val="18"/>
                  <w:szCs w:val="18"/>
                </w:rPr>
                <w:t xml:space="preserve">. De laatste kolom is het gemiddelde van de perioden 2026-2029 en 2030-2033 uit Tabel 2.1 van het Centraal Economisch Plan 2025. </w:t>
              </w:r>
            </w:p>
            <w:p w:rsidR="002318A8" w:rsidP="002318A8" w:rsidRDefault="002318A8" w14:paraId="464FE03F" w14:textId="77777777">
              <w:pPr>
                <w:rPr>
                  <w:b/>
                  <w:bCs/>
                </w:rPr>
              </w:pPr>
            </w:p>
            <w:p w:rsidR="002318A8" w:rsidP="002318A8" w:rsidRDefault="002318A8" w14:paraId="015AAF9A" w14:textId="77777777">
              <w:r>
                <w:t xml:space="preserve">De investeringen nemen naar verwachting meer toe dan de consumptieve bestedingen van huishoudens. De investeringen door bedrijven worden de komende jaren aangewakkerd door de energietransitie. Dit zal naar verwachting tot extra investeringen in bijvoorbeeld het elektriciteitsnet, hernieuwbare energie </w:t>
              </w:r>
              <w:r>
                <w:lastRenderedPageBreak/>
                <w:t>en elektrische transportmiddelen leiden, evenals tot verduurzaming in de industrie. Naar schatting hebben de klimaatambities een opwaarts effect op de investeringen door bedrijven in de periode 2025-2033 van cumulatief 1,2%-punt bbp.</w:t>
              </w:r>
              <w:r>
                <w:rPr>
                  <w:rStyle w:val="Voetnootmarkering"/>
                </w:rPr>
                <w:footnoteReference w:id="5"/>
              </w:r>
              <w:r>
                <w:t xml:space="preserve"> </w:t>
              </w:r>
            </w:p>
            <w:p w:rsidR="002318A8" w:rsidP="002318A8" w:rsidRDefault="002318A8" w14:paraId="0F0F4AD7" w14:textId="77777777">
              <w:pPr>
                <w:rPr>
                  <w:b/>
                  <w:bCs/>
                </w:rPr>
              </w:pPr>
            </w:p>
            <w:p w:rsidR="002318A8" w:rsidP="002318A8" w:rsidRDefault="002318A8" w14:paraId="58B6CDCE" w14:textId="77777777">
              <w:r>
                <w:t>Geraamd wordt dat de arbeidsmarkt na 2026 verder afkoelt met een minder sterke groei van de werkgelegenheid en een oplopende werkloosheid. In dit beeld zijn de effecten van eventuele nieuwe defensieplannen, in aanvulling op het bestaande beleid, nog niet verwerkt. Het voor 2028 geraamde werkloosheidspercentage is 4,2%; een stijging van 0,5%-punt ten opzichte van het percentage voor 2024. De loonvoetontwikkeling bij bedrijven blijft harder stijgen dan de inflatie, maar het verschil neemt wel af door de minder krappe arbeidsmarkt.</w:t>
              </w:r>
              <w:r>
                <w:rPr>
                  <w:rStyle w:val="Voetnootmarkering"/>
                </w:rPr>
                <w:footnoteReference w:id="6"/>
              </w:r>
              <w:r>
                <w:t xml:space="preserve"> Op de middellange termijn komt de Nederlandse inflatie in de raming in lijn met het Europees gemiddelde. </w:t>
              </w:r>
            </w:p>
            <w:p w:rsidR="002318A8" w:rsidP="002318A8" w:rsidRDefault="002318A8" w14:paraId="780249E9" w14:textId="77777777"/>
            <w:tbl>
              <w:tblPr>
                <w:tblW w:w="5000" w:type="pct"/>
                <w:tblCellMar>
                  <w:left w:w="70" w:type="dxa"/>
                  <w:right w:w="70" w:type="dxa"/>
                </w:tblCellMar>
                <w:tblLook w:val="04A0" w:firstRow="1" w:lastRow="0" w:firstColumn="1" w:lastColumn="0" w:noHBand="0" w:noVBand="1"/>
              </w:tblPr>
              <w:tblGrid>
                <w:gridCol w:w="3359"/>
                <w:gridCol w:w="860"/>
                <w:gridCol w:w="861"/>
                <w:gridCol w:w="861"/>
                <w:gridCol w:w="861"/>
                <w:gridCol w:w="861"/>
                <w:gridCol w:w="840"/>
              </w:tblGrid>
              <w:tr w:rsidRPr="00E1040F" w:rsidR="002318A8" w:rsidTr="0092291D" w14:paraId="35A8E306" w14:textId="77777777">
                <w:trPr>
                  <w:trHeight w:val="255"/>
                </w:trPr>
                <w:tc>
                  <w:tcPr>
                    <w:tcW w:w="1976" w:type="pct"/>
                    <w:tcBorders>
                      <w:top w:val="nil"/>
                      <w:left w:val="nil"/>
                      <w:bottom w:val="single" w:color="auto" w:sz="12" w:space="0"/>
                      <w:right w:val="nil"/>
                    </w:tcBorders>
                    <w:shd w:val="clear" w:color="auto" w:fill="auto"/>
                    <w:noWrap/>
                    <w:vAlign w:val="bottom"/>
                    <w:hideMark/>
                  </w:tcPr>
                  <w:p w:rsidRPr="00E1040F" w:rsidR="002318A8" w:rsidRDefault="002318A8" w14:paraId="0ADA71B9" w14:textId="77777777">
                    <w:pPr>
                      <w:rPr>
                        <w:rFonts w:ascii="Arial" w:hAnsi="Arial" w:cs="Arial"/>
                        <w:sz w:val="20"/>
                        <w:szCs w:val="20"/>
                      </w:rPr>
                    </w:pPr>
                    <w:r>
                      <w:rPr>
                        <w:rFonts w:cs="Arial"/>
                        <w:b/>
                        <w:bCs/>
                        <w:sz w:val="18"/>
                        <w:szCs w:val="18"/>
                      </w:rPr>
                      <w:t xml:space="preserve">Tabel 3: Uitgaven van de overheid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79498644" w14:textId="77777777">
                    <w:pPr>
                      <w:rPr>
                        <w:rFonts w:ascii="Arial" w:hAnsi="Arial" w:cs="Arial"/>
                        <w:sz w:val="20"/>
                        <w:szCs w:val="20"/>
                      </w:rPr>
                    </w:pPr>
                    <w:r w:rsidRPr="00E1040F">
                      <w:rPr>
                        <w:rFonts w:ascii="Arial" w:hAnsi="Arial" w:cs="Arial"/>
                        <w:sz w:val="20"/>
                        <w:szCs w:val="20"/>
                      </w:rPr>
                      <w:t>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14B0EA86" w14:textId="77777777">
                    <w:pPr>
                      <w:rPr>
                        <w:rFonts w:ascii="Arial" w:hAnsi="Arial" w:cs="Arial"/>
                        <w:sz w:val="20"/>
                        <w:szCs w:val="20"/>
                      </w:rPr>
                    </w:pPr>
                    <w:r w:rsidRPr="00E1040F">
                      <w:rPr>
                        <w:rFonts w:ascii="Arial" w:hAnsi="Arial" w:cs="Arial"/>
                        <w:sz w:val="20"/>
                        <w:szCs w:val="20"/>
                      </w:rPr>
                      <w:t>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6221C80E" w14:textId="77777777">
                    <w:pPr>
                      <w:rPr>
                        <w:rFonts w:ascii="Arial" w:hAnsi="Arial" w:cs="Arial"/>
                        <w:sz w:val="20"/>
                        <w:szCs w:val="20"/>
                      </w:rPr>
                    </w:pPr>
                    <w:r w:rsidRPr="00E1040F">
                      <w:rPr>
                        <w:rFonts w:ascii="Arial" w:hAnsi="Arial" w:cs="Arial"/>
                        <w:sz w:val="20"/>
                        <w:szCs w:val="20"/>
                      </w:rPr>
                      <w:t>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4504B5D3" w14:textId="77777777">
                    <w:pPr>
                      <w:rPr>
                        <w:rFonts w:ascii="Arial" w:hAnsi="Arial" w:cs="Arial"/>
                        <w:sz w:val="20"/>
                        <w:szCs w:val="20"/>
                      </w:rPr>
                    </w:pPr>
                    <w:r w:rsidRPr="00E1040F">
                      <w:rPr>
                        <w:rFonts w:ascii="Arial" w:hAnsi="Arial" w:cs="Arial"/>
                        <w:sz w:val="20"/>
                        <w:szCs w:val="20"/>
                      </w:rPr>
                      <w:t>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60C03957" w14:textId="77777777">
                    <w:pPr>
                      <w:rPr>
                        <w:rFonts w:ascii="Arial" w:hAnsi="Arial" w:cs="Arial"/>
                        <w:sz w:val="20"/>
                        <w:szCs w:val="20"/>
                      </w:rPr>
                    </w:pPr>
                    <w:r w:rsidRPr="00E1040F">
                      <w:rPr>
                        <w:rFonts w:ascii="Arial" w:hAnsi="Arial" w:cs="Arial"/>
                        <w:sz w:val="20"/>
                        <w:szCs w:val="20"/>
                      </w:rPr>
                      <w:t> </w:t>
                    </w:r>
                  </w:p>
                </w:tc>
                <w:tc>
                  <w:tcPr>
                    <w:tcW w:w="494" w:type="pct"/>
                    <w:tcBorders>
                      <w:top w:val="nil"/>
                      <w:left w:val="nil"/>
                      <w:bottom w:val="single" w:color="auto" w:sz="12" w:space="0"/>
                      <w:right w:val="nil"/>
                    </w:tcBorders>
                    <w:shd w:val="clear" w:color="auto" w:fill="auto"/>
                    <w:noWrap/>
                    <w:vAlign w:val="bottom"/>
                    <w:hideMark/>
                  </w:tcPr>
                  <w:p w:rsidRPr="00E1040F" w:rsidR="002318A8" w:rsidRDefault="002318A8" w14:paraId="4964A8B4" w14:textId="77777777">
                    <w:pPr>
                      <w:rPr>
                        <w:rFonts w:ascii="Arial" w:hAnsi="Arial" w:cs="Arial"/>
                        <w:sz w:val="20"/>
                        <w:szCs w:val="20"/>
                      </w:rPr>
                    </w:pPr>
                    <w:r w:rsidRPr="00E1040F">
                      <w:rPr>
                        <w:rFonts w:ascii="Arial" w:hAnsi="Arial" w:cs="Arial"/>
                        <w:sz w:val="20"/>
                        <w:szCs w:val="20"/>
                      </w:rPr>
                      <w:t> </w:t>
                    </w:r>
                  </w:p>
                </w:tc>
              </w:tr>
              <w:tr w:rsidRPr="00AA1448" w:rsidR="002318A8" w:rsidTr="0092291D" w14:paraId="6879A75F" w14:textId="77777777">
                <w:trPr>
                  <w:trHeight w:val="300"/>
                </w:trPr>
                <w:tc>
                  <w:tcPr>
                    <w:tcW w:w="1976" w:type="pct"/>
                    <w:tcBorders>
                      <w:top w:val="single" w:color="auto" w:sz="12" w:space="0"/>
                      <w:left w:val="nil"/>
                      <w:bottom w:val="single" w:color="auto" w:sz="12" w:space="0"/>
                      <w:right w:val="nil"/>
                    </w:tcBorders>
                    <w:shd w:val="clear" w:color="auto" w:fill="auto"/>
                    <w:noWrap/>
                    <w:vAlign w:val="bottom"/>
                    <w:hideMark/>
                  </w:tcPr>
                  <w:p w:rsidRPr="00E1040F" w:rsidR="002318A8" w:rsidRDefault="002318A8" w14:paraId="2B1A2AA8" w14:textId="77777777">
                    <w:pPr>
                      <w:rPr>
                        <w:rFonts w:cs="Arial"/>
                        <w:b/>
                        <w:bCs/>
                        <w:color w:val="000000"/>
                        <w:sz w:val="18"/>
                        <w:szCs w:val="18"/>
                      </w:rPr>
                    </w:pPr>
                    <w:r w:rsidRPr="00E1040F">
                      <w:rPr>
                        <w:rFonts w:cs="Arial"/>
                        <w:b/>
                        <w:bCs/>
                        <w:color w:val="000000"/>
                        <w:sz w:val="18"/>
                        <w:szCs w:val="18"/>
                      </w:rPr>
                      <w:t> Collectieve uitgaven in % bbp</w:t>
                    </w:r>
                  </w:p>
                </w:tc>
                <w:tc>
                  <w:tcPr>
                    <w:tcW w:w="506"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25E341D4" w14:textId="77777777">
                    <w:pPr>
                      <w:jc w:val="right"/>
                      <w:rPr>
                        <w:rFonts w:cs="Arial"/>
                        <w:b/>
                        <w:bCs/>
                        <w:color w:val="000000"/>
                        <w:sz w:val="18"/>
                        <w:szCs w:val="18"/>
                      </w:rPr>
                    </w:pPr>
                    <w:r w:rsidRPr="00AA1448">
                      <w:rPr>
                        <w:rFonts w:cs="Arial"/>
                        <w:b/>
                        <w:bCs/>
                        <w:color w:val="000000"/>
                        <w:sz w:val="18"/>
                        <w:szCs w:val="18"/>
                      </w:rPr>
                      <w:t>2024</w:t>
                    </w:r>
                  </w:p>
                </w:tc>
                <w:tc>
                  <w:tcPr>
                    <w:tcW w:w="506"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1A6130D8" w14:textId="77777777">
                    <w:pPr>
                      <w:jc w:val="right"/>
                      <w:rPr>
                        <w:rFonts w:cs="Arial"/>
                        <w:b/>
                        <w:bCs/>
                        <w:color w:val="000000"/>
                        <w:sz w:val="18"/>
                        <w:szCs w:val="18"/>
                      </w:rPr>
                    </w:pPr>
                    <w:r w:rsidRPr="00AA1448">
                      <w:rPr>
                        <w:rFonts w:cs="Arial"/>
                        <w:b/>
                        <w:bCs/>
                        <w:color w:val="000000"/>
                        <w:sz w:val="18"/>
                        <w:szCs w:val="18"/>
                      </w:rPr>
                      <w:t>2025</w:t>
                    </w:r>
                  </w:p>
                </w:tc>
                <w:tc>
                  <w:tcPr>
                    <w:tcW w:w="506"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1D9B853E" w14:textId="77777777">
                    <w:pPr>
                      <w:jc w:val="right"/>
                      <w:rPr>
                        <w:rFonts w:cs="Arial"/>
                        <w:b/>
                        <w:bCs/>
                        <w:color w:val="000000"/>
                        <w:sz w:val="18"/>
                        <w:szCs w:val="18"/>
                      </w:rPr>
                    </w:pPr>
                    <w:r w:rsidRPr="00AA1448">
                      <w:rPr>
                        <w:rFonts w:cs="Arial"/>
                        <w:b/>
                        <w:bCs/>
                        <w:color w:val="000000"/>
                        <w:sz w:val="18"/>
                        <w:szCs w:val="18"/>
                      </w:rPr>
                      <w:t>2026</w:t>
                    </w:r>
                  </w:p>
                </w:tc>
                <w:tc>
                  <w:tcPr>
                    <w:tcW w:w="506"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72536CE5" w14:textId="77777777">
                    <w:pPr>
                      <w:jc w:val="right"/>
                      <w:rPr>
                        <w:rFonts w:cs="Arial"/>
                        <w:b/>
                        <w:bCs/>
                        <w:color w:val="000000"/>
                        <w:sz w:val="18"/>
                        <w:szCs w:val="18"/>
                      </w:rPr>
                    </w:pPr>
                    <w:r w:rsidRPr="00AA1448">
                      <w:rPr>
                        <w:rFonts w:cs="Arial"/>
                        <w:b/>
                        <w:bCs/>
                        <w:color w:val="000000"/>
                        <w:sz w:val="18"/>
                        <w:szCs w:val="18"/>
                      </w:rPr>
                      <w:t>2027</w:t>
                    </w:r>
                  </w:p>
                </w:tc>
                <w:tc>
                  <w:tcPr>
                    <w:tcW w:w="506"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05857113" w14:textId="77777777">
                    <w:pPr>
                      <w:jc w:val="right"/>
                      <w:rPr>
                        <w:rFonts w:cs="Arial"/>
                        <w:b/>
                        <w:bCs/>
                        <w:color w:val="000000"/>
                        <w:sz w:val="18"/>
                        <w:szCs w:val="18"/>
                      </w:rPr>
                    </w:pPr>
                    <w:r w:rsidRPr="00AA1448">
                      <w:rPr>
                        <w:rFonts w:cs="Arial"/>
                        <w:b/>
                        <w:bCs/>
                        <w:color w:val="000000"/>
                        <w:sz w:val="18"/>
                        <w:szCs w:val="18"/>
                      </w:rPr>
                      <w:t>2028</w:t>
                    </w:r>
                  </w:p>
                </w:tc>
                <w:tc>
                  <w:tcPr>
                    <w:tcW w:w="494" w:type="pct"/>
                    <w:tcBorders>
                      <w:top w:val="single" w:color="auto" w:sz="12" w:space="0"/>
                      <w:left w:val="nil"/>
                      <w:bottom w:val="single" w:color="auto" w:sz="12" w:space="0"/>
                      <w:right w:val="nil"/>
                    </w:tcBorders>
                    <w:shd w:val="clear" w:color="auto" w:fill="auto"/>
                    <w:noWrap/>
                    <w:vAlign w:val="bottom"/>
                    <w:hideMark/>
                  </w:tcPr>
                  <w:p w:rsidRPr="00AA1448" w:rsidR="002318A8" w:rsidRDefault="002318A8" w14:paraId="6B4F9E52" w14:textId="77777777">
                    <w:pPr>
                      <w:jc w:val="right"/>
                      <w:rPr>
                        <w:rFonts w:cs="Arial"/>
                        <w:b/>
                        <w:bCs/>
                        <w:color w:val="000000"/>
                        <w:sz w:val="18"/>
                        <w:szCs w:val="18"/>
                      </w:rPr>
                    </w:pPr>
                    <w:r w:rsidRPr="00AA1448">
                      <w:rPr>
                        <w:rFonts w:cs="Arial"/>
                        <w:b/>
                        <w:bCs/>
                        <w:color w:val="000000"/>
                        <w:sz w:val="18"/>
                        <w:szCs w:val="18"/>
                      </w:rPr>
                      <w:t>2033</w:t>
                    </w:r>
                  </w:p>
                </w:tc>
              </w:tr>
              <w:tr w:rsidRPr="00E1040F" w:rsidR="002318A8" w:rsidTr="0092291D" w14:paraId="5890AFFD" w14:textId="77777777">
                <w:trPr>
                  <w:trHeight w:val="300"/>
                </w:trPr>
                <w:tc>
                  <w:tcPr>
                    <w:tcW w:w="1976" w:type="pct"/>
                    <w:tcBorders>
                      <w:top w:val="single" w:color="auto" w:sz="12" w:space="0"/>
                      <w:left w:val="nil"/>
                      <w:bottom w:val="nil"/>
                      <w:right w:val="nil"/>
                    </w:tcBorders>
                    <w:shd w:val="clear" w:color="auto" w:fill="auto"/>
                    <w:noWrap/>
                    <w:vAlign w:val="bottom"/>
                    <w:hideMark/>
                  </w:tcPr>
                  <w:p w:rsidRPr="00E1040F" w:rsidR="002318A8" w:rsidRDefault="002318A8" w14:paraId="1E16E3D2" w14:textId="77777777">
                    <w:pPr>
                      <w:rPr>
                        <w:rFonts w:cs="Arial"/>
                        <w:color w:val="000000"/>
                        <w:sz w:val="18"/>
                        <w:szCs w:val="18"/>
                      </w:rPr>
                    </w:pPr>
                    <w:r w:rsidRPr="00E1040F">
                      <w:rPr>
                        <w:rFonts w:cs="Arial"/>
                        <w:color w:val="000000"/>
                        <w:sz w:val="18"/>
                        <w:szCs w:val="18"/>
                      </w:rPr>
                      <w:t>Openbaar bestuur</w:t>
                    </w:r>
                  </w:p>
                </w:tc>
                <w:tc>
                  <w:tcPr>
                    <w:tcW w:w="506" w:type="pct"/>
                    <w:tcBorders>
                      <w:top w:val="single" w:color="auto" w:sz="12" w:space="0"/>
                      <w:left w:val="nil"/>
                      <w:bottom w:val="nil"/>
                      <w:right w:val="nil"/>
                    </w:tcBorders>
                    <w:shd w:val="clear" w:color="auto" w:fill="auto"/>
                    <w:noWrap/>
                    <w:vAlign w:val="bottom"/>
                    <w:hideMark/>
                  </w:tcPr>
                  <w:p w:rsidRPr="00E1040F" w:rsidR="002318A8" w:rsidRDefault="002318A8" w14:paraId="6F2EAFE0" w14:textId="77777777">
                    <w:pPr>
                      <w:jc w:val="right"/>
                      <w:rPr>
                        <w:rFonts w:cs="Arial"/>
                        <w:color w:val="000000"/>
                        <w:sz w:val="18"/>
                        <w:szCs w:val="18"/>
                      </w:rPr>
                    </w:pPr>
                    <w:r w:rsidRPr="00E1040F">
                      <w:rPr>
                        <w:rFonts w:cs="Arial"/>
                        <w:color w:val="000000"/>
                        <w:sz w:val="18"/>
                        <w:szCs w:val="18"/>
                      </w:rPr>
                      <w:t>8,7</w:t>
                    </w:r>
                  </w:p>
                </w:tc>
                <w:tc>
                  <w:tcPr>
                    <w:tcW w:w="506" w:type="pct"/>
                    <w:tcBorders>
                      <w:top w:val="single" w:color="auto" w:sz="12" w:space="0"/>
                      <w:left w:val="nil"/>
                      <w:bottom w:val="nil"/>
                      <w:right w:val="nil"/>
                    </w:tcBorders>
                    <w:shd w:val="clear" w:color="auto" w:fill="auto"/>
                    <w:noWrap/>
                    <w:vAlign w:val="bottom"/>
                    <w:hideMark/>
                  </w:tcPr>
                  <w:p w:rsidRPr="00E1040F" w:rsidR="002318A8" w:rsidRDefault="002318A8" w14:paraId="6D1E143E" w14:textId="77777777">
                    <w:pPr>
                      <w:jc w:val="right"/>
                      <w:rPr>
                        <w:rFonts w:cs="Arial"/>
                        <w:color w:val="000000"/>
                        <w:sz w:val="18"/>
                        <w:szCs w:val="18"/>
                      </w:rPr>
                    </w:pPr>
                    <w:r w:rsidRPr="00E1040F">
                      <w:rPr>
                        <w:rFonts w:cs="Arial"/>
                        <w:color w:val="000000"/>
                        <w:sz w:val="18"/>
                        <w:szCs w:val="18"/>
                      </w:rPr>
                      <w:t>8,8</w:t>
                    </w:r>
                  </w:p>
                </w:tc>
                <w:tc>
                  <w:tcPr>
                    <w:tcW w:w="506" w:type="pct"/>
                    <w:tcBorders>
                      <w:top w:val="single" w:color="auto" w:sz="12" w:space="0"/>
                      <w:left w:val="nil"/>
                      <w:bottom w:val="nil"/>
                      <w:right w:val="nil"/>
                    </w:tcBorders>
                    <w:shd w:val="clear" w:color="auto" w:fill="auto"/>
                    <w:noWrap/>
                    <w:vAlign w:val="bottom"/>
                    <w:hideMark/>
                  </w:tcPr>
                  <w:p w:rsidRPr="00E1040F" w:rsidR="002318A8" w:rsidRDefault="002318A8" w14:paraId="35FB6FB5" w14:textId="77777777">
                    <w:pPr>
                      <w:jc w:val="right"/>
                      <w:rPr>
                        <w:rFonts w:cs="Arial"/>
                        <w:color w:val="000000"/>
                        <w:sz w:val="18"/>
                        <w:szCs w:val="18"/>
                      </w:rPr>
                    </w:pPr>
                    <w:r w:rsidRPr="00E1040F">
                      <w:rPr>
                        <w:rFonts w:cs="Arial"/>
                        <w:color w:val="000000"/>
                        <w:sz w:val="18"/>
                        <w:szCs w:val="18"/>
                      </w:rPr>
                      <w:t>9,0</w:t>
                    </w:r>
                  </w:p>
                </w:tc>
                <w:tc>
                  <w:tcPr>
                    <w:tcW w:w="506" w:type="pct"/>
                    <w:tcBorders>
                      <w:top w:val="single" w:color="auto" w:sz="12" w:space="0"/>
                      <w:left w:val="nil"/>
                      <w:bottom w:val="nil"/>
                      <w:right w:val="nil"/>
                    </w:tcBorders>
                    <w:shd w:val="clear" w:color="auto" w:fill="auto"/>
                    <w:noWrap/>
                    <w:vAlign w:val="bottom"/>
                    <w:hideMark/>
                  </w:tcPr>
                  <w:p w:rsidRPr="00E1040F" w:rsidR="002318A8" w:rsidRDefault="002318A8" w14:paraId="09F93CDD" w14:textId="77777777">
                    <w:pPr>
                      <w:jc w:val="right"/>
                      <w:rPr>
                        <w:rFonts w:cs="Arial"/>
                        <w:color w:val="000000"/>
                        <w:sz w:val="18"/>
                        <w:szCs w:val="18"/>
                      </w:rPr>
                    </w:pPr>
                    <w:r w:rsidRPr="00E1040F">
                      <w:rPr>
                        <w:rFonts w:cs="Arial"/>
                        <w:color w:val="000000"/>
                        <w:sz w:val="18"/>
                        <w:szCs w:val="18"/>
                      </w:rPr>
                      <w:t>8,6</w:t>
                    </w:r>
                  </w:p>
                </w:tc>
                <w:tc>
                  <w:tcPr>
                    <w:tcW w:w="506" w:type="pct"/>
                    <w:tcBorders>
                      <w:top w:val="single" w:color="auto" w:sz="12" w:space="0"/>
                      <w:left w:val="nil"/>
                      <w:bottom w:val="nil"/>
                      <w:right w:val="nil"/>
                    </w:tcBorders>
                    <w:shd w:val="clear" w:color="auto" w:fill="auto"/>
                    <w:noWrap/>
                    <w:vAlign w:val="bottom"/>
                    <w:hideMark/>
                  </w:tcPr>
                  <w:p w:rsidRPr="00E1040F" w:rsidR="002318A8" w:rsidRDefault="002318A8" w14:paraId="39A0900D" w14:textId="77777777">
                    <w:pPr>
                      <w:jc w:val="right"/>
                      <w:rPr>
                        <w:rFonts w:cs="Arial"/>
                        <w:color w:val="000000"/>
                        <w:sz w:val="18"/>
                        <w:szCs w:val="18"/>
                      </w:rPr>
                    </w:pPr>
                    <w:r w:rsidRPr="00E1040F">
                      <w:rPr>
                        <w:rFonts w:cs="Arial"/>
                        <w:color w:val="000000"/>
                        <w:sz w:val="18"/>
                        <w:szCs w:val="18"/>
                      </w:rPr>
                      <w:t>8,6</w:t>
                    </w:r>
                  </w:p>
                </w:tc>
                <w:tc>
                  <w:tcPr>
                    <w:tcW w:w="494" w:type="pct"/>
                    <w:tcBorders>
                      <w:top w:val="single" w:color="auto" w:sz="12" w:space="0"/>
                      <w:left w:val="nil"/>
                      <w:bottom w:val="nil"/>
                      <w:right w:val="nil"/>
                    </w:tcBorders>
                    <w:shd w:val="clear" w:color="auto" w:fill="auto"/>
                    <w:noWrap/>
                    <w:vAlign w:val="bottom"/>
                    <w:hideMark/>
                  </w:tcPr>
                  <w:p w:rsidRPr="00E1040F" w:rsidR="002318A8" w:rsidRDefault="002318A8" w14:paraId="5FC30B2D" w14:textId="77777777">
                    <w:pPr>
                      <w:jc w:val="right"/>
                      <w:rPr>
                        <w:rFonts w:cs="Arial"/>
                        <w:color w:val="000000"/>
                        <w:sz w:val="18"/>
                        <w:szCs w:val="18"/>
                      </w:rPr>
                    </w:pPr>
                    <w:r w:rsidRPr="00E1040F">
                      <w:rPr>
                        <w:rFonts w:cs="Arial"/>
                        <w:color w:val="000000"/>
                        <w:sz w:val="18"/>
                        <w:szCs w:val="18"/>
                      </w:rPr>
                      <w:t>8,6</w:t>
                    </w:r>
                  </w:p>
                </w:tc>
              </w:tr>
              <w:tr w:rsidRPr="00E1040F" w:rsidR="002318A8" w:rsidTr="0092291D" w14:paraId="06F85011"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41BC534D" w14:textId="77777777">
                    <w:pPr>
                      <w:rPr>
                        <w:rFonts w:cs="Arial"/>
                        <w:color w:val="000000"/>
                        <w:sz w:val="18"/>
                        <w:szCs w:val="18"/>
                      </w:rPr>
                    </w:pPr>
                    <w:r w:rsidRPr="00E1040F">
                      <w:rPr>
                        <w:rFonts w:cs="Arial"/>
                        <w:color w:val="000000"/>
                        <w:sz w:val="18"/>
                        <w:szCs w:val="18"/>
                      </w:rPr>
                      <w:t>Veiligheid</w:t>
                    </w:r>
                  </w:p>
                </w:tc>
                <w:tc>
                  <w:tcPr>
                    <w:tcW w:w="506" w:type="pct"/>
                    <w:tcBorders>
                      <w:top w:val="nil"/>
                      <w:left w:val="nil"/>
                      <w:bottom w:val="nil"/>
                      <w:right w:val="nil"/>
                    </w:tcBorders>
                    <w:shd w:val="clear" w:color="auto" w:fill="auto"/>
                    <w:noWrap/>
                    <w:vAlign w:val="bottom"/>
                    <w:hideMark/>
                  </w:tcPr>
                  <w:p w:rsidRPr="00E1040F" w:rsidR="002318A8" w:rsidRDefault="002318A8" w14:paraId="70D49B5E" w14:textId="77777777">
                    <w:pPr>
                      <w:jc w:val="right"/>
                      <w:rPr>
                        <w:rFonts w:cs="Arial"/>
                        <w:color w:val="000000"/>
                        <w:sz w:val="18"/>
                        <w:szCs w:val="18"/>
                      </w:rPr>
                    </w:pPr>
                    <w:r w:rsidRPr="00E1040F">
                      <w:rPr>
                        <w:rFonts w:cs="Arial"/>
                        <w:color w:val="000000"/>
                        <w:sz w:val="18"/>
                        <w:szCs w:val="18"/>
                      </w:rPr>
                      <w:t>1,8</w:t>
                    </w:r>
                  </w:p>
                </w:tc>
                <w:tc>
                  <w:tcPr>
                    <w:tcW w:w="506" w:type="pct"/>
                    <w:tcBorders>
                      <w:top w:val="nil"/>
                      <w:left w:val="nil"/>
                      <w:bottom w:val="nil"/>
                      <w:right w:val="nil"/>
                    </w:tcBorders>
                    <w:shd w:val="clear" w:color="auto" w:fill="auto"/>
                    <w:noWrap/>
                    <w:vAlign w:val="bottom"/>
                    <w:hideMark/>
                  </w:tcPr>
                  <w:p w:rsidRPr="00E1040F" w:rsidR="002318A8" w:rsidRDefault="002318A8" w14:paraId="275962A8" w14:textId="77777777">
                    <w:pPr>
                      <w:jc w:val="right"/>
                      <w:rPr>
                        <w:rFonts w:cs="Arial"/>
                        <w:color w:val="000000"/>
                        <w:sz w:val="18"/>
                        <w:szCs w:val="18"/>
                      </w:rPr>
                    </w:pPr>
                    <w:r w:rsidRPr="00E1040F">
                      <w:rPr>
                        <w:rFonts w:cs="Arial"/>
                        <w:color w:val="000000"/>
                        <w:sz w:val="18"/>
                        <w:szCs w:val="18"/>
                      </w:rPr>
                      <w:t>1,8</w:t>
                    </w:r>
                  </w:p>
                </w:tc>
                <w:tc>
                  <w:tcPr>
                    <w:tcW w:w="506" w:type="pct"/>
                    <w:tcBorders>
                      <w:top w:val="nil"/>
                      <w:left w:val="nil"/>
                      <w:bottom w:val="nil"/>
                      <w:right w:val="nil"/>
                    </w:tcBorders>
                    <w:shd w:val="clear" w:color="auto" w:fill="auto"/>
                    <w:noWrap/>
                    <w:vAlign w:val="bottom"/>
                    <w:hideMark/>
                  </w:tcPr>
                  <w:p w:rsidRPr="00E1040F" w:rsidR="002318A8" w:rsidRDefault="002318A8" w14:paraId="2B2A8419" w14:textId="77777777">
                    <w:pPr>
                      <w:jc w:val="right"/>
                      <w:rPr>
                        <w:rFonts w:cs="Arial"/>
                        <w:color w:val="000000"/>
                        <w:sz w:val="18"/>
                        <w:szCs w:val="18"/>
                      </w:rPr>
                    </w:pPr>
                    <w:r w:rsidRPr="00E1040F">
                      <w:rPr>
                        <w:rFonts w:cs="Arial"/>
                        <w:color w:val="000000"/>
                        <w:sz w:val="18"/>
                        <w:szCs w:val="18"/>
                      </w:rPr>
                      <w:t>1,7</w:t>
                    </w:r>
                  </w:p>
                </w:tc>
                <w:tc>
                  <w:tcPr>
                    <w:tcW w:w="506" w:type="pct"/>
                    <w:tcBorders>
                      <w:top w:val="nil"/>
                      <w:left w:val="nil"/>
                      <w:bottom w:val="nil"/>
                      <w:right w:val="nil"/>
                    </w:tcBorders>
                    <w:shd w:val="clear" w:color="auto" w:fill="auto"/>
                    <w:noWrap/>
                    <w:vAlign w:val="bottom"/>
                    <w:hideMark/>
                  </w:tcPr>
                  <w:p w:rsidRPr="00E1040F" w:rsidR="002318A8" w:rsidRDefault="002318A8" w14:paraId="191A8E59" w14:textId="77777777">
                    <w:pPr>
                      <w:jc w:val="right"/>
                      <w:rPr>
                        <w:rFonts w:cs="Arial"/>
                        <w:color w:val="000000"/>
                        <w:sz w:val="18"/>
                        <w:szCs w:val="18"/>
                      </w:rPr>
                    </w:pPr>
                    <w:r w:rsidRPr="00E1040F">
                      <w:rPr>
                        <w:rFonts w:cs="Arial"/>
                        <w:color w:val="000000"/>
                        <w:sz w:val="18"/>
                        <w:szCs w:val="18"/>
                      </w:rPr>
                      <w:t>1,7</w:t>
                    </w:r>
                  </w:p>
                </w:tc>
                <w:tc>
                  <w:tcPr>
                    <w:tcW w:w="506" w:type="pct"/>
                    <w:tcBorders>
                      <w:top w:val="nil"/>
                      <w:left w:val="nil"/>
                      <w:bottom w:val="nil"/>
                      <w:right w:val="nil"/>
                    </w:tcBorders>
                    <w:shd w:val="clear" w:color="auto" w:fill="auto"/>
                    <w:noWrap/>
                    <w:vAlign w:val="bottom"/>
                    <w:hideMark/>
                  </w:tcPr>
                  <w:p w:rsidRPr="00E1040F" w:rsidR="002318A8" w:rsidRDefault="002318A8" w14:paraId="2AD3A8F3" w14:textId="77777777">
                    <w:pPr>
                      <w:jc w:val="right"/>
                      <w:rPr>
                        <w:rFonts w:cs="Arial"/>
                        <w:color w:val="000000"/>
                        <w:sz w:val="18"/>
                        <w:szCs w:val="18"/>
                      </w:rPr>
                    </w:pPr>
                    <w:r w:rsidRPr="00E1040F">
                      <w:rPr>
                        <w:rFonts w:cs="Arial"/>
                        <w:color w:val="000000"/>
                        <w:sz w:val="18"/>
                        <w:szCs w:val="18"/>
                      </w:rPr>
                      <w:t>1,7</w:t>
                    </w:r>
                  </w:p>
                </w:tc>
                <w:tc>
                  <w:tcPr>
                    <w:tcW w:w="494" w:type="pct"/>
                    <w:tcBorders>
                      <w:top w:val="nil"/>
                      <w:left w:val="nil"/>
                      <w:bottom w:val="nil"/>
                      <w:right w:val="nil"/>
                    </w:tcBorders>
                    <w:shd w:val="clear" w:color="auto" w:fill="auto"/>
                    <w:noWrap/>
                    <w:vAlign w:val="bottom"/>
                    <w:hideMark/>
                  </w:tcPr>
                  <w:p w:rsidRPr="00E1040F" w:rsidR="002318A8" w:rsidRDefault="002318A8" w14:paraId="15054A19" w14:textId="77777777">
                    <w:pPr>
                      <w:jc w:val="right"/>
                      <w:rPr>
                        <w:rFonts w:cs="Arial"/>
                        <w:color w:val="000000"/>
                        <w:sz w:val="18"/>
                        <w:szCs w:val="18"/>
                      </w:rPr>
                    </w:pPr>
                    <w:r w:rsidRPr="00E1040F">
                      <w:rPr>
                        <w:rFonts w:cs="Arial"/>
                        <w:color w:val="000000"/>
                        <w:sz w:val="18"/>
                        <w:szCs w:val="18"/>
                      </w:rPr>
                      <w:t>1,6</w:t>
                    </w:r>
                  </w:p>
                </w:tc>
              </w:tr>
              <w:tr w:rsidRPr="00E1040F" w:rsidR="002318A8" w:rsidTr="0092291D" w14:paraId="0F314B29"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7F244B61" w14:textId="77777777">
                    <w:pPr>
                      <w:rPr>
                        <w:rFonts w:cs="Arial"/>
                        <w:color w:val="000000"/>
                        <w:sz w:val="18"/>
                        <w:szCs w:val="18"/>
                      </w:rPr>
                    </w:pPr>
                    <w:r w:rsidRPr="00E1040F">
                      <w:rPr>
                        <w:rFonts w:cs="Arial"/>
                        <w:color w:val="000000"/>
                        <w:sz w:val="18"/>
                        <w:szCs w:val="18"/>
                      </w:rPr>
                      <w:t>Defensie</w:t>
                    </w:r>
                  </w:p>
                </w:tc>
                <w:tc>
                  <w:tcPr>
                    <w:tcW w:w="506" w:type="pct"/>
                    <w:tcBorders>
                      <w:top w:val="nil"/>
                      <w:left w:val="nil"/>
                      <w:bottom w:val="nil"/>
                      <w:right w:val="nil"/>
                    </w:tcBorders>
                    <w:shd w:val="clear" w:color="auto" w:fill="auto"/>
                    <w:noWrap/>
                    <w:vAlign w:val="bottom"/>
                    <w:hideMark/>
                  </w:tcPr>
                  <w:p w:rsidRPr="00E1040F" w:rsidR="002318A8" w:rsidRDefault="002318A8" w14:paraId="2E6CB2B6" w14:textId="77777777">
                    <w:pPr>
                      <w:jc w:val="right"/>
                      <w:rPr>
                        <w:rFonts w:cs="Arial"/>
                        <w:color w:val="000000"/>
                        <w:sz w:val="18"/>
                        <w:szCs w:val="18"/>
                      </w:rPr>
                    </w:pPr>
                    <w:r w:rsidRPr="00E1040F">
                      <w:rPr>
                        <w:rFonts w:cs="Arial"/>
                        <w:color w:val="000000"/>
                        <w:sz w:val="18"/>
                        <w:szCs w:val="18"/>
                      </w:rPr>
                      <w:t>1,4</w:t>
                    </w:r>
                  </w:p>
                </w:tc>
                <w:tc>
                  <w:tcPr>
                    <w:tcW w:w="506" w:type="pct"/>
                    <w:tcBorders>
                      <w:top w:val="nil"/>
                      <w:left w:val="nil"/>
                      <w:bottom w:val="nil"/>
                      <w:right w:val="nil"/>
                    </w:tcBorders>
                    <w:shd w:val="clear" w:color="auto" w:fill="auto"/>
                    <w:noWrap/>
                    <w:vAlign w:val="bottom"/>
                    <w:hideMark/>
                  </w:tcPr>
                  <w:p w:rsidRPr="00E1040F" w:rsidR="002318A8" w:rsidRDefault="002318A8" w14:paraId="1B10CE4E" w14:textId="77777777">
                    <w:pPr>
                      <w:jc w:val="right"/>
                      <w:rPr>
                        <w:rFonts w:cs="Arial"/>
                        <w:color w:val="000000"/>
                        <w:sz w:val="18"/>
                        <w:szCs w:val="18"/>
                      </w:rPr>
                    </w:pPr>
                    <w:r w:rsidRPr="00E1040F">
                      <w:rPr>
                        <w:rFonts w:cs="Arial"/>
                        <w:color w:val="000000"/>
                        <w:sz w:val="18"/>
                        <w:szCs w:val="18"/>
                      </w:rPr>
                      <w:t>1,5</w:t>
                    </w:r>
                  </w:p>
                </w:tc>
                <w:tc>
                  <w:tcPr>
                    <w:tcW w:w="506" w:type="pct"/>
                    <w:tcBorders>
                      <w:top w:val="nil"/>
                      <w:left w:val="nil"/>
                      <w:bottom w:val="nil"/>
                      <w:right w:val="nil"/>
                    </w:tcBorders>
                    <w:shd w:val="clear" w:color="auto" w:fill="auto"/>
                    <w:noWrap/>
                    <w:vAlign w:val="bottom"/>
                    <w:hideMark/>
                  </w:tcPr>
                  <w:p w:rsidRPr="00E1040F" w:rsidR="002318A8" w:rsidRDefault="002318A8" w14:paraId="6EC7462C" w14:textId="77777777">
                    <w:pPr>
                      <w:jc w:val="right"/>
                      <w:rPr>
                        <w:rFonts w:cs="Arial"/>
                        <w:color w:val="000000"/>
                        <w:sz w:val="18"/>
                        <w:szCs w:val="18"/>
                      </w:rPr>
                    </w:pPr>
                    <w:r w:rsidRPr="00E1040F">
                      <w:rPr>
                        <w:rFonts w:cs="Arial"/>
                        <w:color w:val="000000"/>
                        <w:sz w:val="18"/>
                        <w:szCs w:val="18"/>
                      </w:rPr>
                      <w:t>1,5</w:t>
                    </w:r>
                  </w:p>
                </w:tc>
                <w:tc>
                  <w:tcPr>
                    <w:tcW w:w="506" w:type="pct"/>
                    <w:tcBorders>
                      <w:top w:val="nil"/>
                      <w:left w:val="nil"/>
                      <w:bottom w:val="nil"/>
                      <w:right w:val="nil"/>
                    </w:tcBorders>
                    <w:shd w:val="clear" w:color="auto" w:fill="auto"/>
                    <w:noWrap/>
                    <w:vAlign w:val="bottom"/>
                    <w:hideMark/>
                  </w:tcPr>
                  <w:p w:rsidRPr="00E1040F" w:rsidR="002318A8" w:rsidRDefault="002318A8" w14:paraId="6DDBFCE5" w14:textId="77777777">
                    <w:pPr>
                      <w:jc w:val="right"/>
                      <w:rPr>
                        <w:rFonts w:cs="Arial"/>
                        <w:color w:val="000000"/>
                        <w:sz w:val="18"/>
                        <w:szCs w:val="18"/>
                      </w:rPr>
                    </w:pPr>
                    <w:r w:rsidRPr="00E1040F">
                      <w:rPr>
                        <w:rFonts w:cs="Arial"/>
                        <w:color w:val="000000"/>
                        <w:sz w:val="18"/>
                        <w:szCs w:val="18"/>
                      </w:rPr>
                      <w:t>1,6</w:t>
                    </w:r>
                  </w:p>
                </w:tc>
                <w:tc>
                  <w:tcPr>
                    <w:tcW w:w="506" w:type="pct"/>
                    <w:tcBorders>
                      <w:top w:val="nil"/>
                      <w:left w:val="nil"/>
                      <w:bottom w:val="nil"/>
                      <w:right w:val="nil"/>
                    </w:tcBorders>
                    <w:shd w:val="clear" w:color="auto" w:fill="auto"/>
                    <w:noWrap/>
                    <w:vAlign w:val="bottom"/>
                    <w:hideMark/>
                  </w:tcPr>
                  <w:p w:rsidRPr="00E1040F" w:rsidR="002318A8" w:rsidRDefault="002318A8" w14:paraId="2B81C139" w14:textId="77777777">
                    <w:pPr>
                      <w:jc w:val="right"/>
                      <w:rPr>
                        <w:rFonts w:cs="Arial"/>
                        <w:color w:val="000000"/>
                        <w:sz w:val="18"/>
                        <w:szCs w:val="18"/>
                      </w:rPr>
                    </w:pPr>
                    <w:r w:rsidRPr="00E1040F">
                      <w:rPr>
                        <w:rFonts w:cs="Arial"/>
                        <w:color w:val="000000"/>
                        <w:sz w:val="18"/>
                        <w:szCs w:val="18"/>
                      </w:rPr>
                      <w:t>1,7</w:t>
                    </w:r>
                  </w:p>
                </w:tc>
                <w:tc>
                  <w:tcPr>
                    <w:tcW w:w="494" w:type="pct"/>
                    <w:tcBorders>
                      <w:top w:val="nil"/>
                      <w:left w:val="nil"/>
                      <w:bottom w:val="nil"/>
                      <w:right w:val="nil"/>
                    </w:tcBorders>
                    <w:shd w:val="clear" w:color="auto" w:fill="auto"/>
                    <w:noWrap/>
                    <w:vAlign w:val="bottom"/>
                    <w:hideMark/>
                  </w:tcPr>
                  <w:p w:rsidRPr="00E1040F" w:rsidR="002318A8" w:rsidRDefault="002318A8" w14:paraId="2BDE6E11" w14:textId="77777777">
                    <w:pPr>
                      <w:jc w:val="right"/>
                      <w:rPr>
                        <w:rFonts w:cs="Arial"/>
                        <w:color w:val="000000"/>
                        <w:sz w:val="18"/>
                        <w:szCs w:val="18"/>
                      </w:rPr>
                    </w:pPr>
                    <w:r w:rsidRPr="00E1040F">
                      <w:rPr>
                        <w:rFonts w:cs="Arial"/>
                        <w:color w:val="000000"/>
                        <w:sz w:val="18"/>
                        <w:szCs w:val="18"/>
                      </w:rPr>
                      <w:t>1,7</w:t>
                    </w:r>
                  </w:p>
                </w:tc>
              </w:tr>
              <w:tr w:rsidRPr="00E1040F" w:rsidR="002318A8" w:rsidTr="0092291D" w14:paraId="1FBD7452"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711D1438" w14:textId="77777777">
                    <w:pPr>
                      <w:rPr>
                        <w:rFonts w:cs="Arial"/>
                        <w:color w:val="000000"/>
                        <w:sz w:val="18"/>
                        <w:szCs w:val="18"/>
                      </w:rPr>
                    </w:pPr>
                    <w:r w:rsidRPr="00E1040F">
                      <w:rPr>
                        <w:rFonts w:cs="Arial"/>
                        <w:color w:val="000000"/>
                        <w:sz w:val="18"/>
                        <w:szCs w:val="18"/>
                      </w:rPr>
                      <w:t>Infrastructuur</w:t>
                    </w:r>
                  </w:p>
                </w:tc>
                <w:tc>
                  <w:tcPr>
                    <w:tcW w:w="506" w:type="pct"/>
                    <w:tcBorders>
                      <w:top w:val="nil"/>
                      <w:left w:val="nil"/>
                      <w:bottom w:val="nil"/>
                      <w:right w:val="nil"/>
                    </w:tcBorders>
                    <w:shd w:val="clear" w:color="auto" w:fill="auto"/>
                    <w:noWrap/>
                    <w:vAlign w:val="bottom"/>
                    <w:hideMark/>
                  </w:tcPr>
                  <w:p w:rsidRPr="00E1040F" w:rsidR="002318A8" w:rsidRDefault="002318A8" w14:paraId="039DAE9F" w14:textId="77777777">
                    <w:pPr>
                      <w:jc w:val="right"/>
                      <w:rPr>
                        <w:rFonts w:cs="Arial"/>
                        <w:color w:val="000000"/>
                        <w:sz w:val="18"/>
                        <w:szCs w:val="18"/>
                      </w:rPr>
                    </w:pPr>
                    <w:r w:rsidRPr="00E1040F">
                      <w:rPr>
                        <w:rFonts w:cs="Arial"/>
                        <w:color w:val="000000"/>
                        <w:sz w:val="18"/>
                        <w:szCs w:val="18"/>
                      </w:rPr>
                      <w:t>1,2</w:t>
                    </w:r>
                  </w:p>
                </w:tc>
                <w:tc>
                  <w:tcPr>
                    <w:tcW w:w="506" w:type="pct"/>
                    <w:tcBorders>
                      <w:top w:val="nil"/>
                      <w:left w:val="nil"/>
                      <w:bottom w:val="nil"/>
                      <w:right w:val="nil"/>
                    </w:tcBorders>
                    <w:shd w:val="clear" w:color="auto" w:fill="auto"/>
                    <w:noWrap/>
                    <w:vAlign w:val="bottom"/>
                    <w:hideMark/>
                  </w:tcPr>
                  <w:p w:rsidRPr="00E1040F" w:rsidR="002318A8" w:rsidRDefault="002318A8" w14:paraId="5340AA0E" w14:textId="77777777">
                    <w:pPr>
                      <w:jc w:val="right"/>
                      <w:rPr>
                        <w:rFonts w:cs="Arial"/>
                        <w:color w:val="000000"/>
                        <w:sz w:val="18"/>
                        <w:szCs w:val="18"/>
                      </w:rPr>
                    </w:pPr>
                    <w:r w:rsidRPr="00E1040F">
                      <w:rPr>
                        <w:rFonts w:cs="Arial"/>
                        <w:color w:val="000000"/>
                        <w:sz w:val="18"/>
                        <w:szCs w:val="18"/>
                      </w:rPr>
                      <w:t>1,1</w:t>
                    </w:r>
                  </w:p>
                </w:tc>
                <w:tc>
                  <w:tcPr>
                    <w:tcW w:w="506" w:type="pct"/>
                    <w:tcBorders>
                      <w:top w:val="nil"/>
                      <w:left w:val="nil"/>
                      <w:bottom w:val="nil"/>
                      <w:right w:val="nil"/>
                    </w:tcBorders>
                    <w:shd w:val="clear" w:color="auto" w:fill="auto"/>
                    <w:noWrap/>
                    <w:vAlign w:val="bottom"/>
                    <w:hideMark/>
                  </w:tcPr>
                  <w:p w:rsidRPr="00E1040F" w:rsidR="002318A8" w:rsidRDefault="002318A8" w14:paraId="72C8BFF0" w14:textId="77777777">
                    <w:pPr>
                      <w:jc w:val="right"/>
                      <w:rPr>
                        <w:rFonts w:cs="Arial"/>
                        <w:color w:val="000000"/>
                        <w:sz w:val="18"/>
                        <w:szCs w:val="18"/>
                      </w:rPr>
                    </w:pPr>
                    <w:r w:rsidRPr="00E1040F">
                      <w:rPr>
                        <w:rFonts w:cs="Arial"/>
                        <w:color w:val="000000"/>
                        <w:sz w:val="18"/>
                        <w:szCs w:val="18"/>
                      </w:rPr>
                      <w:t>1,1</w:t>
                    </w:r>
                  </w:p>
                </w:tc>
                <w:tc>
                  <w:tcPr>
                    <w:tcW w:w="506" w:type="pct"/>
                    <w:tcBorders>
                      <w:top w:val="nil"/>
                      <w:left w:val="nil"/>
                      <w:bottom w:val="nil"/>
                      <w:right w:val="nil"/>
                    </w:tcBorders>
                    <w:shd w:val="clear" w:color="auto" w:fill="auto"/>
                    <w:noWrap/>
                    <w:vAlign w:val="bottom"/>
                    <w:hideMark/>
                  </w:tcPr>
                  <w:p w:rsidRPr="00E1040F" w:rsidR="002318A8" w:rsidRDefault="002318A8" w14:paraId="1A7846C3" w14:textId="77777777">
                    <w:pPr>
                      <w:jc w:val="right"/>
                      <w:rPr>
                        <w:rFonts w:cs="Arial"/>
                        <w:color w:val="000000"/>
                        <w:sz w:val="18"/>
                        <w:szCs w:val="18"/>
                      </w:rPr>
                    </w:pPr>
                    <w:r w:rsidRPr="00E1040F">
                      <w:rPr>
                        <w:rFonts w:cs="Arial"/>
                        <w:color w:val="000000"/>
                        <w:sz w:val="18"/>
                        <w:szCs w:val="18"/>
                      </w:rPr>
                      <w:t>1,2</w:t>
                    </w:r>
                  </w:p>
                </w:tc>
                <w:tc>
                  <w:tcPr>
                    <w:tcW w:w="506" w:type="pct"/>
                    <w:tcBorders>
                      <w:top w:val="nil"/>
                      <w:left w:val="nil"/>
                      <w:bottom w:val="nil"/>
                      <w:right w:val="nil"/>
                    </w:tcBorders>
                    <w:shd w:val="clear" w:color="auto" w:fill="auto"/>
                    <w:noWrap/>
                    <w:vAlign w:val="bottom"/>
                    <w:hideMark/>
                  </w:tcPr>
                  <w:p w:rsidRPr="00E1040F" w:rsidR="002318A8" w:rsidRDefault="002318A8" w14:paraId="133F61F6" w14:textId="77777777">
                    <w:pPr>
                      <w:jc w:val="right"/>
                      <w:rPr>
                        <w:rFonts w:cs="Arial"/>
                        <w:color w:val="000000"/>
                        <w:sz w:val="18"/>
                        <w:szCs w:val="18"/>
                      </w:rPr>
                    </w:pPr>
                    <w:r w:rsidRPr="00E1040F">
                      <w:rPr>
                        <w:rFonts w:cs="Arial"/>
                        <w:color w:val="000000"/>
                        <w:sz w:val="18"/>
                        <w:szCs w:val="18"/>
                      </w:rPr>
                      <w:t>1,3</w:t>
                    </w:r>
                  </w:p>
                </w:tc>
                <w:tc>
                  <w:tcPr>
                    <w:tcW w:w="494" w:type="pct"/>
                    <w:tcBorders>
                      <w:top w:val="nil"/>
                      <w:left w:val="nil"/>
                      <w:bottom w:val="nil"/>
                      <w:right w:val="nil"/>
                    </w:tcBorders>
                    <w:shd w:val="clear" w:color="auto" w:fill="auto"/>
                    <w:noWrap/>
                    <w:vAlign w:val="bottom"/>
                    <w:hideMark/>
                  </w:tcPr>
                  <w:p w:rsidRPr="00E1040F" w:rsidR="002318A8" w:rsidRDefault="002318A8" w14:paraId="019DD9E9" w14:textId="77777777">
                    <w:pPr>
                      <w:jc w:val="right"/>
                      <w:rPr>
                        <w:rFonts w:cs="Arial"/>
                        <w:color w:val="000000"/>
                        <w:sz w:val="18"/>
                        <w:szCs w:val="18"/>
                      </w:rPr>
                    </w:pPr>
                    <w:r w:rsidRPr="00E1040F">
                      <w:rPr>
                        <w:rFonts w:cs="Arial"/>
                        <w:color w:val="000000"/>
                        <w:sz w:val="18"/>
                        <w:szCs w:val="18"/>
                      </w:rPr>
                      <w:t>1,4</w:t>
                    </w:r>
                  </w:p>
                </w:tc>
              </w:tr>
              <w:tr w:rsidRPr="00E1040F" w:rsidR="002318A8" w:rsidTr="0092291D" w14:paraId="2CF3CA1E"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42243BDE" w14:textId="77777777">
                    <w:pPr>
                      <w:rPr>
                        <w:rFonts w:cs="Arial"/>
                        <w:color w:val="000000"/>
                        <w:sz w:val="18"/>
                        <w:szCs w:val="18"/>
                      </w:rPr>
                    </w:pPr>
                    <w:r w:rsidRPr="00E1040F">
                      <w:rPr>
                        <w:rFonts w:cs="Arial"/>
                        <w:color w:val="000000"/>
                        <w:sz w:val="18"/>
                        <w:szCs w:val="18"/>
                      </w:rPr>
                      <w:t>Onderwijs</w:t>
                    </w:r>
                  </w:p>
                </w:tc>
                <w:tc>
                  <w:tcPr>
                    <w:tcW w:w="506" w:type="pct"/>
                    <w:tcBorders>
                      <w:top w:val="nil"/>
                      <w:left w:val="nil"/>
                      <w:bottom w:val="nil"/>
                      <w:right w:val="nil"/>
                    </w:tcBorders>
                    <w:shd w:val="clear" w:color="auto" w:fill="auto"/>
                    <w:noWrap/>
                    <w:vAlign w:val="bottom"/>
                    <w:hideMark/>
                  </w:tcPr>
                  <w:p w:rsidRPr="00E1040F" w:rsidR="002318A8" w:rsidRDefault="002318A8" w14:paraId="03197CF8" w14:textId="77777777">
                    <w:pPr>
                      <w:jc w:val="right"/>
                      <w:rPr>
                        <w:rFonts w:cs="Arial"/>
                        <w:color w:val="000000"/>
                        <w:sz w:val="18"/>
                        <w:szCs w:val="18"/>
                      </w:rPr>
                    </w:pPr>
                    <w:r w:rsidRPr="00E1040F">
                      <w:rPr>
                        <w:rFonts w:cs="Arial"/>
                        <w:color w:val="000000"/>
                        <w:sz w:val="18"/>
                        <w:szCs w:val="18"/>
                      </w:rPr>
                      <w:t>5,1</w:t>
                    </w:r>
                  </w:p>
                </w:tc>
                <w:tc>
                  <w:tcPr>
                    <w:tcW w:w="506" w:type="pct"/>
                    <w:tcBorders>
                      <w:top w:val="nil"/>
                      <w:left w:val="nil"/>
                      <w:bottom w:val="nil"/>
                      <w:right w:val="nil"/>
                    </w:tcBorders>
                    <w:shd w:val="clear" w:color="auto" w:fill="auto"/>
                    <w:noWrap/>
                    <w:vAlign w:val="bottom"/>
                    <w:hideMark/>
                  </w:tcPr>
                  <w:p w:rsidRPr="00E1040F" w:rsidR="002318A8" w:rsidRDefault="002318A8" w14:paraId="03DBF2A4" w14:textId="77777777">
                    <w:pPr>
                      <w:jc w:val="right"/>
                      <w:rPr>
                        <w:rFonts w:cs="Arial"/>
                        <w:color w:val="000000"/>
                        <w:sz w:val="18"/>
                        <w:szCs w:val="18"/>
                      </w:rPr>
                    </w:pPr>
                    <w:r w:rsidRPr="00E1040F">
                      <w:rPr>
                        <w:rFonts w:cs="Arial"/>
                        <w:color w:val="000000"/>
                        <w:sz w:val="18"/>
                        <w:szCs w:val="18"/>
                      </w:rPr>
                      <w:t>5,1</w:t>
                    </w:r>
                  </w:p>
                </w:tc>
                <w:tc>
                  <w:tcPr>
                    <w:tcW w:w="506" w:type="pct"/>
                    <w:tcBorders>
                      <w:top w:val="nil"/>
                      <w:left w:val="nil"/>
                      <w:bottom w:val="nil"/>
                      <w:right w:val="nil"/>
                    </w:tcBorders>
                    <w:shd w:val="clear" w:color="auto" w:fill="auto"/>
                    <w:noWrap/>
                    <w:vAlign w:val="bottom"/>
                    <w:hideMark/>
                  </w:tcPr>
                  <w:p w:rsidRPr="00E1040F" w:rsidR="002318A8" w:rsidRDefault="002318A8" w14:paraId="27F82811" w14:textId="77777777">
                    <w:pPr>
                      <w:jc w:val="right"/>
                      <w:rPr>
                        <w:rFonts w:cs="Arial"/>
                        <w:color w:val="000000"/>
                        <w:sz w:val="18"/>
                        <w:szCs w:val="18"/>
                      </w:rPr>
                    </w:pPr>
                    <w:r w:rsidRPr="00E1040F">
                      <w:rPr>
                        <w:rFonts w:cs="Arial"/>
                        <w:color w:val="000000"/>
                        <w:sz w:val="18"/>
                        <w:szCs w:val="18"/>
                      </w:rPr>
                      <w:t>5,0</w:t>
                    </w:r>
                  </w:p>
                </w:tc>
                <w:tc>
                  <w:tcPr>
                    <w:tcW w:w="506" w:type="pct"/>
                    <w:tcBorders>
                      <w:top w:val="nil"/>
                      <w:left w:val="nil"/>
                      <w:bottom w:val="nil"/>
                      <w:right w:val="nil"/>
                    </w:tcBorders>
                    <w:shd w:val="clear" w:color="auto" w:fill="auto"/>
                    <w:noWrap/>
                    <w:vAlign w:val="bottom"/>
                    <w:hideMark/>
                  </w:tcPr>
                  <w:p w:rsidRPr="00E1040F" w:rsidR="002318A8" w:rsidRDefault="002318A8" w14:paraId="7625DE44" w14:textId="77777777">
                    <w:pPr>
                      <w:jc w:val="right"/>
                      <w:rPr>
                        <w:rFonts w:cs="Arial"/>
                        <w:color w:val="000000"/>
                        <w:sz w:val="18"/>
                        <w:szCs w:val="18"/>
                      </w:rPr>
                    </w:pPr>
                    <w:r w:rsidRPr="00E1040F">
                      <w:rPr>
                        <w:rFonts w:cs="Arial"/>
                        <w:color w:val="000000"/>
                        <w:sz w:val="18"/>
                        <w:szCs w:val="18"/>
                      </w:rPr>
                      <w:t>5,0</w:t>
                    </w:r>
                  </w:p>
                </w:tc>
                <w:tc>
                  <w:tcPr>
                    <w:tcW w:w="506" w:type="pct"/>
                    <w:tcBorders>
                      <w:top w:val="nil"/>
                      <w:left w:val="nil"/>
                      <w:bottom w:val="nil"/>
                      <w:right w:val="nil"/>
                    </w:tcBorders>
                    <w:shd w:val="clear" w:color="auto" w:fill="auto"/>
                    <w:noWrap/>
                    <w:vAlign w:val="bottom"/>
                    <w:hideMark/>
                  </w:tcPr>
                  <w:p w:rsidRPr="00E1040F" w:rsidR="002318A8" w:rsidRDefault="002318A8" w14:paraId="25CCE050" w14:textId="77777777">
                    <w:pPr>
                      <w:jc w:val="right"/>
                      <w:rPr>
                        <w:rFonts w:cs="Arial"/>
                        <w:color w:val="000000"/>
                        <w:sz w:val="18"/>
                        <w:szCs w:val="18"/>
                      </w:rPr>
                    </w:pPr>
                    <w:r w:rsidRPr="00E1040F">
                      <w:rPr>
                        <w:rFonts w:cs="Arial"/>
                        <w:color w:val="000000"/>
                        <w:sz w:val="18"/>
                        <w:szCs w:val="18"/>
                      </w:rPr>
                      <w:t>4,8</w:t>
                    </w:r>
                  </w:p>
                </w:tc>
                <w:tc>
                  <w:tcPr>
                    <w:tcW w:w="494" w:type="pct"/>
                    <w:tcBorders>
                      <w:top w:val="nil"/>
                      <w:left w:val="nil"/>
                      <w:bottom w:val="nil"/>
                      <w:right w:val="nil"/>
                    </w:tcBorders>
                    <w:shd w:val="clear" w:color="auto" w:fill="auto"/>
                    <w:noWrap/>
                    <w:vAlign w:val="bottom"/>
                    <w:hideMark/>
                  </w:tcPr>
                  <w:p w:rsidRPr="00E1040F" w:rsidR="002318A8" w:rsidRDefault="002318A8" w14:paraId="3FC613D6" w14:textId="77777777">
                    <w:pPr>
                      <w:jc w:val="right"/>
                      <w:rPr>
                        <w:rFonts w:cs="Arial"/>
                        <w:color w:val="000000"/>
                        <w:sz w:val="18"/>
                        <w:szCs w:val="18"/>
                      </w:rPr>
                    </w:pPr>
                    <w:r w:rsidRPr="00E1040F">
                      <w:rPr>
                        <w:rFonts w:cs="Arial"/>
                        <w:color w:val="000000"/>
                        <w:sz w:val="18"/>
                        <w:szCs w:val="18"/>
                      </w:rPr>
                      <w:t>4,8</w:t>
                    </w:r>
                  </w:p>
                </w:tc>
              </w:tr>
              <w:tr w:rsidRPr="00E1040F" w:rsidR="002318A8" w:rsidTr="0092291D" w14:paraId="737C5458"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1F9D9E6B" w14:textId="77777777">
                    <w:pPr>
                      <w:rPr>
                        <w:rFonts w:cs="Arial"/>
                        <w:color w:val="000000"/>
                        <w:sz w:val="18"/>
                        <w:szCs w:val="18"/>
                      </w:rPr>
                    </w:pPr>
                    <w:r w:rsidRPr="00E1040F">
                      <w:rPr>
                        <w:rFonts w:cs="Arial"/>
                        <w:color w:val="000000"/>
                        <w:sz w:val="18"/>
                        <w:szCs w:val="18"/>
                      </w:rPr>
                      <w:t>Zorg (b)</w:t>
                    </w:r>
                  </w:p>
                </w:tc>
                <w:tc>
                  <w:tcPr>
                    <w:tcW w:w="506" w:type="pct"/>
                    <w:tcBorders>
                      <w:top w:val="nil"/>
                      <w:left w:val="nil"/>
                      <w:bottom w:val="nil"/>
                      <w:right w:val="nil"/>
                    </w:tcBorders>
                    <w:shd w:val="clear" w:color="auto" w:fill="auto"/>
                    <w:noWrap/>
                    <w:vAlign w:val="bottom"/>
                    <w:hideMark/>
                  </w:tcPr>
                  <w:p w:rsidRPr="00E1040F" w:rsidR="002318A8" w:rsidRDefault="002318A8" w14:paraId="7CD32737" w14:textId="77777777">
                    <w:pPr>
                      <w:jc w:val="right"/>
                      <w:rPr>
                        <w:rFonts w:cs="Arial"/>
                        <w:color w:val="000000"/>
                        <w:sz w:val="18"/>
                        <w:szCs w:val="18"/>
                      </w:rPr>
                    </w:pPr>
                    <w:r w:rsidRPr="00E1040F">
                      <w:rPr>
                        <w:rFonts w:cs="Arial"/>
                        <w:color w:val="000000"/>
                        <w:sz w:val="18"/>
                        <w:szCs w:val="18"/>
                      </w:rPr>
                      <w:t>9,4</w:t>
                    </w:r>
                  </w:p>
                </w:tc>
                <w:tc>
                  <w:tcPr>
                    <w:tcW w:w="506" w:type="pct"/>
                    <w:tcBorders>
                      <w:top w:val="nil"/>
                      <w:left w:val="nil"/>
                      <w:bottom w:val="nil"/>
                      <w:right w:val="nil"/>
                    </w:tcBorders>
                    <w:shd w:val="clear" w:color="auto" w:fill="auto"/>
                    <w:noWrap/>
                    <w:vAlign w:val="bottom"/>
                    <w:hideMark/>
                  </w:tcPr>
                  <w:p w:rsidRPr="00E1040F" w:rsidR="002318A8" w:rsidRDefault="002318A8" w14:paraId="4B945999" w14:textId="77777777">
                    <w:pPr>
                      <w:jc w:val="right"/>
                      <w:rPr>
                        <w:rFonts w:cs="Arial"/>
                        <w:color w:val="000000"/>
                        <w:sz w:val="18"/>
                        <w:szCs w:val="18"/>
                      </w:rPr>
                    </w:pPr>
                    <w:r w:rsidRPr="00E1040F">
                      <w:rPr>
                        <w:rFonts w:cs="Arial"/>
                        <w:color w:val="000000"/>
                        <w:sz w:val="18"/>
                        <w:szCs w:val="18"/>
                      </w:rPr>
                      <w:t>9,4</w:t>
                    </w:r>
                  </w:p>
                </w:tc>
                <w:tc>
                  <w:tcPr>
                    <w:tcW w:w="506" w:type="pct"/>
                    <w:tcBorders>
                      <w:top w:val="nil"/>
                      <w:left w:val="nil"/>
                      <w:bottom w:val="nil"/>
                      <w:right w:val="nil"/>
                    </w:tcBorders>
                    <w:shd w:val="clear" w:color="auto" w:fill="auto"/>
                    <w:noWrap/>
                    <w:vAlign w:val="bottom"/>
                    <w:hideMark/>
                  </w:tcPr>
                  <w:p w:rsidRPr="00E1040F" w:rsidR="002318A8" w:rsidRDefault="002318A8" w14:paraId="153E1CB9" w14:textId="77777777">
                    <w:pPr>
                      <w:jc w:val="right"/>
                      <w:rPr>
                        <w:rFonts w:cs="Arial"/>
                        <w:color w:val="000000"/>
                        <w:sz w:val="18"/>
                        <w:szCs w:val="18"/>
                      </w:rPr>
                    </w:pPr>
                    <w:r w:rsidRPr="00E1040F">
                      <w:rPr>
                        <w:rFonts w:cs="Arial"/>
                        <w:color w:val="000000"/>
                        <w:sz w:val="18"/>
                        <w:szCs w:val="18"/>
                      </w:rPr>
                      <w:t>9,6</w:t>
                    </w:r>
                  </w:p>
                </w:tc>
                <w:tc>
                  <w:tcPr>
                    <w:tcW w:w="506" w:type="pct"/>
                    <w:tcBorders>
                      <w:top w:val="nil"/>
                      <w:left w:val="nil"/>
                      <w:bottom w:val="nil"/>
                      <w:right w:val="nil"/>
                    </w:tcBorders>
                    <w:shd w:val="clear" w:color="auto" w:fill="auto"/>
                    <w:noWrap/>
                    <w:vAlign w:val="bottom"/>
                    <w:hideMark/>
                  </w:tcPr>
                  <w:p w:rsidRPr="00E1040F" w:rsidR="002318A8" w:rsidRDefault="002318A8" w14:paraId="0AE0AC64" w14:textId="77777777">
                    <w:pPr>
                      <w:jc w:val="right"/>
                      <w:rPr>
                        <w:rFonts w:cs="Arial"/>
                        <w:color w:val="000000"/>
                        <w:sz w:val="18"/>
                        <w:szCs w:val="18"/>
                      </w:rPr>
                    </w:pPr>
                    <w:r w:rsidRPr="00E1040F">
                      <w:rPr>
                        <w:rFonts w:cs="Arial"/>
                        <w:color w:val="000000"/>
                        <w:sz w:val="18"/>
                        <w:szCs w:val="18"/>
                      </w:rPr>
                      <w:t>10,0</w:t>
                    </w:r>
                  </w:p>
                </w:tc>
                <w:tc>
                  <w:tcPr>
                    <w:tcW w:w="506" w:type="pct"/>
                    <w:tcBorders>
                      <w:top w:val="nil"/>
                      <w:left w:val="nil"/>
                      <w:bottom w:val="nil"/>
                      <w:right w:val="nil"/>
                    </w:tcBorders>
                    <w:shd w:val="clear" w:color="auto" w:fill="auto"/>
                    <w:noWrap/>
                    <w:vAlign w:val="bottom"/>
                    <w:hideMark/>
                  </w:tcPr>
                  <w:p w:rsidRPr="00E1040F" w:rsidR="002318A8" w:rsidRDefault="002318A8" w14:paraId="6842413B" w14:textId="77777777">
                    <w:pPr>
                      <w:jc w:val="right"/>
                      <w:rPr>
                        <w:rFonts w:cs="Arial"/>
                        <w:color w:val="000000"/>
                        <w:sz w:val="18"/>
                        <w:szCs w:val="18"/>
                      </w:rPr>
                    </w:pPr>
                    <w:r w:rsidRPr="00E1040F">
                      <w:rPr>
                        <w:rFonts w:cs="Arial"/>
                        <w:color w:val="000000"/>
                        <w:sz w:val="18"/>
                        <w:szCs w:val="18"/>
                      </w:rPr>
                      <w:t>10,1</w:t>
                    </w:r>
                  </w:p>
                </w:tc>
                <w:tc>
                  <w:tcPr>
                    <w:tcW w:w="494" w:type="pct"/>
                    <w:tcBorders>
                      <w:top w:val="nil"/>
                      <w:left w:val="nil"/>
                      <w:bottom w:val="nil"/>
                      <w:right w:val="nil"/>
                    </w:tcBorders>
                    <w:shd w:val="clear" w:color="auto" w:fill="auto"/>
                    <w:noWrap/>
                    <w:vAlign w:val="bottom"/>
                    <w:hideMark/>
                  </w:tcPr>
                  <w:p w:rsidRPr="00E1040F" w:rsidR="002318A8" w:rsidRDefault="002318A8" w14:paraId="50CD6A85" w14:textId="77777777">
                    <w:pPr>
                      <w:jc w:val="right"/>
                      <w:rPr>
                        <w:rFonts w:cs="Arial"/>
                        <w:color w:val="000000"/>
                        <w:sz w:val="18"/>
                        <w:szCs w:val="18"/>
                      </w:rPr>
                    </w:pPr>
                    <w:r w:rsidRPr="00E1040F">
                      <w:rPr>
                        <w:rFonts w:cs="Arial"/>
                        <w:color w:val="000000"/>
                        <w:sz w:val="18"/>
                        <w:szCs w:val="18"/>
                      </w:rPr>
                      <w:t>10,9</w:t>
                    </w:r>
                  </w:p>
                </w:tc>
              </w:tr>
              <w:tr w:rsidRPr="00E1040F" w:rsidR="002318A8" w:rsidTr="0092291D" w14:paraId="05C0BB57"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03BCA09E" w14:textId="77777777">
                    <w:pPr>
                      <w:rPr>
                        <w:rFonts w:cs="Arial"/>
                        <w:color w:val="000000"/>
                        <w:sz w:val="18"/>
                        <w:szCs w:val="18"/>
                      </w:rPr>
                    </w:pPr>
                    <w:proofErr w:type="spellStart"/>
                    <w:r w:rsidRPr="00E1040F">
                      <w:rPr>
                        <w:rFonts w:cs="Arial"/>
                        <w:color w:val="000000"/>
                        <w:sz w:val="18"/>
                        <w:szCs w:val="18"/>
                      </w:rPr>
                      <w:t>w.v</w:t>
                    </w:r>
                    <w:proofErr w:type="spellEnd"/>
                    <w:r w:rsidRPr="00E1040F">
                      <w:rPr>
                        <w:rFonts w:cs="Arial"/>
                        <w:color w:val="000000"/>
                        <w:sz w:val="18"/>
                        <w:szCs w:val="18"/>
                      </w:rPr>
                      <w:t>. AWBZ/</w:t>
                    </w:r>
                    <w:proofErr w:type="spellStart"/>
                    <w:r w:rsidRPr="00E1040F">
                      <w:rPr>
                        <w:rFonts w:cs="Arial"/>
                        <w:color w:val="000000"/>
                        <w:sz w:val="18"/>
                        <w:szCs w:val="18"/>
                      </w:rPr>
                      <w:t>Wlz</w:t>
                    </w:r>
                    <w:proofErr w:type="spellEnd"/>
                  </w:p>
                </w:tc>
                <w:tc>
                  <w:tcPr>
                    <w:tcW w:w="506" w:type="pct"/>
                    <w:tcBorders>
                      <w:top w:val="nil"/>
                      <w:left w:val="nil"/>
                      <w:bottom w:val="nil"/>
                      <w:right w:val="nil"/>
                    </w:tcBorders>
                    <w:shd w:val="clear" w:color="auto" w:fill="auto"/>
                    <w:noWrap/>
                    <w:vAlign w:val="bottom"/>
                    <w:hideMark/>
                  </w:tcPr>
                  <w:p w:rsidRPr="00E1040F" w:rsidR="002318A8" w:rsidRDefault="002318A8" w14:paraId="766A8F8F" w14:textId="77777777">
                    <w:pPr>
                      <w:jc w:val="right"/>
                      <w:rPr>
                        <w:rFonts w:cs="Arial"/>
                        <w:color w:val="000000"/>
                        <w:sz w:val="18"/>
                        <w:szCs w:val="18"/>
                      </w:rPr>
                    </w:pPr>
                    <w:r w:rsidRPr="00E1040F">
                      <w:rPr>
                        <w:rFonts w:cs="Arial"/>
                        <w:color w:val="000000"/>
                        <w:sz w:val="18"/>
                        <w:szCs w:val="18"/>
                      </w:rPr>
                      <w:t>3,0</w:t>
                    </w:r>
                  </w:p>
                </w:tc>
                <w:tc>
                  <w:tcPr>
                    <w:tcW w:w="506" w:type="pct"/>
                    <w:tcBorders>
                      <w:top w:val="nil"/>
                      <w:left w:val="nil"/>
                      <w:bottom w:val="nil"/>
                      <w:right w:val="nil"/>
                    </w:tcBorders>
                    <w:shd w:val="clear" w:color="auto" w:fill="auto"/>
                    <w:noWrap/>
                    <w:vAlign w:val="bottom"/>
                    <w:hideMark/>
                  </w:tcPr>
                  <w:p w:rsidRPr="00E1040F" w:rsidR="002318A8" w:rsidRDefault="002318A8" w14:paraId="711249B2" w14:textId="77777777">
                    <w:pPr>
                      <w:jc w:val="right"/>
                      <w:rPr>
                        <w:rFonts w:cs="Arial"/>
                        <w:color w:val="000000"/>
                        <w:sz w:val="18"/>
                        <w:szCs w:val="18"/>
                      </w:rPr>
                    </w:pPr>
                    <w:r w:rsidRPr="00E1040F">
                      <w:rPr>
                        <w:rFonts w:cs="Arial"/>
                        <w:color w:val="000000"/>
                        <w:sz w:val="18"/>
                        <w:szCs w:val="18"/>
                      </w:rPr>
                      <w:t>3,0</w:t>
                    </w:r>
                  </w:p>
                </w:tc>
                <w:tc>
                  <w:tcPr>
                    <w:tcW w:w="506" w:type="pct"/>
                    <w:tcBorders>
                      <w:top w:val="nil"/>
                      <w:left w:val="nil"/>
                      <w:bottom w:val="nil"/>
                      <w:right w:val="nil"/>
                    </w:tcBorders>
                    <w:shd w:val="clear" w:color="auto" w:fill="auto"/>
                    <w:noWrap/>
                    <w:vAlign w:val="bottom"/>
                    <w:hideMark/>
                  </w:tcPr>
                  <w:p w:rsidRPr="00E1040F" w:rsidR="002318A8" w:rsidRDefault="002318A8" w14:paraId="65A22F77" w14:textId="77777777">
                    <w:pPr>
                      <w:jc w:val="right"/>
                      <w:rPr>
                        <w:rFonts w:cs="Arial"/>
                        <w:color w:val="000000"/>
                        <w:sz w:val="18"/>
                        <w:szCs w:val="18"/>
                      </w:rPr>
                    </w:pPr>
                    <w:r w:rsidRPr="00E1040F">
                      <w:rPr>
                        <w:rFonts w:cs="Arial"/>
                        <w:color w:val="000000"/>
                        <w:sz w:val="18"/>
                        <w:szCs w:val="18"/>
                      </w:rPr>
                      <w:t>3,0</w:t>
                    </w:r>
                  </w:p>
                </w:tc>
                <w:tc>
                  <w:tcPr>
                    <w:tcW w:w="506" w:type="pct"/>
                    <w:tcBorders>
                      <w:top w:val="nil"/>
                      <w:left w:val="nil"/>
                      <w:bottom w:val="nil"/>
                      <w:right w:val="nil"/>
                    </w:tcBorders>
                    <w:shd w:val="clear" w:color="auto" w:fill="auto"/>
                    <w:noWrap/>
                    <w:vAlign w:val="bottom"/>
                    <w:hideMark/>
                  </w:tcPr>
                  <w:p w:rsidRPr="00E1040F" w:rsidR="002318A8" w:rsidRDefault="002318A8" w14:paraId="1A03E789" w14:textId="77777777">
                    <w:pPr>
                      <w:jc w:val="right"/>
                      <w:rPr>
                        <w:rFonts w:cs="Arial"/>
                        <w:color w:val="000000"/>
                        <w:sz w:val="18"/>
                        <w:szCs w:val="18"/>
                      </w:rPr>
                    </w:pPr>
                    <w:r w:rsidRPr="00E1040F">
                      <w:rPr>
                        <w:rFonts w:cs="Arial"/>
                        <w:color w:val="000000"/>
                        <w:sz w:val="18"/>
                        <w:szCs w:val="18"/>
                      </w:rPr>
                      <w:t>3,1</w:t>
                    </w:r>
                  </w:p>
                </w:tc>
                <w:tc>
                  <w:tcPr>
                    <w:tcW w:w="506" w:type="pct"/>
                    <w:tcBorders>
                      <w:top w:val="nil"/>
                      <w:left w:val="nil"/>
                      <w:bottom w:val="nil"/>
                      <w:right w:val="nil"/>
                    </w:tcBorders>
                    <w:shd w:val="clear" w:color="auto" w:fill="auto"/>
                    <w:noWrap/>
                    <w:vAlign w:val="bottom"/>
                    <w:hideMark/>
                  </w:tcPr>
                  <w:p w:rsidRPr="00E1040F" w:rsidR="002318A8" w:rsidRDefault="002318A8" w14:paraId="22D63D8D" w14:textId="77777777">
                    <w:pPr>
                      <w:jc w:val="right"/>
                      <w:rPr>
                        <w:rFonts w:cs="Arial"/>
                        <w:color w:val="000000"/>
                        <w:sz w:val="18"/>
                        <w:szCs w:val="18"/>
                      </w:rPr>
                    </w:pPr>
                    <w:r w:rsidRPr="00E1040F">
                      <w:rPr>
                        <w:rFonts w:cs="Arial"/>
                        <w:color w:val="000000"/>
                        <w:sz w:val="18"/>
                        <w:szCs w:val="18"/>
                      </w:rPr>
                      <w:t>3,2</w:t>
                    </w:r>
                  </w:p>
                </w:tc>
                <w:tc>
                  <w:tcPr>
                    <w:tcW w:w="494" w:type="pct"/>
                    <w:tcBorders>
                      <w:top w:val="nil"/>
                      <w:left w:val="nil"/>
                      <w:bottom w:val="nil"/>
                      <w:right w:val="nil"/>
                    </w:tcBorders>
                    <w:shd w:val="clear" w:color="auto" w:fill="auto"/>
                    <w:noWrap/>
                    <w:vAlign w:val="bottom"/>
                    <w:hideMark/>
                  </w:tcPr>
                  <w:p w:rsidRPr="00E1040F" w:rsidR="002318A8" w:rsidRDefault="002318A8" w14:paraId="10040857" w14:textId="77777777">
                    <w:pPr>
                      <w:jc w:val="right"/>
                      <w:rPr>
                        <w:rFonts w:cs="Arial"/>
                        <w:color w:val="000000"/>
                        <w:sz w:val="18"/>
                        <w:szCs w:val="18"/>
                      </w:rPr>
                    </w:pPr>
                    <w:r w:rsidRPr="00E1040F">
                      <w:rPr>
                        <w:rFonts w:cs="Arial"/>
                        <w:color w:val="000000"/>
                        <w:sz w:val="18"/>
                        <w:szCs w:val="18"/>
                      </w:rPr>
                      <w:t>3,7</w:t>
                    </w:r>
                  </w:p>
                </w:tc>
              </w:tr>
              <w:tr w:rsidRPr="00E1040F" w:rsidR="002318A8" w:rsidTr="0092291D" w14:paraId="4A8FE896"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4DDFA1E4"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w:t>
                    </w:r>
                    <w:proofErr w:type="spellStart"/>
                    <w:r w:rsidRPr="00E1040F">
                      <w:rPr>
                        <w:rFonts w:cs="Arial"/>
                        <w:color w:val="000000"/>
                        <w:sz w:val="18"/>
                        <w:szCs w:val="18"/>
                      </w:rPr>
                      <w:t>Zvw</w:t>
                    </w:r>
                    <w:proofErr w:type="spellEnd"/>
                    <w:r w:rsidRPr="00E1040F">
                      <w:rPr>
                        <w:rFonts w:cs="Arial"/>
                        <w:color w:val="000000"/>
                        <w:sz w:val="18"/>
                        <w:szCs w:val="18"/>
                      </w:rPr>
                      <w:t xml:space="preserve"> (b)</w:t>
                    </w:r>
                  </w:p>
                </w:tc>
                <w:tc>
                  <w:tcPr>
                    <w:tcW w:w="506" w:type="pct"/>
                    <w:tcBorders>
                      <w:top w:val="nil"/>
                      <w:left w:val="nil"/>
                      <w:bottom w:val="nil"/>
                      <w:right w:val="nil"/>
                    </w:tcBorders>
                    <w:shd w:val="clear" w:color="auto" w:fill="auto"/>
                    <w:noWrap/>
                    <w:vAlign w:val="bottom"/>
                    <w:hideMark/>
                  </w:tcPr>
                  <w:p w:rsidRPr="00E1040F" w:rsidR="002318A8" w:rsidRDefault="002318A8" w14:paraId="175284E4" w14:textId="77777777">
                    <w:pPr>
                      <w:jc w:val="right"/>
                      <w:rPr>
                        <w:rFonts w:cs="Arial"/>
                        <w:color w:val="000000"/>
                        <w:sz w:val="18"/>
                        <w:szCs w:val="18"/>
                      </w:rPr>
                    </w:pPr>
                    <w:r w:rsidRPr="00E1040F">
                      <w:rPr>
                        <w:rFonts w:cs="Arial"/>
                        <w:color w:val="000000"/>
                        <w:sz w:val="18"/>
                        <w:szCs w:val="18"/>
                      </w:rPr>
                      <w:t>5,0</w:t>
                    </w:r>
                  </w:p>
                </w:tc>
                <w:tc>
                  <w:tcPr>
                    <w:tcW w:w="506" w:type="pct"/>
                    <w:tcBorders>
                      <w:top w:val="nil"/>
                      <w:left w:val="nil"/>
                      <w:bottom w:val="nil"/>
                      <w:right w:val="nil"/>
                    </w:tcBorders>
                    <w:shd w:val="clear" w:color="auto" w:fill="auto"/>
                    <w:noWrap/>
                    <w:vAlign w:val="bottom"/>
                    <w:hideMark/>
                  </w:tcPr>
                  <w:p w:rsidRPr="00E1040F" w:rsidR="002318A8" w:rsidRDefault="002318A8" w14:paraId="53C0E93B" w14:textId="77777777">
                    <w:pPr>
                      <w:jc w:val="right"/>
                      <w:rPr>
                        <w:rFonts w:cs="Arial"/>
                        <w:color w:val="000000"/>
                        <w:sz w:val="18"/>
                        <w:szCs w:val="18"/>
                      </w:rPr>
                    </w:pPr>
                    <w:r w:rsidRPr="00E1040F">
                      <w:rPr>
                        <w:rFonts w:cs="Arial"/>
                        <w:color w:val="000000"/>
                        <w:sz w:val="18"/>
                        <w:szCs w:val="18"/>
                      </w:rPr>
                      <w:t>5,1</w:t>
                    </w:r>
                  </w:p>
                </w:tc>
                <w:tc>
                  <w:tcPr>
                    <w:tcW w:w="506" w:type="pct"/>
                    <w:tcBorders>
                      <w:top w:val="nil"/>
                      <w:left w:val="nil"/>
                      <w:bottom w:val="nil"/>
                      <w:right w:val="nil"/>
                    </w:tcBorders>
                    <w:shd w:val="clear" w:color="auto" w:fill="auto"/>
                    <w:noWrap/>
                    <w:vAlign w:val="bottom"/>
                    <w:hideMark/>
                  </w:tcPr>
                  <w:p w:rsidRPr="00E1040F" w:rsidR="002318A8" w:rsidRDefault="002318A8" w14:paraId="2AC06470" w14:textId="77777777">
                    <w:pPr>
                      <w:jc w:val="right"/>
                      <w:rPr>
                        <w:rFonts w:cs="Arial"/>
                        <w:color w:val="000000"/>
                        <w:sz w:val="18"/>
                        <w:szCs w:val="18"/>
                      </w:rPr>
                    </w:pPr>
                    <w:r w:rsidRPr="00E1040F">
                      <w:rPr>
                        <w:rFonts w:cs="Arial"/>
                        <w:color w:val="000000"/>
                        <w:sz w:val="18"/>
                        <w:szCs w:val="18"/>
                      </w:rPr>
                      <w:t>5,2</w:t>
                    </w:r>
                  </w:p>
                </w:tc>
                <w:tc>
                  <w:tcPr>
                    <w:tcW w:w="506" w:type="pct"/>
                    <w:tcBorders>
                      <w:top w:val="nil"/>
                      <w:left w:val="nil"/>
                      <w:bottom w:val="nil"/>
                      <w:right w:val="nil"/>
                    </w:tcBorders>
                    <w:shd w:val="clear" w:color="auto" w:fill="auto"/>
                    <w:noWrap/>
                    <w:vAlign w:val="bottom"/>
                    <w:hideMark/>
                  </w:tcPr>
                  <w:p w:rsidRPr="00E1040F" w:rsidR="002318A8" w:rsidRDefault="002318A8" w14:paraId="31D9D4A9" w14:textId="77777777">
                    <w:pPr>
                      <w:jc w:val="right"/>
                      <w:rPr>
                        <w:rFonts w:cs="Arial"/>
                        <w:color w:val="000000"/>
                        <w:sz w:val="18"/>
                        <w:szCs w:val="18"/>
                      </w:rPr>
                    </w:pPr>
                    <w:r w:rsidRPr="00E1040F">
                      <w:rPr>
                        <w:rFonts w:cs="Arial"/>
                        <w:color w:val="000000"/>
                        <w:sz w:val="18"/>
                        <w:szCs w:val="18"/>
                      </w:rPr>
                      <w:t>5,5</w:t>
                    </w:r>
                  </w:p>
                </w:tc>
                <w:tc>
                  <w:tcPr>
                    <w:tcW w:w="506" w:type="pct"/>
                    <w:tcBorders>
                      <w:top w:val="nil"/>
                      <w:left w:val="nil"/>
                      <w:bottom w:val="nil"/>
                      <w:right w:val="nil"/>
                    </w:tcBorders>
                    <w:shd w:val="clear" w:color="auto" w:fill="auto"/>
                    <w:noWrap/>
                    <w:vAlign w:val="bottom"/>
                    <w:hideMark/>
                  </w:tcPr>
                  <w:p w:rsidRPr="00E1040F" w:rsidR="002318A8" w:rsidRDefault="002318A8" w14:paraId="0CC0252C" w14:textId="77777777">
                    <w:pPr>
                      <w:jc w:val="right"/>
                      <w:rPr>
                        <w:rFonts w:cs="Arial"/>
                        <w:color w:val="000000"/>
                        <w:sz w:val="18"/>
                        <w:szCs w:val="18"/>
                      </w:rPr>
                    </w:pPr>
                    <w:r w:rsidRPr="00E1040F">
                      <w:rPr>
                        <w:rFonts w:cs="Arial"/>
                        <w:color w:val="000000"/>
                        <w:sz w:val="18"/>
                        <w:szCs w:val="18"/>
                      </w:rPr>
                      <w:t>5,5</w:t>
                    </w:r>
                  </w:p>
                </w:tc>
                <w:tc>
                  <w:tcPr>
                    <w:tcW w:w="494" w:type="pct"/>
                    <w:tcBorders>
                      <w:top w:val="nil"/>
                      <w:left w:val="nil"/>
                      <w:bottom w:val="nil"/>
                      <w:right w:val="nil"/>
                    </w:tcBorders>
                    <w:shd w:val="clear" w:color="auto" w:fill="auto"/>
                    <w:noWrap/>
                    <w:vAlign w:val="bottom"/>
                    <w:hideMark/>
                  </w:tcPr>
                  <w:p w:rsidRPr="00E1040F" w:rsidR="002318A8" w:rsidRDefault="002318A8" w14:paraId="425ED14A" w14:textId="77777777">
                    <w:pPr>
                      <w:jc w:val="right"/>
                      <w:rPr>
                        <w:rFonts w:cs="Arial"/>
                        <w:color w:val="000000"/>
                        <w:sz w:val="18"/>
                        <w:szCs w:val="18"/>
                      </w:rPr>
                    </w:pPr>
                    <w:r w:rsidRPr="00E1040F">
                      <w:rPr>
                        <w:rFonts w:cs="Arial"/>
                        <w:color w:val="000000"/>
                        <w:sz w:val="18"/>
                        <w:szCs w:val="18"/>
                      </w:rPr>
                      <w:t>5,7</w:t>
                    </w:r>
                  </w:p>
                </w:tc>
              </w:tr>
              <w:tr w:rsidRPr="00E1040F" w:rsidR="002318A8" w:rsidTr="0092291D" w14:paraId="7E887674"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0DDAA121"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Jeugdwet</w:t>
                    </w:r>
                  </w:p>
                </w:tc>
                <w:tc>
                  <w:tcPr>
                    <w:tcW w:w="506" w:type="pct"/>
                    <w:tcBorders>
                      <w:top w:val="nil"/>
                      <w:left w:val="nil"/>
                      <w:bottom w:val="nil"/>
                      <w:right w:val="nil"/>
                    </w:tcBorders>
                    <w:shd w:val="clear" w:color="auto" w:fill="auto"/>
                    <w:noWrap/>
                    <w:vAlign w:val="bottom"/>
                    <w:hideMark/>
                  </w:tcPr>
                  <w:p w:rsidRPr="00E1040F" w:rsidR="002318A8" w:rsidRDefault="002318A8" w14:paraId="17643247" w14:textId="77777777">
                    <w:pPr>
                      <w:jc w:val="right"/>
                      <w:rPr>
                        <w:rFonts w:cs="Arial"/>
                        <w:color w:val="000000"/>
                        <w:sz w:val="18"/>
                        <w:szCs w:val="18"/>
                      </w:rPr>
                    </w:pPr>
                    <w:r w:rsidRPr="00E1040F">
                      <w:rPr>
                        <w:rFonts w:cs="Arial"/>
                        <w:color w:val="000000"/>
                        <w:sz w:val="18"/>
                        <w:szCs w:val="18"/>
                      </w:rPr>
                      <w:t>0,4</w:t>
                    </w:r>
                  </w:p>
                </w:tc>
                <w:tc>
                  <w:tcPr>
                    <w:tcW w:w="506" w:type="pct"/>
                    <w:tcBorders>
                      <w:top w:val="nil"/>
                      <w:left w:val="nil"/>
                      <w:bottom w:val="nil"/>
                      <w:right w:val="nil"/>
                    </w:tcBorders>
                    <w:shd w:val="clear" w:color="auto" w:fill="auto"/>
                    <w:noWrap/>
                    <w:vAlign w:val="bottom"/>
                    <w:hideMark/>
                  </w:tcPr>
                  <w:p w:rsidRPr="00E1040F" w:rsidR="002318A8" w:rsidRDefault="002318A8" w14:paraId="79E9859D" w14:textId="77777777">
                    <w:pPr>
                      <w:jc w:val="right"/>
                      <w:rPr>
                        <w:rFonts w:cs="Arial"/>
                        <w:color w:val="000000"/>
                        <w:sz w:val="18"/>
                        <w:szCs w:val="18"/>
                      </w:rPr>
                    </w:pPr>
                    <w:r w:rsidRPr="00E1040F">
                      <w:rPr>
                        <w:rFonts w:cs="Arial"/>
                        <w:color w:val="000000"/>
                        <w:sz w:val="18"/>
                        <w:szCs w:val="18"/>
                      </w:rPr>
                      <w:t>0,5</w:t>
                    </w:r>
                  </w:p>
                </w:tc>
                <w:tc>
                  <w:tcPr>
                    <w:tcW w:w="506" w:type="pct"/>
                    <w:tcBorders>
                      <w:top w:val="nil"/>
                      <w:left w:val="nil"/>
                      <w:bottom w:val="nil"/>
                      <w:right w:val="nil"/>
                    </w:tcBorders>
                    <w:shd w:val="clear" w:color="auto" w:fill="auto"/>
                    <w:noWrap/>
                    <w:vAlign w:val="bottom"/>
                    <w:hideMark/>
                  </w:tcPr>
                  <w:p w:rsidRPr="00E1040F" w:rsidR="002318A8" w:rsidRDefault="002318A8" w14:paraId="0EB7BE3E" w14:textId="77777777">
                    <w:pPr>
                      <w:jc w:val="right"/>
                      <w:rPr>
                        <w:rFonts w:cs="Arial"/>
                        <w:color w:val="000000"/>
                        <w:sz w:val="18"/>
                        <w:szCs w:val="18"/>
                      </w:rPr>
                    </w:pPr>
                    <w:r w:rsidRPr="00E1040F">
                      <w:rPr>
                        <w:rFonts w:cs="Arial"/>
                        <w:color w:val="000000"/>
                        <w:sz w:val="18"/>
                        <w:szCs w:val="18"/>
                      </w:rPr>
                      <w:t>0,5</w:t>
                    </w:r>
                  </w:p>
                </w:tc>
                <w:tc>
                  <w:tcPr>
                    <w:tcW w:w="506" w:type="pct"/>
                    <w:tcBorders>
                      <w:top w:val="nil"/>
                      <w:left w:val="nil"/>
                      <w:bottom w:val="nil"/>
                      <w:right w:val="nil"/>
                    </w:tcBorders>
                    <w:shd w:val="clear" w:color="auto" w:fill="auto"/>
                    <w:noWrap/>
                    <w:vAlign w:val="bottom"/>
                    <w:hideMark/>
                  </w:tcPr>
                  <w:p w:rsidRPr="00E1040F" w:rsidR="002318A8" w:rsidRDefault="002318A8" w14:paraId="3A09FAB5" w14:textId="77777777">
                    <w:pPr>
                      <w:jc w:val="right"/>
                      <w:rPr>
                        <w:rFonts w:cs="Arial"/>
                        <w:color w:val="000000"/>
                        <w:sz w:val="18"/>
                        <w:szCs w:val="18"/>
                      </w:rPr>
                    </w:pPr>
                    <w:r w:rsidRPr="00E1040F">
                      <w:rPr>
                        <w:rFonts w:cs="Arial"/>
                        <w:color w:val="000000"/>
                        <w:sz w:val="18"/>
                        <w:szCs w:val="18"/>
                      </w:rPr>
                      <w:t>0,5</w:t>
                    </w:r>
                  </w:p>
                </w:tc>
                <w:tc>
                  <w:tcPr>
                    <w:tcW w:w="506" w:type="pct"/>
                    <w:tcBorders>
                      <w:top w:val="nil"/>
                      <w:left w:val="nil"/>
                      <w:bottom w:val="nil"/>
                      <w:right w:val="nil"/>
                    </w:tcBorders>
                    <w:shd w:val="clear" w:color="auto" w:fill="auto"/>
                    <w:noWrap/>
                    <w:vAlign w:val="bottom"/>
                    <w:hideMark/>
                  </w:tcPr>
                  <w:p w:rsidRPr="00E1040F" w:rsidR="002318A8" w:rsidRDefault="002318A8" w14:paraId="2BE3D5B6" w14:textId="77777777">
                    <w:pPr>
                      <w:jc w:val="right"/>
                      <w:rPr>
                        <w:rFonts w:cs="Arial"/>
                        <w:color w:val="000000"/>
                        <w:sz w:val="18"/>
                        <w:szCs w:val="18"/>
                      </w:rPr>
                    </w:pPr>
                    <w:r w:rsidRPr="00E1040F">
                      <w:rPr>
                        <w:rFonts w:cs="Arial"/>
                        <w:color w:val="000000"/>
                        <w:sz w:val="18"/>
                        <w:szCs w:val="18"/>
                      </w:rPr>
                      <w:t>0,5</w:t>
                    </w:r>
                  </w:p>
                </w:tc>
                <w:tc>
                  <w:tcPr>
                    <w:tcW w:w="494" w:type="pct"/>
                    <w:tcBorders>
                      <w:top w:val="nil"/>
                      <w:left w:val="nil"/>
                      <w:bottom w:val="nil"/>
                      <w:right w:val="nil"/>
                    </w:tcBorders>
                    <w:shd w:val="clear" w:color="auto" w:fill="auto"/>
                    <w:noWrap/>
                    <w:vAlign w:val="bottom"/>
                    <w:hideMark/>
                  </w:tcPr>
                  <w:p w:rsidRPr="00E1040F" w:rsidR="002318A8" w:rsidRDefault="002318A8" w14:paraId="5E8A666E" w14:textId="77777777">
                    <w:pPr>
                      <w:jc w:val="right"/>
                      <w:rPr>
                        <w:rFonts w:cs="Arial"/>
                        <w:color w:val="000000"/>
                        <w:sz w:val="18"/>
                        <w:szCs w:val="18"/>
                      </w:rPr>
                    </w:pPr>
                    <w:r w:rsidRPr="00E1040F">
                      <w:rPr>
                        <w:rFonts w:cs="Arial"/>
                        <w:color w:val="000000"/>
                        <w:sz w:val="18"/>
                        <w:szCs w:val="18"/>
                      </w:rPr>
                      <w:t>0,5</w:t>
                    </w:r>
                  </w:p>
                </w:tc>
              </w:tr>
              <w:tr w:rsidRPr="00E1040F" w:rsidR="002318A8" w:rsidTr="0092291D" w14:paraId="4C08145E"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543540F1"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w:t>
                    </w:r>
                    <w:proofErr w:type="spellStart"/>
                    <w:r w:rsidRPr="00E1040F">
                      <w:rPr>
                        <w:rFonts w:cs="Arial"/>
                        <w:color w:val="000000"/>
                        <w:sz w:val="18"/>
                        <w:szCs w:val="18"/>
                      </w:rPr>
                      <w:t>Wmo</w:t>
                    </w:r>
                    <w:proofErr w:type="spellEnd"/>
                  </w:p>
                </w:tc>
                <w:tc>
                  <w:tcPr>
                    <w:tcW w:w="506" w:type="pct"/>
                    <w:tcBorders>
                      <w:top w:val="nil"/>
                      <w:left w:val="nil"/>
                      <w:bottom w:val="nil"/>
                      <w:right w:val="nil"/>
                    </w:tcBorders>
                    <w:shd w:val="clear" w:color="auto" w:fill="auto"/>
                    <w:noWrap/>
                    <w:vAlign w:val="bottom"/>
                    <w:hideMark/>
                  </w:tcPr>
                  <w:p w:rsidRPr="00E1040F" w:rsidR="002318A8" w:rsidRDefault="002318A8" w14:paraId="1A0940AF" w14:textId="77777777">
                    <w:pPr>
                      <w:jc w:val="right"/>
                      <w:rPr>
                        <w:rFonts w:cs="Arial"/>
                        <w:color w:val="000000"/>
                        <w:sz w:val="18"/>
                        <w:szCs w:val="18"/>
                      </w:rPr>
                    </w:pPr>
                    <w:r w:rsidRPr="00E1040F">
                      <w:rPr>
                        <w:rFonts w:cs="Arial"/>
                        <w:color w:val="000000"/>
                        <w:sz w:val="18"/>
                        <w:szCs w:val="18"/>
                      </w:rPr>
                      <w:t>0,7</w:t>
                    </w:r>
                  </w:p>
                </w:tc>
                <w:tc>
                  <w:tcPr>
                    <w:tcW w:w="506" w:type="pct"/>
                    <w:tcBorders>
                      <w:top w:val="nil"/>
                      <w:left w:val="nil"/>
                      <w:bottom w:val="nil"/>
                      <w:right w:val="nil"/>
                    </w:tcBorders>
                    <w:shd w:val="clear" w:color="auto" w:fill="auto"/>
                    <w:noWrap/>
                    <w:vAlign w:val="bottom"/>
                    <w:hideMark/>
                  </w:tcPr>
                  <w:p w:rsidRPr="00E1040F" w:rsidR="002318A8" w:rsidRDefault="002318A8" w14:paraId="700338F6" w14:textId="77777777">
                    <w:pPr>
                      <w:jc w:val="right"/>
                      <w:rPr>
                        <w:rFonts w:cs="Arial"/>
                        <w:color w:val="000000"/>
                        <w:sz w:val="18"/>
                        <w:szCs w:val="18"/>
                      </w:rPr>
                    </w:pPr>
                    <w:r w:rsidRPr="00E1040F">
                      <w:rPr>
                        <w:rFonts w:cs="Arial"/>
                        <w:color w:val="000000"/>
                        <w:sz w:val="18"/>
                        <w:szCs w:val="18"/>
                      </w:rPr>
                      <w:t>0,7</w:t>
                    </w:r>
                  </w:p>
                </w:tc>
                <w:tc>
                  <w:tcPr>
                    <w:tcW w:w="506" w:type="pct"/>
                    <w:tcBorders>
                      <w:top w:val="nil"/>
                      <w:left w:val="nil"/>
                      <w:bottom w:val="nil"/>
                      <w:right w:val="nil"/>
                    </w:tcBorders>
                    <w:shd w:val="clear" w:color="auto" w:fill="auto"/>
                    <w:noWrap/>
                    <w:vAlign w:val="bottom"/>
                    <w:hideMark/>
                  </w:tcPr>
                  <w:p w:rsidRPr="00E1040F" w:rsidR="002318A8" w:rsidRDefault="002318A8" w14:paraId="46AD28D5" w14:textId="77777777">
                    <w:pPr>
                      <w:jc w:val="right"/>
                      <w:rPr>
                        <w:rFonts w:cs="Arial"/>
                        <w:color w:val="000000"/>
                        <w:sz w:val="18"/>
                        <w:szCs w:val="18"/>
                      </w:rPr>
                    </w:pPr>
                    <w:r w:rsidRPr="00E1040F">
                      <w:rPr>
                        <w:rFonts w:cs="Arial"/>
                        <w:color w:val="000000"/>
                        <w:sz w:val="18"/>
                        <w:szCs w:val="18"/>
                      </w:rPr>
                      <w:t>0,7</w:t>
                    </w:r>
                  </w:p>
                </w:tc>
                <w:tc>
                  <w:tcPr>
                    <w:tcW w:w="506" w:type="pct"/>
                    <w:tcBorders>
                      <w:top w:val="nil"/>
                      <w:left w:val="nil"/>
                      <w:bottom w:val="nil"/>
                      <w:right w:val="nil"/>
                    </w:tcBorders>
                    <w:shd w:val="clear" w:color="auto" w:fill="auto"/>
                    <w:noWrap/>
                    <w:vAlign w:val="bottom"/>
                    <w:hideMark/>
                  </w:tcPr>
                  <w:p w:rsidRPr="00E1040F" w:rsidR="002318A8" w:rsidRDefault="002318A8" w14:paraId="7C0449C5" w14:textId="77777777">
                    <w:pPr>
                      <w:jc w:val="right"/>
                      <w:rPr>
                        <w:rFonts w:cs="Arial"/>
                        <w:color w:val="000000"/>
                        <w:sz w:val="18"/>
                        <w:szCs w:val="18"/>
                      </w:rPr>
                    </w:pPr>
                    <w:r w:rsidRPr="00E1040F">
                      <w:rPr>
                        <w:rFonts w:cs="Arial"/>
                        <w:color w:val="000000"/>
                        <w:sz w:val="18"/>
                        <w:szCs w:val="18"/>
                      </w:rPr>
                      <w:t>0,7</w:t>
                    </w:r>
                  </w:p>
                </w:tc>
                <w:tc>
                  <w:tcPr>
                    <w:tcW w:w="506" w:type="pct"/>
                    <w:tcBorders>
                      <w:top w:val="nil"/>
                      <w:left w:val="nil"/>
                      <w:bottom w:val="nil"/>
                      <w:right w:val="nil"/>
                    </w:tcBorders>
                    <w:shd w:val="clear" w:color="auto" w:fill="auto"/>
                    <w:noWrap/>
                    <w:vAlign w:val="bottom"/>
                    <w:hideMark/>
                  </w:tcPr>
                  <w:p w:rsidRPr="00E1040F" w:rsidR="002318A8" w:rsidRDefault="002318A8" w14:paraId="4B8EF4F7" w14:textId="77777777">
                    <w:pPr>
                      <w:jc w:val="right"/>
                      <w:rPr>
                        <w:rFonts w:cs="Arial"/>
                        <w:color w:val="000000"/>
                        <w:sz w:val="18"/>
                        <w:szCs w:val="18"/>
                      </w:rPr>
                    </w:pPr>
                    <w:r w:rsidRPr="00E1040F">
                      <w:rPr>
                        <w:rFonts w:cs="Arial"/>
                        <w:color w:val="000000"/>
                        <w:sz w:val="18"/>
                        <w:szCs w:val="18"/>
                      </w:rPr>
                      <w:t>0,7</w:t>
                    </w:r>
                  </w:p>
                </w:tc>
                <w:tc>
                  <w:tcPr>
                    <w:tcW w:w="494" w:type="pct"/>
                    <w:tcBorders>
                      <w:top w:val="nil"/>
                      <w:left w:val="nil"/>
                      <w:bottom w:val="nil"/>
                      <w:right w:val="nil"/>
                    </w:tcBorders>
                    <w:shd w:val="clear" w:color="auto" w:fill="auto"/>
                    <w:noWrap/>
                    <w:vAlign w:val="bottom"/>
                    <w:hideMark/>
                  </w:tcPr>
                  <w:p w:rsidRPr="00E1040F" w:rsidR="002318A8" w:rsidRDefault="002318A8" w14:paraId="46587EDF" w14:textId="77777777">
                    <w:pPr>
                      <w:jc w:val="right"/>
                      <w:rPr>
                        <w:rFonts w:cs="Arial"/>
                        <w:color w:val="000000"/>
                        <w:sz w:val="18"/>
                        <w:szCs w:val="18"/>
                      </w:rPr>
                    </w:pPr>
                    <w:r w:rsidRPr="00E1040F">
                      <w:rPr>
                        <w:rFonts w:cs="Arial"/>
                        <w:color w:val="000000"/>
                        <w:sz w:val="18"/>
                        <w:szCs w:val="18"/>
                      </w:rPr>
                      <w:t>0,8</w:t>
                    </w:r>
                  </w:p>
                </w:tc>
              </w:tr>
              <w:tr w:rsidRPr="00E1040F" w:rsidR="002318A8" w:rsidTr="0092291D" w14:paraId="3867F1BE"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6D022E71"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Overig</w:t>
                    </w:r>
                  </w:p>
                </w:tc>
                <w:tc>
                  <w:tcPr>
                    <w:tcW w:w="506" w:type="pct"/>
                    <w:tcBorders>
                      <w:top w:val="nil"/>
                      <w:left w:val="nil"/>
                      <w:bottom w:val="nil"/>
                      <w:right w:val="nil"/>
                    </w:tcBorders>
                    <w:shd w:val="clear" w:color="auto" w:fill="auto"/>
                    <w:noWrap/>
                    <w:vAlign w:val="bottom"/>
                    <w:hideMark/>
                  </w:tcPr>
                  <w:p w:rsidRPr="00E1040F" w:rsidR="002318A8" w:rsidRDefault="002318A8" w14:paraId="07BC8C28" w14:textId="77777777">
                    <w:pPr>
                      <w:jc w:val="right"/>
                      <w:rPr>
                        <w:rFonts w:cs="Arial"/>
                        <w:color w:val="000000"/>
                        <w:sz w:val="18"/>
                        <w:szCs w:val="18"/>
                      </w:rPr>
                    </w:pPr>
                    <w:r w:rsidRPr="00E1040F">
                      <w:rPr>
                        <w:rFonts w:cs="Arial"/>
                        <w:color w:val="000000"/>
                        <w:sz w:val="18"/>
                        <w:szCs w:val="18"/>
                      </w:rPr>
                      <w:t>0,2</w:t>
                    </w:r>
                  </w:p>
                </w:tc>
                <w:tc>
                  <w:tcPr>
                    <w:tcW w:w="506" w:type="pct"/>
                    <w:tcBorders>
                      <w:top w:val="nil"/>
                      <w:left w:val="nil"/>
                      <w:bottom w:val="nil"/>
                      <w:right w:val="nil"/>
                    </w:tcBorders>
                    <w:shd w:val="clear" w:color="auto" w:fill="auto"/>
                    <w:noWrap/>
                    <w:vAlign w:val="bottom"/>
                    <w:hideMark/>
                  </w:tcPr>
                  <w:p w:rsidRPr="00E1040F" w:rsidR="002318A8" w:rsidRDefault="002318A8" w14:paraId="67598B9B" w14:textId="77777777">
                    <w:pPr>
                      <w:jc w:val="right"/>
                      <w:rPr>
                        <w:rFonts w:cs="Arial"/>
                        <w:color w:val="000000"/>
                        <w:sz w:val="18"/>
                        <w:szCs w:val="18"/>
                      </w:rPr>
                    </w:pPr>
                    <w:r w:rsidRPr="00E1040F">
                      <w:rPr>
                        <w:rFonts w:cs="Arial"/>
                        <w:color w:val="000000"/>
                        <w:sz w:val="18"/>
                        <w:szCs w:val="18"/>
                      </w:rPr>
                      <w:t>0,2</w:t>
                    </w:r>
                  </w:p>
                </w:tc>
                <w:tc>
                  <w:tcPr>
                    <w:tcW w:w="506" w:type="pct"/>
                    <w:tcBorders>
                      <w:top w:val="nil"/>
                      <w:left w:val="nil"/>
                      <w:bottom w:val="nil"/>
                      <w:right w:val="nil"/>
                    </w:tcBorders>
                    <w:shd w:val="clear" w:color="auto" w:fill="auto"/>
                    <w:noWrap/>
                    <w:vAlign w:val="bottom"/>
                    <w:hideMark/>
                  </w:tcPr>
                  <w:p w:rsidRPr="00E1040F" w:rsidR="002318A8" w:rsidRDefault="002318A8" w14:paraId="714DB889" w14:textId="77777777">
                    <w:pPr>
                      <w:jc w:val="right"/>
                      <w:rPr>
                        <w:rFonts w:cs="Arial"/>
                        <w:color w:val="000000"/>
                        <w:sz w:val="18"/>
                        <w:szCs w:val="18"/>
                      </w:rPr>
                    </w:pPr>
                    <w:r w:rsidRPr="00E1040F">
                      <w:rPr>
                        <w:rFonts w:cs="Arial"/>
                        <w:color w:val="000000"/>
                        <w:sz w:val="18"/>
                        <w:szCs w:val="18"/>
                      </w:rPr>
                      <w:t>0,2</w:t>
                    </w:r>
                  </w:p>
                </w:tc>
                <w:tc>
                  <w:tcPr>
                    <w:tcW w:w="506" w:type="pct"/>
                    <w:tcBorders>
                      <w:top w:val="nil"/>
                      <w:left w:val="nil"/>
                      <w:bottom w:val="nil"/>
                      <w:right w:val="nil"/>
                    </w:tcBorders>
                    <w:shd w:val="clear" w:color="auto" w:fill="auto"/>
                    <w:noWrap/>
                    <w:vAlign w:val="bottom"/>
                    <w:hideMark/>
                  </w:tcPr>
                  <w:p w:rsidRPr="00E1040F" w:rsidR="002318A8" w:rsidRDefault="002318A8" w14:paraId="4DAD49F1" w14:textId="77777777">
                    <w:pPr>
                      <w:jc w:val="right"/>
                      <w:rPr>
                        <w:rFonts w:cs="Arial"/>
                        <w:color w:val="000000"/>
                        <w:sz w:val="18"/>
                        <w:szCs w:val="18"/>
                      </w:rPr>
                    </w:pPr>
                    <w:r w:rsidRPr="00E1040F">
                      <w:rPr>
                        <w:rFonts w:cs="Arial"/>
                        <w:color w:val="000000"/>
                        <w:sz w:val="18"/>
                        <w:szCs w:val="18"/>
                      </w:rPr>
                      <w:t>0,2</w:t>
                    </w:r>
                  </w:p>
                </w:tc>
                <w:tc>
                  <w:tcPr>
                    <w:tcW w:w="506" w:type="pct"/>
                    <w:tcBorders>
                      <w:top w:val="nil"/>
                      <w:left w:val="nil"/>
                      <w:bottom w:val="nil"/>
                      <w:right w:val="nil"/>
                    </w:tcBorders>
                    <w:shd w:val="clear" w:color="auto" w:fill="auto"/>
                    <w:noWrap/>
                    <w:vAlign w:val="bottom"/>
                    <w:hideMark/>
                  </w:tcPr>
                  <w:p w:rsidRPr="00E1040F" w:rsidR="002318A8" w:rsidRDefault="002318A8" w14:paraId="0BFA8B3B" w14:textId="77777777">
                    <w:pPr>
                      <w:jc w:val="right"/>
                      <w:rPr>
                        <w:rFonts w:cs="Arial"/>
                        <w:color w:val="000000"/>
                        <w:sz w:val="18"/>
                        <w:szCs w:val="18"/>
                      </w:rPr>
                    </w:pPr>
                    <w:r w:rsidRPr="00E1040F">
                      <w:rPr>
                        <w:rFonts w:cs="Arial"/>
                        <w:color w:val="000000"/>
                        <w:sz w:val="18"/>
                        <w:szCs w:val="18"/>
                      </w:rPr>
                      <w:t>0,2</w:t>
                    </w:r>
                  </w:p>
                </w:tc>
                <w:tc>
                  <w:tcPr>
                    <w:tcW w:w="494" w:type="pct"/>
                    <w:tcBorders>
                      <w:top w:val="nil"/>
                      <w:left w:val="nil"/>
                      <w:bottom w:val="nil"/>
                      <w:right w:val="nil"/>
                    </w:tcBorders>
                    <w:shd w:val="clear" w:color="auto" w:fill="auto"/>
                    <w:noWrap/>
                    <w:vAlign w:val="bottom"/>
                    <w:hideMark/>
                  </w:tcPr>
                  <w:p w:rsidRPr="00E1040F" w:rsidR="002318A8" w:rsidRDefault="002318A8" w14:paraId="25BC0065" w14:textId="77777777">
                    <w:pPr>
                      <w:jc w:val="right"/>
                      <w:rPr>
                        <w:rFonts w:cs="Arial"/>
                        <w:color w:val="000000"/>
                        <w:sz w:val="18"/>
                        <w:szCs w:val="18"/>
                      </w:rPr>
                    </w:pPr>
                    <w:r w:rsidRPr="00E1040F">
                      <w:rPr>
                        <w:rFonts w:cs="Arial"/>
                        <w:color w:val="000000"/>
                        <w:sz w:val="18"/>
                        <w:szCs w:val="18"/>
                      </w:rPr>
                      <w:t>0,2</w:t>
                    </w:r>
                  </w:p>
                </w:tc>
              </w:tr>
              <w:tr w:rsidRPr="00E1040F" w:rsidR="002318A8" w:rsidTr="0092291D" w14:paraId="338A1312"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06B1D1B4" w14:textId="77777777">
                    <w:pPr>
                      <w:rPr>
                        <w:rFonts w:cs="Arial"/>
                        <w:color w:val="000000"/>
                        <w:sz w:val="18"/>
                        <w:szCs w:val="18"/>
                      </w:rPr>
                    </w:pPr>
                    <w:r w:rsidRPr="00E1040F">
                      <w:rPr>
                        <w:rFonts w:cs="Arial"/>
                        <w:color w:val="000000"/>
                        <w:sz w:val="18"/>
                        <w:szCs w:val="18"/>
                      </w:rPr>
                      <w:t>Sociale zekerheid</w:t>
                    </w:r>
                  </w:p>
                </w:tc>
                <w:tc>
                  <w:tcPr>
                    <w:tcW w:w="506" w:type="pct"/>
                    <w:tcBorders>
                      <w:top w:val="nil"/>
                      <w:left w:val="nil"/>
                      <w:bottom w:val="nil"/>
                      <w:right w:val="nil"/>
                    </w:tcBorders>
                    <w:shd w:val="clear" w:color="auto" w:fill="auto"/>
                    <w:noWrap/>
                    <w:vAlign w:val="bottom"/>
                    <w:hideMark/>
                  </w:tcPr>
                  <w:p w:rsidRPr="00E1040F" w:rsidR="002318A8" w:rsidRDefault="002318A8" w14:paraId="6EC6AB66" w14:textId="77777777">
                    <w:pPr>
                      <w:jc w:val="right"/>
                      <w:rPr>
                        <w:rFonts w:cs="Arial"/>
                        <w:color w:val="000000"/>
                        <w:sz w:val="18"/>
                        <w:szCs w:val="18"/>
                      </w:rPr>
                    </w:pPr>
                    <w:r w:rsidRPr="00E1040F">
                      <w:rPr>
                        <w:rFonts w:cs="Arial"/>
                        <w:color w:val="000000"/>
                        <w:sz w:val="18"/>
                        <w:szCs w:val="18"/>
                      </w:rPr>
                      <w:t>12,3</w:t>
                    </w:r>
                  </w:p>
                </w:tc>
                <w:tc>
                  <w:tcPr>
                    <w:tcW w:w="506" w:type="pct"/>
                    <w:tcBorders>
                      <w:top w:val="nil"/>
                      <w:left w:val="nil"/>
                      <w:bottom w:val="nil"/>
                      <w:right w:val="nil"/>
                    </w:tcBorders>
                    <w:shd w:val="clear" w:color="auto" w:fill="auto"/>
                    <w:noWrap/>
                    <w:vAlign w:val="bottom"/>
                    <w:hideMark/>
                  </w:tcPr>
                  <w:p w:rsidRPr="00E1040F" w:rsidR="002318A8" w:rsidRDefault="002318A8" w14:paraId="56AA4D0F" w14:textId="77777777">
                    <w:pPr>
                      <w:jc w:val="right"/>
                      <w:rPr>
                        <w:rFonts w:cs="Arial"/>
                        <w:color w:val="000000"/>
                        <w:sz w:val="18"/>
                        <w:szCs w:val="18"/>
                      </w:rPr>
                    </w:pPr>
                    <w:r w:rsidRPr="00E1040F">
                      <w:rPr>
                        <w:rFonts w:cs="Arial"/>
                        <w:color w:val="000000"/>
                        <w:sz w:val="18"/>
                        <w:szCs w:val="18"/>
                      </w:rPr>
                      <w:t>12,3</w:t>
                    </w:r>
                  </w:p>
                </w:tc>
                <w:tc>
                  <w:tcPr>
                    <w:tcW w:w="506" w:type="pct"/>
                    <w:tcBorders>
                      <w:top w:val="nil"/>
                      <w:left w:val="nil"/>
                      <w:bottom w:val="nil"/>
                      <w:right w:val="nil"/>
                    </w:tcBorders>
                    <w:shd w:val="clear" w:color="auto" w:fill="auto"/>
                    <w:noWrap/>
                    <w:vAlign w:val="bottom"/>
                    <w:hideMark/>
                  </w:tcPr>
                  <w:p w:rsidRPr="00E1040F" w:rsidR="002318A8" w:rsidRDefault="002318A8" w14:paraId="5E5B0C98" w14:textId="77777777">
                    <w:pPr>
                      <w:jc w:val="right"/>
                      <w:rPr>
                        <w:rFonts w:cs="Arial"/>
                        <w:color w:val="000000"/>
                        <w:sz w:val="18"/>
                        <w:szCs w:val="18"/>
                      </w:rPr>
                    </w:pPr>
                    <w:r w:rsidRPr="00E1040F">
                      <w:rPr>
                        <w:rFonts w:cs="Arial"/>
                        <w:color w:val="000000"/>
                        <w:sz w:val="18"/>
                        <w:szCs w:val="18"/>
                      </w:rPr>
                      <w:t>13,0</w:t>
                    </w:r>
                  </w:p>
                </w:tc>
                <w:tc>
                  <w:tcPr>
                    <w:tcW w:w="506" w:type="pct"/>
                    <w:tcBorders>
                      <w:top w:val="nil"/>
                      <w:left w:val="nil"/>
                      <w:bottom w:val="nil"/>
                      <w:right w:val="nil"/>
                    </w:tcBorders>
                    <w:shd w:val="clear" w:color="auto" w:fill="auto"/>
                    <w:noWrap/>
                    <w:vAlign w:val="bottom"/>
                    <w:hideMark/>
                  </w:tcPr>
                  <w:p w:rsidRPr="00E1040F" w:rsidR="002318A8" w:rsidRDefault="002318A8" w14:paraId="65FEFC62" w14:textId="77777777">
                    <w:pPr>
                      <w:jc w:val="right"/>
                      <w:rPr>
                        <w:rFonts w:cs="Arial"/>
                        <w:color w:val="000000"/>
                        <w:sz w:val="18"/>
                        <w:szCs w:val="18"/>
                      </w:rPr>
                    </w:pPr>
                    <w:r w:rsidRPr="00E1040F">
                      <w:rPr>
                        <w:rFonts w:cs="Arial"/>
                        <w:color w:val="000000"/>
                        <w:sz w:val="18"/>
                        <w:szCs w:val="18"/>
                      </w:rPr>
                      <w:t>12,7</w:t>
                    </w:r>
                  </w:p>
                </w:tc>
                <w:tc>
                  <w:tcPr>
                    <w:tcW w:w="506" w:type="pct"/>
                    <w:tcBorders>
                      <w:top w:val="nil"/>
                      <w:left w:val="nil"/>
                      <w:bottom w:val="nil"/>
                      <w:right w:val="nil"/>
                    </w:tcBorders>
                    <w:shd w:val="clear" w:color="auto" w:fill="auto"/>
                    <w:noWrap/>
                    <w:vAlign w:val="bottom"/>
                    <w:hideMark/>
                  </w:tcPr>
                  <w:p w:rsidRPr="00E1040F" w:rsidR="002318A8" w:rsidRDefault="002318A8" w14:paraId="02251B4A" w14:textId="77777777">
                    <w:pPr>
                      <w:jc w:val="right"/>
                      <w:rPr>
                        <w:rFonts w:cs="Arial"/>
                        <w:color w:val="000000"/>
                        <w:sz w:val="18"/>
                        <w:szCs w:val="18"/>
                      </w:rPr>
                    </w:pPr>
                    <w:r w:rsidRPr="00E1040F">
                      <w:rPr>
                        <w:rFonts w:cs="Arial"/>
                        <w:color w:val="000000"/>
                        <w:sz w:val="18"/>
                        <w:szCs w:val="18"/>
                      </w:rPr>
                      <w:t>12,6</w:t>
                    </w:r>
                  </w:p>
                </w:tc>
                <w:tc>
                  <w:tcPr>
                    <w:tcW w:w="494" w:type="pct"/>
                    <w:tcBorders>
                      <w:top w:val="nil"/>
                      <w:left w:val="nil"/>
                      <w:bottom w:val="nil"/>
                      <w:right w:val="nil"/>
                    </w:tcBorders>
                    <w:shd w:val="clear" w:color="auto" w:fill="auto"/>
                    <w:noWrap/>
                    <w:vAlign w:val="bottom"/>
                    <w:hideMark/>
                  </w:tcPr>
                  <w:p w:rsidRPr="00E1040F" w:rsidR="002318A8" w:rsidRDefault="002318A8" w14:paraId="649497A2" w14:textId="77777777">
                    <w:pPr>
                      <w:jc w:val="right"/>
                      <w:rPr>
                        <w:rFonts w:cs="Arial"/>
                        <w:color w:val="000000"/>
                        <w:sz w:val="18"/>
                        <w:szCs w:val="18"/>
                      </w:rPr>
                    </w:pPr>
                    <w:r w:rsidRPr="00E1040F">
                      <w:rPr>
                        <w:rFonts w:cs="Arial"/>
                        <w:color w:val="000000"/>
                        <w:sz w:val="18"/>
                        <w:szCs w:val="18"/>
                      </w:rPr>
                      <w:t>13,1</w:t>
                    </w:r>
                  </w:p>
                </w:tc>
              </w:tr>
              <w:tr w:rsidRPr="00E1040F" w:rsidR="002318A8" w:rsidTr="0092291D" w14:paraId="68BCD721"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530A75A0" w14:textId="77777777">
                    <w:pPr>
                      <w:rPr>
                        <w:rFonts w:cs="Arial"/>
                        <w:color w:val="000000"/>
                        <w:sz w:val="18"/>
                        <w:szCs w:val="18"/>
                      </w:rPr>
                    </w:pPr>
                    <w:proofErr w:type="spellStart"/>
                    <w:r w:rsidRPr="00E1040F">
                      <w:rPr>
                        <w:rFonts w:cs="Arial"/>
                        <w:color w:val="000000"/>
                        <w:sz w:val="18"/>
                        <w:szCs w:val="18"/>
                      </w:rPr>
                      <w:t>w.v</w:t>
                    </w:r>
                    <w:proofErr w:type="spellEnd"/>
                    <w:r w:rsidRPr="00E1040F">
                      <w:rPr>
                        <w:rFonts w:cs="Arial"/>
                        <w:color w:val="000000"/>
                        <w:sz w:val="18"/>
                        <w:szCs w:val="18"/>
                      </w:rPr>
                      <w:t>. AOW/</w:t>
                    </w:r>
                    <w:proofErr w:type="spellStart"/>
                    <w:r w:rsidRPr="00E1040F">
                      <w:rPr>
                        <w:rFonts w:cs="Arial"/>
                        <w:color w:val="000000"/>
                        <w:sz w:val="18"/>
                        <w:szCs w:val="18"/>
                      </w:rPr>
                      <w:t>Anw</w:t>
                    </w:r>
                    <w:proofErr w:type="spellEnd"/>
                  </w:p>
                </w:tc>
                <w:tc>
                  <w:tcPr>
                    <w:tcW w:w="506" w:type="pct"/>
                    <w:tcBorders>
                      <w:top w:val="nil"/>
                      <w:left w:val="nil"/>
                      <w:bottom w:val="nil"/>
                      <w:right w:val="nil"/>
                    </w:tcBorders>
                    <w:shd w:val="clear" w:color="auto" w:fill="auto"/>
                    <w:noWrap/>
                    <w:vAlign w:val="bottom"/>
                    <w:hideMark/>
                  </w:tcPr>
                  <w:p w:rsidRPr="00E1040F" w:rsidR="002318A8" w:rsidRDefault="002318A8" w14:paraId="534F5E08" w14:textId="77777777">
                    <w:pPr>
                      <w:jc w:val="right"/>
                      <w:rPr>
                        <w:rFonts w:cs="Arial"/>
                        <w:color w:val="000000"/>
                        <w:sz w:val="18"/>
                        <w:szCs w:val="18"/>
                      </w:rPr>
                    </w:pPr>
                    <w:r w:rsidRPr="00E1040F">
                      <w:rPr>
                        <w:rFonts w:cs="Arial"/>
                        <w:color w:val="000000"/>
                        <w:sz w:val="18"/>
                        <w:szCs w:val="18"/>
                      </w:rPr>
                      <w:t>4,6</w:t>
                    </w:r>
                  </w:p>
                </w:tc>
                <w:tc>
                  <w:tcPr>
                    <w:tcW w:w="506" w:type="pct"/>
                    <w:tcBorders>
                      <w:top w:val="nil"/>
                      <w:left w:val="nil"/>
                      <w:bottom w:val="nil"/>
                      <w:right w:val="nil"/>
                    </w:tcBorders>
                    <w:shd w:val="clear" w:color="auto" w:fill="auto"/>
                    <w:noWrap/>
                    <w:vAlign w:val="bottom"/>
                    <w:hideMark/>
                  </w:tcPr>
                  <w:p w:rsidRPr="00E1040F" w:rsidR="002318A8" w:rsidRDefault="002318A8" w14:paraId="26D729C1" w14:textId="77777777">
                    <w:pPr>
                      <w:jc w:val="right"/>
                      <w:rPr>
                        <w:rFonts w:cs="Arial"/>
                        <w:color w:val="000000"/>
                        <w:sz w:val="18"/>
                        <w:szCs w:val="18"/>
                      </w:rPr>
                    </w:pPr>
                    <w:r w:rsidRPr="00E1040F">
                      <w:rPr>
                        <w:rFonts w:cs="Arial"/>
                        <w:color w:val="000000"/>
                        <w:sz w:val="18"/>
                        <w:szCs w:val="18"/>
                      </w:rPr>
                      <w:t>4,7</w:t>
                    </w:r>
                  </w:p>
                </w:tc>
                <w:tc>
                  <w:tcPr>
                    <w:tcW w:w="506" w:type="pct"/>
                    <w:tcBorders>
                      <w:top w:val="nil"/>
                      <w:left w:val="nil"/>
                      <w:bottom w:val="nil"/>
                      <w:right w:val="nil"/>
                    </w:tcBorders>
                    <w:shd w:val="clear" w:color="auto" w:fill="auto"/>
                    <w:noWrap/>
                    <w:vAlign w:val="bottom"/>
                    <w:hideMark/>
                  </w:tcPr>
                  <w:p w:rsidRPr="00E1040F" w:rsidR="002318A8" w:rsidRDefault="002318A8" w14:paraId="2769AA94" w14:textId="77777777">
                    <w:pPr>
                      <w:jc w:val="right"/>
                      <w:rPr>
                        <w:rFonts w:cs="Arial"/>
                        <w:color w:val="000000"/>
                        <w:sz w:val="18"/>
                        <w:szCs w:val="18"/>
                      </w:rPr>
                    </w:pPr>
                    <w:r w:rsidRPr="00E1040F">
                      <w:rPr>
                        <w:rFonts w:cs="Arial"/>
                        <w:color w:val="000000"/>
                        <w:sz w:val="18"/>
                        <w:szCs w:val="18"/>
                      </w:rPr>
                      <w:t>4,7</w:t>
                    </w:r>
                  </w:p>
                </w:tc>
                <w:tc>
                  <w:tcPr>
                    <w:tcW w:w="506" w:type="pct"/>
                    <w:tcBorders>
                      <w:top w:val="nil"/>
                      <w:left w:val="nil"/>
                      <w:bottom w:val="nil"/>
                      <w:right w:val="nil"/>
                    </w:tcBorders>
                    <w:shd w:val="clear" w:color="auto" w:fill="auto"/>
                    <w:noWrap/>
                    <w:vAlign w:val="bottom"/>
                    <w:hideMark/>
                  </w:tcPr>
                  <w:p w:rsidRPr="00E1040F" w:rsidR="002318A8" w:rsidRDefault="002318A8" w14:paraId="1BC1C4F6" w14:textId="77777777">
                    <w:pPr>
                      <w:jc w:val="right"/>
                      <w:rPr>
                        <w:rFonts w:cs="Arial"/>
                        <w:color w:val="000000"/>
                        <w:sz w:val="18"/>
                        <w:szCs w:val="18"/>
                      </w:rPr>
                    </w:pPr>
                    <w:r w:rsidRPr="00E1040F">
                      <w:rPr>
                        <w:rFonts w:cs="Arial"/>
                        <w:color w:val="000000"/>
                        <w:sz w:val="18"/>
                        <w:szCs w:val="18"/>
                      </w:rPr>
                      <w:t>4,8</w:t>
                    </w:r>
                  </w:p>
                </w:tc>
                <w:tc>
                  <w:tcPr>
                    <w:tcW w:w="506" w:type="pct"/>
                    <w:tcBorders>
                      <w:top w:val="nil"/>
                      <w:left w:val="nil"/>
                      <w:bottom w:val="nil"/>
                      <w:right w:val="nil"/>
                    </w:tcBorders>
                    <w:shd w:val="clear" w:color="auto" w:fill="auto"/>
                    <w:noWrap/>
                    <w:vAlign w:val="bottom"/>
                    <w:hideMark/>
                  </w:tcPr>
                  <w:p w:rsidRPr="00E1040F" w:rsidR="002318A8" w:rsidRDefault="002318A8" w14:paraId="73ADD8FF" w14:textId="77777777">
                    <w:pPr>
                      <w:jc w:val="right"/>
                      <w:rPr>
                        <w:rFonts w:cs="Arial"/>
                        <w:color w:val="000000"/>
                        <w:sz w:val="18"/>
                        <w:szCs w:val="18"/>
                      </w:rPr>
                    </w:pPr>
                    <w:r w:rsidRPr="00E1040F">
                      <w:rPr>
                        <w:rFonts w:cs="Arial"/>
                        <w:color w:val="000000"/>
                        <w:sz w:val="18"/>
                        <w:szCs w:val="18"/>
                      </w:rPr>
                      <w:t>4,8</w:t>
                    </w:r>
                  </w:p>
                </w:tc>
                <w:tc>
                  <w:tcPr>
                    <w:tcW w:w="494" w:type="pct"/>
                    <w:tcBorders>
                      <w:top w:val="nil"/>
                      <w:left w:val="nil"/>
                      <w:bottom w:val="nil"/>
                      <w:right w:val="nil"/>
                    </w:tcBorders>
                    <w:shd w:val="clear" w:color="auto" w:fill="auto"/>
                    <w:noWrap/>
                    <w:vAlign w:val="bottom"/>
                    <w:hideMark/>
                  </w:tcPr>
                  <w:p w:rsidRPr="00E1040F" w:rsidR="002318A8" w:rsidRDefault="002318A8" w14:paraId="6F6AA159" w14:textId="77777777">
                    <w:pPr>
                      <w:jc w:val="right"/>
                      <w:rPr>
                        <w:rFonts w:cs="Arial"/>
                        <w:color w:val="000000"/>
                        <w:sz w:val="18"/>
                        <w:szCs w:val="18"/>
                      </w:rPr>
                    </w:pPr>
                    <w:r w:rsidRPr="00E1040F">
                      <w:rPr>
                        <w:rFonts w:cs="Arial"/>
                        <w:color w:val="000000"/>
                        <w:sz w:val="18"/>
                        <w:szCs w:val="18"/>
                      </w:rPr>
                      <w:t>5,3</w:t>
                    </w:r>
                  </w:p>
                </w:tc>
              </w:tr>
              <w:tr w:rsidRPr="00E1040F" w:rsidR="002318A8" w:rsidTr="0092291D" w14:paraId="1D6328CE"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2F95FA4F"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WW en bijstand</w:t>
                    </w:r>
                  </w:p>
                </w:tc>
                <w:tc>
                  <w:tcPr>
                    <w:tcW w:w="506" w:type="pct"/>
                    <w:tcBorders>
                      <w:top w:val="nil"/>
                      <w:left w:val="nil"/>
                      <w:bottom w:val="nil"/>
                      <w:right w:val="nil"/>
                    </w:tcBorders>
                    <w:shd w:val="clear" w:color="auto" w:fill="auto"/>
                    <w:noWrap/>
                    <w:vAlign w:val="bottom"/>
                    <w:hideMark/>
                  </w:tcPr>
                  <w:p w:rsidRPr="00E1040F" w:rsidR="002318A8" w:rsidRDefault="002318A8" w14:paraId="27B08311" w14:textId="77777777">
                    <w:pPr>
                      <w:jc w:val="right"/>
                      <w:rPr>
                        <w:rFonts w:cs="Arial"/>
                        <w:color w:val="000000"/>
                        <w:sz w:val="18"/>
                        <w:szCs w:val="18"/>
                      </w:rPr>
                    </w:pPr>
                    <w:r w:rsidRPr="00E1040F">
                      <w:rPr>
                        <w:rFonts w:cs="Arial"/>
                        <w:color w:val="000000"/>
                        <w:sz w:val="18"/>
                        <w:szCs w:val="18"/>
                      </w:rPr>
                      <w:t>1,1</w:t>
                    </w:r>
                  </w:p>
                </w:tc>
                <w:tc>
                  <w:tcPr>
                    <w:tcW w:w="506" w:type="pct"/>
                    <w:tcBorders>
                      <w:top w:val="nil"/>
                      <w:left w:val="nil"/>
                      <w:bottom w:val="nil"/>
                      <w:right w:val="nil"/>
                    </w:tcBorders>
                    <w:shd w:val="clear" w:color="auto" w:fill="auto"/>
                    <w:noWrap/>
                    <w:vAlign w:val="bottom"/>
                    <w:hideMark/>
                  </w:tcPr>
                  <w:p w:rsidRPr="00E1040F" w:rsidR="002318A8" w:rsidRDefault="002318A8" w14:paraId="39A0D8E6" w14:textId="77777777">
                    <w:pPr>
                      <w:jc w:val="right"/>
                      <w:rPr>
                        <w:rFonts w:cs="Arial"/>
                        <w:color w:val="000000"/>
                        <w:sz w:val="18"/>
                        <w:szCs w:val="18"/>
                      </w:rPr>
                    </w:pPr>
                    <w:r w:rsidRPr="00E1040F">
                      <w:rPr>
                        <w:rFonts w:cs="Arial"/>
                        <w:color w:val="000000"/>
                        <w:sz w:val="18"/>
                        <w:szCs w:val="18"/>
                      </w:rPr>
                      <w:t>1,2</w:t>
                    </w:r>
                  </w:p>
                </w:tc>
                <w:tc>
                  <w:tcPr>
                    <w:tcW w:w="506" w:type="pct"/>
                    <w:tcBorders>
                      <w:top w:val="nil"/>
                      <w:left w:val="nil"/>
                      <w:bottom w:val="nil"/>
                      <w:right w:val="nil"/>
                    </w:tcBorders>
                    <w:shd w:val="clear" w:color="auto" w:fill="auto"/>
                    <w:noWrap/>
                    <w:vAlign w:val="bottom"/>
                    <w:hideMark/>
                  </w:tcPr>
                  <w:p w:rsidRPr="00E1040F" w:rsidR="002318A8" w:rsidRDefault="002318A8" w14:paraId="6AADD275" w14:textId="77777777">
                    <w:pPr>
                      <w:jc w:val="right"/>
                      <w:rPr>
                        <w:rFonts w:cs="Arial"/>
                        <w:color w:val="000000"/>
                        <w:sz w:val="18"/>
                        <w:szCs w:val="18"/>
                      </w:rPr>
                    </w:pPr>
                    <w:r w:rsidRPr="00E1040F">
                      <w:rPr>
                        <w:rFonts w:cs="Arial"/>
                        <w:color w:val="000000"/>
                        <w:sz w:val="18"/>
                        <w:szCs w:val="18"/>
                      </w:rPr>
                      <w:t>1,2</w:t>
                    </w:r>
                  </w:p>
                </w:tc>
                <w:tc>
                  <w:tcPr>
                    <w:tcW w:w="506" w:type="pct"/>
                    <w:tcBorders>
                      <w:top w:val="nil"/>
                      <w:left w:val="nil"/>
                      <w:bottom w:val="nil"/>
                      <w:right w:val="nil"/>
                    </w:tcBorders>
                    <w:shd w:val="clear" w:color="auto" w:fill="auto"/>
                    <w:noWrap/>
                    <w:vAlign w:val="bottom"/>
                    <w:hideMark/>
                  </w:tcPr>
                  <w:p w:rsidRPr="00E1040F" w:rsidR="002318A8" w:rsidRDefault="002318A8" w14:paraId="296FC9B7" w14:textId="77777777">
                    <w:pPr>
                      <w:jc w:val="right"/>
                      <w:rPr>
                        <w:rFonts w:cs="Arial"/>
                        <w:color w:val="000000"/>
                        <w:sz w:val="18"/>
                        <w:szCs w:val="18"/>
                      </w:rPr>
                    </w:pPr>
                    <w:r w:rsidRPr="00E1040F">
                      <w:rPr>
                        <w:rFonts w:cs="Arial"/>
                        <w:color w:val="000000"/>
                        <w:sz w:val="18"/>
                        <w:szCs w:val="18"/>
                      </w:rPr>
                      <w:t>1,2</w:t>
                    </w:r>
                  </w:p>
                </w:tc>
                <w:tc>
                  <w:tcPr>
                    <w:tcW w:w="506" w:type="pct"/>
                    <w:tcBorders>
                      <w:top w:val="nil"/>
                      <w:left w:val="nil"/>
                      <w:bottom w:val="nil"/>
                      <w:right w:val="nil"/>
                    </w:tcBorders>
                    <w:shd w:val="clear" w:color="auto" w:fill="auto"/>
                    <w:noWrap/>
                    <w:vAlign w:val="bottom"/>
                    <w:hideMark/>
                  </w:tcPr>
                  <w:p w:rsidRPr="00E1040F" w:rsidR="002318A8" w:rsidRDefault="002318A8" w14:paraId="409A4AF2" w14:textId="77777777">
                    <w:pPr>
                      <w:jc w:val="right"/>
                      <w:rPr>
                        <w:rFonts w:cs="Arial"/>
                        <w:color w:val="000000"/>
                        <w:sz w:val="18"/>
                        <w:szCs w:val="18"/>
                      </w:rPr>
                    </w:pPr>
                    <w:r w:rsidRPr="00E1040F">
                      <w:rPr>
                        <w:rFonts w:cs="Arial"/>
                        <w:color w:val="000000"/>
                        <w:sz w:val="18"/>
                        <w:szCs w:val="18"/>
                      </w:rPr>
                      <w:t>1,2</w:t>
                    </w:r>
                  </w:p>
                </w:tc>
                <w:tc>
                  <w:tcPr>
                    <w:tcW w:w="494" w:type="pct"/>
                    <w:tcBorders>
                      <w:top w:val="nil"/>
                      <w:left w:val="nil"/>
                      <w:bottom w:val="nil"/>
                      <w:right w:val="nil"/>
                    </w:tcBorders>
                    <w:shd w:val="clear" w:color="auto" w:fill="auto"/>
                    <w:noWrap/>
                    <w:vAlign w:val="bottom"/>
                    <w:hideMark/>
                  </w:tcPr>
                  <w:p w:rsidRPr="00E1040F" w:rsidR="002318A8" w:rsidRDefault="002318A8" w14:paraId="7A39FB1B" w14:textId="77777777">
                    <w:pPr>
                      <w:jc w:val="right"/>
                      <w:rPr>
                        <w:rFonts w:cs="Arial"/>
                        <w:color w:val="000000"/>
                        <w:sz w:val="18"/>
                        <w:szCs w:val="18"/>
                      </w:rPr>
                    </w:pPr>
                    <w:r w:rsidRPr="00E1040F">
                      <w:rPr>
                        <w:rFonts w:cs="Arial"/>
                        <w:color w:val="000000"/>
                        <w:sz w:val="18"/>
                        <w:szCs w:val="18"/>
                      </w:rPr>
                      <w:t>1,2</w:t>
                    </w:r>
                  </w:p>
                </w:tc>
              </w:tr>
              <w:tr w:rsidRPr="00E1040F" w:rsidR="002318A8" w:rsidTr="0092291D" w14:paraId="36A533FE"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00213331"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Arbeidsongeschiktheid</w:t>
                    </w:r>
                  </w:p>
                </w:tc>
                <w:tc>
                  <w:tcPr>
                    <w:tcW w:w="506" w:type="pct"/>
                    <w:tcBorders>
                      <w:top w:val="nil"/>
                      <w:left w:val="nil"/>
                      <w:bottom w:val="nil"/>
                      <w:right w:val="nil"/>
                    </w:tcBorders>
                    <w:shd w:val="clear" w:color="auto" w:fill="auto"/>
                    <w:noWrap/>
                    <w:vAlign w:val="bottom"/>
                    <w:hideMark/>
                  </w:tcPr>
                  <w:p w:rsidRPr="00E1040F" w:rsidR="002318A8" w:rsidRDefault="002318A8" w14:paraId="14B595CD" w14:textId="77777777">
                    <w:pPr>
                      <w:jc w:val="right"/>
                      <w:rPr>
                        <w:rFonts w:cs="Arial"/>
                        <w:color w:val="000000"/>
                        <w:sz w:val="18"/>
                        <w:szCs w:val="18"/>
                      </w:rPr>
                    </w:pPr>
                    <w:r w:rsidRPr="00E1040F">
                      <w:rPr>
                        <w:rFonts w:cs="Arial"/>
                        <w:color w:val="000000"/>
                        <w:sz w:val="18"/>
                        <w:szCs w:val="18"/>
                      </w:rPr>
                      <w:t>2,2</w:t>
                    </w:r>
                  </w:p>
                </w:tc>
                <w:tc>
                  <w:tcPr>
                    <w:tcW w:w="506" w:type="pct"/>
                    <w:tcBorders>
                      <w:top w:val="nil"/>
                      <w:left w:val="nil"/>
                      <w:bottom w:val="nil"/>
                      <w:right w:val="nil"/>
                    </w:tcBorders>
                    <w:shd w:val="clear" w:color="auto" w:fill="auto"/>
                    <w:noWrap/>
                    <w:vAlign w:val="bottom"/>
                    <w:hideMark/>
                  </w:tcPr>
                  <w:p w:rsidRPr="00E1040F" w:rsidR="002318A8" w:rsidRDefault="002318A8" w14:paraId="15409964" w14:textId="77777777">
                    <w:pPr>
                      <w:jc w:val="right"/>
                      <w:rPr>
                        <w:rFonts w:cs="Arial"/>
                        <w:color w:val="000000"/>
                        <w:sz w:val="18"/>
                        <w:szCs w:val="18"/>
                      </w:rPr>
                    </w:pPr>
                    <w:r w:rsidRPr="00E1040F">
                      <w:rPr>
                        <w:rFonts w:cs="Arial"/>
                        <w:color w:val="000000"/>
                        <w:sz w:val="18"/>
                        <w:szCs w:val="18"/>
                      </w:rPr>
                      <w:t>2,3</w:t>
                    </w:r>
                  </w:p>
                </w:tc>
                <w:tc>
                  <w:tcPr>
                    <w:tcW w:w="506" w:type="pct"/>
                    <w:tcBorders>
                      <w:top w:val="nil"/>
                      <w:left w:val="nil"/>
                      <w:bottom w:val="nil"/>
                      <w:right w:val="nil"/>
                    </w:tcBorders>
                    <w:shd w:val="clear" w:color="auto" w:fill="auto"/>
                    <w:noWrap/>
                    <w:vAlign w:val="bottom"/>
                    <w:hideMark/>
                  </w:tcPr>
                  <w:p w:rsidRPr="00E1040F" w:rsidR="002318A8" w:rsidRDefault="002318A8" w14:paraId="6A4950D9" w14:textId="77777777">
                    <w:pPr>
                      <w:jc w:val="right"/>
                      <w:rPr>
                        <w:rFonts w:cs="Arial"/>
                        <w:color w:val="000000"/>
                        <w:sz w:val="18"/>
                        <w:szCs w:val="18"/>
                      </w:rPr>
                    </w:pPr>
                    <w:r w:rsidRPr="00E1040F">
                      <w:rPr>
                        <w:rFonts w:cs="Arial"/>
                        <w:color w:val="000000"/>
                        <w:sz w:val="18"/>
                        <w:szCs w:val="18"/>
                      </w:rPr>
                      <w:t>2,3</w:t>
                    </w:r>
                  </w:p>
                </w:tc>
                <w:tc>
                  <w:tcPr>
                    <w:tcW w:w="506" w:type="pct"/>
                    <w:tcBorders>
                      <w:top w:val="nil"/>
                      <w:left w:val="nil"/>
                      <w:bottom w:val="nil"/>
                      <w:right w:val="nil"/>
                    </w:tcBorders>
                    <w:shd w:val="clear" w:color="auto" w:fill="auto"/>
                    <w:noWrap/>
                    <w:vAlign w:val="bottom"/>
                    <w:hideMark/>
                  </w:tcPr>
                  <w:p w:rsidRPr="00E1040F" w:rsidR="002318A8" w:rsidRDefault="002318A8" w14:paraId="19AF77B9" w14:textId="77777777">
                    <w:pPr>
                      <w:jc w:val="right"/>
                      <w:rPr>
                        <w:rFonts w:cs="Arial"/>
                        <w:color w:val="000000"/>
                        <w:sz w:val="18"/>
                        <w:szCs w:val="18"/>
                      </w:rPr>
                    </w:pPr>
                    <w:r w:rsidRPr="00E1040F">
                      <w:rPr>
                        <w:rFonts w:cs="Arial"/>
                        <w:color w:val="000000"/>
                        <w:sz w:val="18"/>
                        <w:szCs w:val="18"/>
                      </w:rPr>
                      <w:t>2,3</w:t>
                    </w:r>
                  </w:p>
                </w:tc>
                <w:tc>
                  <w:tcPr>
                    <w:tcW w:w="506" w:type="pct"/>
                    <w:tcBorders>
                      <w:top w:val="nil"/>
                      <w:left w:val="nil"/>
                      <w:bottom w:val="nil"/>
                      <w:right w:val="nil"/>
                    </w:tcBorders>
                    <w:shd w:val="clear" w:color="auto" w:fill="auto"/>
                    <w:noWrap/>
                    <w:vAlign w:val="bottom"/>
                    <w:hideMark/>
                  </w:tcPr>
                  <w:p w:rsidRPr="00E1040F" w:rsidR="002318A8" w:rsidRDefault="002318A8" w14:paraId="7B90A68E" w14:textId="77777777">
                    <w:pPr>
                      <w:jc w:val="right"/>
                      <w:rPr>
                        <w:rFonts w:cs="Arial"/>
                        <w:color w:val="000000"/>
                        <w:sz w:val="18"/>
                        <w:szCs w:val="18"/>
                      </w:rPr>
                    </w:pPr>
                    <w:r w:rsidRPr="00E1040F">
                      <w:rPr>
                        <w:rFonts w:cs="Arial"/>
                        <w:color w:val="000000"/>
                        <w:sz w:val="18"/>
                        <w:szCs w:val="18"/>
                      </w:rPr>
                      <w:t>2,4</w:t>
                    </w:r>
                  </w:p>
                </w:tc>
                <w:tc>
                  <w:tcPr>
                    <w:tcW w:w="494" w:type="pct"/>
                    <w:tcBorders>
                      <w:top w:val="nil"/>
                      <w:left w:val="nil"/>
                      <w:bottom w:val="nil"/>
                      <w:right w:val="nil"/>
                    </w:tcBorders>
                    <w:shd w:val="clear" w:color="auto" w:fill="auto"/>
                    <w:noWrap/>
                    <w:vAlign w:val="bottom"/>
                    <w:hideMark/>
                  </w:tcPr>
                  <w:p w:rsidRPr="00E1040F" w:rsidR="002318A8" w:rsidRDefault="002318A8" w14:paraId="7752982F" w14:textId="77777777">
                    <w:pPr>
                      <w:jc w:val="right"/>
                      <w:rPr>
                        <w:rFonts w:cs="Arial"/>
                        <w:color w:val="000000"/>
                        <w:sz w:val="18"/>
                        <w:szCs w:val="18"/>
                      </w:rPr>
                    </w:pPr>
                    <w:r w:rsidRPr="00E1040F">
                      <w:rPr>
                        <w:rFonts w:cs="Arial"/>
                        <w:color w:val="000000"/>
                        <w:sz w:val="18"/>
                        <w:szCs w:val="18"/>
                      </w:rPr>
                      <w:t>2,5</w:t>
                    </w:r>
                  </w:p>
                </w:tc>
              </w:tr>
              <w:tr w:rsidRPr="00E1040F" w:rsidR="002318A8" w:rsidTr="0092291D" w14:paraId="31E2E76D"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7AC866EB" w14:textId="77777777">
                    <w:pPr>
                      <w:rPr>
                        <w:rFonts w:cs="Arial"/>
                        <w:color w:val="000000"/>
                        <w:sz w:val="18"/>
                        <w:szCs w:val="18"/>
                      </w:rPr>
                    </w:pPr>
                    <w:r>
                      <w:rPr>
                        <w:rFonts w:cs="Arial"/>
                        <w:color w:val="000000"/>
                        <w:sz w:val="18"/>
                        <w:szCs w:val="18"/>
                      </w:rPr>
                      <w:t xml:space="preserve">   </w:t>
                    </w:r>
                    <w:r w:rsidRPr="00E1040F">
                      <w:rPr>
                        <w:rFonts w:cs="Arial"/>
                        <w:color w:val="000000"/>
                        <w:sz w:val="18"/>
                        <w:szCs w:val="18"/>
                      </w:rPr>
                      <w:t xml:space="preserve"> overig (o.a. zorgtoeslag)</w:t>
                    </w:r>
                  </w:p>
                </w:tc>
                <w:tc>
                  <w:tcPr>
                    <w:tcW w:w="506" w:type="pct"/>
                    <w:tcBorders>
                      <w:top w:val="nil"/>
                      <w:left w:val="nil"/>
                      <w:bottom w:val="nil"/>
                      <w:right w:val="nil"/>
                    </w:tcBorders>
                    <w:shd w:val="clear" w:color="auto" w:fill="auto"/>
                    <w:noWrap/>
                    <w:vAlign w:val="bottom"/>
                    <w:hideMark/>
                  </w:tcPr>
                  <w:p w:rsidRPr="00E1040F" w:rsidR="002318A8" w:rsidRDefault="002318A8" w14:paraId="752148CB" w14:textId="77777777">
                    <w:pPr>
                      <w:jc w:val="right"/>
                      <w:rPr>
                        <w:rFonts w:cs="Arial"/>
                        <w:color w:val="000000"/>
                        <w:sz w:val="18"/>
                        <w:szCs w:val="18"/>
                      </w:rPr>
                    </w:pPr>
                    <w:r w:rsidRPr="00E1040F">
                      <w:rPr>
                        <w:rFonts w:cs="Arial"/>
                        <w:color w:val="000000"/>
                        <w:sz w:val="18"/>
                        <w:szCs w:val="18"/>
                      </w:rPr>
                      <w:t>4,3</w:t>
                    </w:r>
                  </w:p>
                </w:tc>
                <w:tc>
                  <w:tcPr>
                    <w:tcW w:w="506" w:type="pct"/>
                    <w:tcBorders>
                      <w:top w:val="nil"/>
                      <w:left w:val="nil"/>
                      <w:bottom w:val="nil"/>
                      <w:right w:val="nil"/>
                    </w:tcBorders>
                    <w:shd w:val="clear" w:color="auto" w:fill="auto"/>
                    <w:noWrap/>
                    <w:vAlign w:val="bottom"/>
                    <w:hideMark/>
                  </w:tcPr>
                  <w:p w:rsidRPr="00E1040F" w:rsidR="002318A8" w:rsidRDefault="002318A8" w14:paraId="18F284AA" w14:textId="77777777">
                    <w:pPr>
                      <w:jc w:val="right"/>
                      <w:rPr>
                        <w:rFonts w:cs="Arial"/>
                        <w:color w:val="000000"/>
                        <w:sz w:val="18"/>
                        <w:szCs w:val="18"/>
                      </w:rPr>
                    </w:pPr>
                    <w:r w:rsidRPr="00E1040F">
                      <w:rPr>
                        <w:rFonts w:cs="Arial"/>
                        <w:color w:val="000000"/>
                        <w:sz w:val="18"/>
                        <w:szCs w:val="18"/>
                      </w:rPr>
                      <w:t>4,2</w:t>
                    </w:r>
                  </w:p>
                </w:tc>
                <w:tc>
                  <w:tcPr>
                    <w:tcW w:w="506" w:type="pct"/>
                    <w:tcBorders>
                      <w:top w:val="nil"/>
                      <w:left w:val="nil"/>
                      <w:bottom w:val="nil"/>
                      <w:right w:val="nil"/>
                    </w:tcBorders>
                    <w:shd w:val="clear" w:color="auto" w:fill="auto"/>
                    <w:noWrap/>
                    <w:vAlign w:val="bottom"/>
                    <w:hideMark/>
                  </w:tcPr>
                  <w:p w:rsidRPr="00E1040F" w:rsidR="002318A8" w:rsidRDefault="002318A8" w14:paraId="2AD83D69" w14:textId="77777777">
                    <w:pPr>
                      <w:jc w:val="right"/>
                      <w:rPr>
                        <w:rFonts w:cs="Arial"/>
                        <w:color w:val="000000"/>
                        <w:sz w:val="18"/>
                        <w:szCs w:val="18"/>
                      </w:rPr>
                    </w:pPr>
                    <w:r w:rsidRPr="00E1040F">
                      <w:rPr>
                        <w:rFonts w:cs="Arial"/>
                        <w:color w:val="000000"/>
                        <w:sz w:val="18"/>
                        <w:szCs w:val="18"/>
                      </w:rPr>
                      <w:t>4,8</w:t>
                    </w:r>
                  </w:p>
                </w:tc>
                <w:tc>
                  <w:tcPr>
                    <w:tcW w:w="506" w:type="pct"/>
                    <w:tcBorders>
                      <w:top w:val="nil"/>
                      <w:left w:val="nil"/>
                      <w:bottom w:val="nil"/>
                      <w:right w:val="nil"/>
                    </w:tcBorders>
                    <w:shd w:val="clear" w:color="auto" w:fill="auto"/>
                    <w:noWrap/>
                    <w:vAlign w:val="bottom"/>
                    <w:hideMark/>
                  </w:tcPr>
                  <w:p w:rsidRPr="00E1040F" w:rsidR="002318A8" w:rsidRDefault="002318A8" w14:paraId="44B89BD8" w14:textId="77777777">
                    <w:pPr>
                      <w:jc w:val="right"/>
                      <w:rPr>
                        <w:rFonts w:cs="Arial"/>
                        <w:color w:val="000000"/>
                        <w:sz w:val="18"/>
                        <w:szCs w:val="18"/>
                      </w:rPr>
                    </w:pPr>
                    <w:r w:rsidRPr="00E1040F">
                      <w:rPr>
                        <w:rFonts w:cs="Arial"/>
                        <w:color w:val="000000"/>
                        <w:sz w:val="18"/>
                        <w:szCs w:val="18"/>
                      </w:rPr>
                      <w:t>4,4</w:t>
                    </w:r>
                  </w:p>
                </w:tc>
                <w:tc>
                  <w:tcPr>
                    <w:tcW w:w="506" w:type="pct"/>
                    <w:tcBorders>
                      <w:top w:val="nil"/>
                      <w:left w:val="nil"/>
                      <w:bottom w:val="nil"/>
                      <w:right w:val="nil"/>
                    </w:tcBorders>
                    <w:shd w:val="clear" w:color="auto" w:fill="auto"/>
                    <w:noWrap/>
                    <w:vAlign w:val="bottom"/>
                    <w:hideMark/>
                  </w:tcPr>
                  <w:p w:rsidRPr="00E1040F" w:rsidR="002318A8" w:rsidRDefault="002318A8" w14:paraId="793F77DF" w14:textId="77777777">
                    <w:pPr>
                      <w:jc w:val="right"/>
                      <w:rPr>
                        <w:rFonts w:cs="Arial"/>
                        <w:color w:val="000000"/>
                        <w:sz w:val="18"/>
                        <w:szCs w:val="18"/>
                      </w:rPr>
                    </w:pPr>
                    <w:r w:rsidRPr="00E1040F">
                      <w:rPr>
                        <w:rFonts w:cs="Arial"/>
                        <w:color w:val="000000"/>
                        <w:sz w:val="18"/>
                        <w:szCs w:val="18"/>
                      </w:rPr>
                      <w:t>4,2</w:t>
                    </w:r>
                  </w:p>
                </w:tc>
                <w:tc>
                  <w:tcPr>
                    <w:tcW w:w="494" w:type="pct"/>
                    <w:tcBorders>
                      <w:top w:val="nil"/>
                      <w:left w:val="nil"/>
                      <w:bottom w:val="nil"/>
                      <w:right w:val="nil"/>
                    </w:tcBorders>
                    <w:shd w:val="clear" w:color="auto" w:fill="auto"/>
                    <w:noWrap/>
                    <w:vAlign w:val="bottom"/>
                    <w:hideMark/>
                  </w:tcPr>
                  <w:p w:rsidRPr="00E1040F" w:rsidR="002318A8" w:rsidRDefault="002318A8" w14:paraId="12E68E04" w14:textId="77777777">
                    <w:pPr>
                      <w:jc w:val="right"/>
                      <w:rPr>
                        <w:rFonts w:cs="Arial"/>
                        <w:color w:val="000000"/>
                        <w:sz w:val="18"/>
                        <w:szCs w:val="18"/>
                      </w:rPr>
                    </w:pPr>
                    <w:r w:rsidRPr="00E1040F">
                      <w:rPr>
                        <w:rFonts w:cs="Arial"/>
                        <w:color w:val="000000"/>
                        <w:sz w:val="18"/>
                        <w:szCs w:val="18"/>
                      </w:rPr>
                      <w:t>4,1</w:t>
                    </w:r>
                  </w:p>
                </w:tc>
              </w:tr>
              <w:tr w:rsidRPr="00E1040F" w:rsidR="002318A8" w:rsidTr="0092291D" w14:paraId="29B827FA"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68D50E5F" w14:textId="77777777">
                    <w:pPr>
                      <w:rPr>
                        <w:rFonts w:cs="Arial"/>
                        <w:color w:val="000000"/>
                        <w:sz w:val="18"/>
                        <w:szCs w:val="18"/>
                      </w:rPr>
                    </w:pPr>
                    <w:r w:rsidRPr="00E1040F">
                      <w:rPr>
                        <w:rFonts w:cs="Arial"/>
                        <w:color w:val="000000"/>
                        <w:sz w:val="18"/>
                        <w:szCs w:val="18"/>
                      </w:rPr>
                      <w:t xml:space="preserve">Overdrachten aan bedrijven </w:t>
                    </w:r>
                  </w:p>
                </w:tc>
                <w:tc>
                  <w:tcPr>
                    <w:tcW w:w="506" w:type="pct"/>
                    <w:tcBorders>
                      <w:top w:val="nil"/>
                      <w:left w:val="nil"/>
                      <w:bottom w:val="nil"/>
                      <w:right w:val="nil"/>
                    </w:tcBorders>
                    <w:shd w:val="clear" w:color="auto" w:fill="auto"/>
                    <w:noWrap/>
                    <w:vAlign w:val="bottom"/>
                    <w:hideMark/>
                  </w:tcPr>
                  <w:p w:rsidRPr="00E1040F" w:rsidR="002318A8" w:rsidRDefault="002318A8" w14:paraId="5095412E" w14:textId="77777777">
                    <w:pPr>
                      <w:jc w:val="right"/>
                      <w:rPr>
                        <w:rFonts w:cs="Arial"/>
                        <w:color w:val="000000"/>
                        <w:sz w:val="18"/>
                        <w:szCs w:val="18"/>
                      </w:rPr>
                    </w:pPr>
                    <w:r w:rsidRPr="00E1040F">
                      <w:rPr>
                        <w:rFonts w:cs="Arial"/>
                        <w:color w:val="000000"/>
                        <w:sz w:val="18"/>
                        <w:szCs w:val="18"/>
                      </w:rPr>
                      <w:t>1,4</w:t>
                    </w:r>
                  </w:p>
                </w:tc>
                <w:tc>
                  <w:tcPr>
                    <w:tcW w:w="506" w:type="pct"/>
                    <w:tcBorders>
                      <w:top w:val="nil"/>
                      <w:left w:val="nil"/>
                      <w:bottom w:val="nil"/>
                      <w:right w:val="nil"/>
                    </w:tcBorders>
                    <w:shd w:val="clear" w:color="auto" w:fill="auto"/>
                    <w:noWrap/>
                    <w:vAlign w:val="bottom"/>
                    <w:hideMark/>
                  </w:tcPr>
                  <w:p w:rsidRPr="00E1040F" w:rsidR="002318A8" w:rsidRDefault="002318A8" w14:paraId="08F2666B" w14:textId="77777777">
                    <w:pPr>
                      <w:jc w:val="right"/>
                      <w:rPr>
                        <w:rFonts w:cs="Arial"/>
                        <w:color w:val="000000"/>
                        <w:sz w:val="18"/>
                        <w:szCs w:val="18"/>
                      </w:rPr>
                    </w:pPr>
                    <w:r w:rsidRPr="00E1040F">
                      <w:rPr>
                        <w:rFonts w:cs="Arial"/>
                        <w:color w:val="000000"/>
                        <w:sz w:val="18"/>
                        <w:szCs w:val="18"/>
                      </w:rPr>
                      <w:t>1,6</w:t>
                    </w:r>
                  </w:p>
                </w:tc>
                <w:tc>
                  <w:tcPr>
                    <w:tcW w:w="506" w:type="pct"/>
                    <w:tcBorders>
                      <w:top w:val="nil"/>
                      <w:left w:val="nil"/>
                      <w:bottom w:val="nil"/>
                      <w:right w:val="nil"/>
                    </w:tcBorders>
                    <w:shd w:val="clear" w:color="auto" w:fill="auto"/>
                    <w:noWrap/>
                    <w:vAlign w:val="bottom"/>
                    <w:hideMark/>
                  </w:tcPr>
                  <w:p w:rsidRPr="00E1040F" w:rsidR="002318A8" w:rsidRDefault="002318A8" w14:paraId="564FCF24" w14:textId="77777777">
                    <w:pPr>
                      <w:jc w:val="right"/>
                      <w:rPr>
                        <w:rFonts w:cs="Arial"/>
                        <w:color w:val="000000"/>
                        <w:sz w:val="18"/>
                        <w:szCs w:val="18"/>
                      </w:rPr>
                    </w:pPr>
                    <w:r w:rsidRPr="00E1040F">
                      <w:rPr>
                        <w:rFonts w:cs="Arial"/>
                        <w:color w:val="000000"/>
                        <w:sz w:val="18"/>
                        <w:szCs w:val="18"/>
                      </w:rPr>
                      <w:t>1,5</w:t>
                    </w:r>
                  </w:p>
                </w:tc>
                <w:tc>
                  <w:tcPr>
                    <w:tcW w:w="506" w:type="pct"/>
                    <w:tcBorders>
                      <w:top w:val="nil"/>
                      <w:left w:val="nil"/>
                      <w:bottom w:val="nil"/>
                      <w:right w:val="nil"/>
                    </w:tcBorders>
                    <w:shd w:val="clear" w:color="auto" w:fill="auto"/>
                    <w:noWrap/>
                    <w:vAlign w:val="bottom"/>
                    <w:hideMark/>
                  </w:tcPr>
                  <w:p w:rsidRPr="00E1040F" w:rsidR="002318A8" w:rsidRDefault="002318A8" w14:paraId="4ECA81BA" w14:textId="77777777">
                    <w:pPr>
                      <w:jc w:val="right"/>
                      <w:rPr>
                        <w:rFonts w:cs="Arial"/>
                        <w:color w:val="000000"/>
                        <w:sz w:val="18"/>
                        <w:szCs w:val="18"/>
                      </w:rPr>
                    </w:pPr>
                    <w:r w:rsidRPr="00E1040F">
                      <w:rPr>
                        <w:rFonts w:cs="Arial"/>
                        <w:color w:val="000000"/>
                        <w:sz w:val="18"/>
                        <w:szCs w:val="18"/>
                      </w:rPr>
                      <w:t>1,6</w:t>
                    </w:r>
                  </w:p>
                </w:tc>
                <w:tc>
                  <w:tcPr>
                    <w:tcW w:w="506" w:type="pct"/>
                    <w:tcBorders>
                      <w:top w:val="nil"/>
                      <w:left w:val="nil"/>
                      <w:bottom w:val="nil"/>
                      <w:right w:val="nil"/>
                    </w:tcBorders>
                    <w:shd w:val="clear" w:color="auto" w:fill="auto"/>
                    <w:noWrap/>
                    <w:vAlign w:val="bottom"/>
                    <w:hideMark/>
                  </w:tcPr>
                  <w:p w:rsidRPr="00E1040F" w:rsidR="002318A8" w:rsidRDefault="002318A8" w14:paraId="49DF9AC1" w14:textId="77777777">
                    <w:pPr>
                      <w:jc w:val="right"/>
                      <w:rPr>
                        <w:rFonts w:cs="Arial"/>
                        <w:color w:val="000000"/>
                        <w:sz w:val="18"/>
                        <w:szCs w:val="18"/>
                      </w:rPr>
                    </w:pPr>
                    <w:r w:rsidRPr="00E1040F">
                      <w:rPr>
                        <w:rFonts w:cs="Arial"/>
                        <w:color w:val="000000"/>
                        <w:sz w:val="18"/>
                        <w:szCs w:val="18"/>
                      </w:rPr>
                      <w:t>1,6</w:t>
                    </w:r>
                  </w:p>
                </w:tc>
                <w:tc>
                  <w:tcPr>
                    <w:tcW w:w="494" w:type="pct"/>
                    <w:tcBorders>
                      <w:top w:val="nil"/>
                      <w:left w:val="nil"/>
                      <w:bottom w:val="nil"/>
                      <w:right w:val="nil"/>
                    </w:tcBorders>
                    <w:shd w:val="clear" w:color="auto" w:fill="auto"/>
                    <w:noWrap/>
                    <w:vAlign w:val="bottom"/>
                    <w:hideMark/>
                  </w:tcPr>
                  <w:p w:rsidRPr="00E1040F" w:rsidR="002318A8" w:rsidRDefault="002318A8" w14:paraId="2240C451" w14:textId="77777777">
                    <w:pPr>
                      <w:jc w:val="right"/>
                      <w:rPr>
                        <w:rFonts w:cs="Arial"/>
                        <w:color w:val="000000"/>
                        <w:sz w:val="18"/>
                        <w:szCs w:val="18"/>
                      </w:rPr>
                    </w:pPr>
                    <w:r w:rsidRPr="00E1040F">
                      <w:rPr>
                        <w:rFonts w:cs="Arial"/>
                        <w:color w:val="000000"/>
                        <w:sz w:val="18"/>
                        <w:szCs w:val="18"/>
                      </w:rPr>
                      <w:t>1,3</w:t>
                    </w:r>
                  </w:p>
                </w:tc>
              </w:tr>
              <w:tr w:rsidRPr="00E1040F" w:rsidR="002318A8" w:rsidTr="0092291D" w14:paraId="241AB122"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18E25F6A" w14:textId="77777777">
                    <w:pPr>
                      <w:rPr>
                        <w:rFonts w:cs="Arial"/>
                        <w:color w:val="000000"/>
                        <w:sz w:val="18"/>
                        <w:szCs w:val="18"/>
                      </w:rPr>
                    </w:pPr>
                    <w:r w:rsidRPr="00E1040F">
                      <w:rPr>
                        <w:rFonts w:cs="Arial"/>
                        <w:color w:val="000000"/>
                        <w:sz w:val="18"/>
                        <w:szCs w:val="18"/>
                      </w:rPr>
                      <w:t>Internationale samenwerking</w:t>
                    </w:r>
                  </w:p>
                </w:tc>
                <w:tc>
                  <w:tcPr>
                    <w:tcW w:w="506" w:type="pct"/>
                    <w:tcBorders>
                      <w:top w:val="nil"/>
                      <w:left w:val="nil"/>
                      <w:bottom w:val="nil"/>
                      <w:right w:val="nil"/>
                    </w:tcBorders>
                    <w:shd w:val="clear" w:color="auto" w:fill="auto"/>
                    <w:noWrap/>
                    <w:vAlign w:val="bottom"/>
                    <w:hideMark/>
                  </w:tcPr>
                  <w:p w:rsidRPr="00E1040F" w:rsidR="002318A8" w:rsidRDefault="002318A8" w14:paraId="3F7324D3" w14:textId="77777777">
                    <w:pPr>
                      <w:jc w:val="right"/>
                      <w:rPr>
                        <w:rFonts w:cs="Arial"/>
                        <w:color w:val="000000"/>
                        <w:sz w:val="18"/>
                        <w:szCs w:val="18"/>
                      </w:rPr>
                    </w:pPr>
                    <w:r w:rsidRPr="00E1040F">
                      <w:rPr>
                        <w:rFonts w:cs="Arial"/>
                        <w:color w:val="000000"/>
                        <w:sz w:val="18"/>
                        <w:szCs w:val="18"/>
                      </w:rPr>
                      <w:t>1,6</w:t>
                    </w:r>
                  </w:p>
                </w:tc>
                <w:tc>
                  <w:tcPr>
                    <w:tcW w:w="506" w:type="pct"/>
                    <w:tcBorders>
                      <w:top w:val="nil"/>
                      <w:left w:val="nil"/>
                      <w:bottom w:val="nil"/>
                      <w:right w:val="nil"/>
                    </w:tcBorders>
                    <w:shd w:val="clear" w:color="auto" w:fill="auto"/>
                    <w:noWrap/>
                    <w:vAlign w:val="bottom"/>
                    <w:hideMark/>
                  </w:tcPr>
                  <w:p w:rsidRPr="00E1040F" w:rsidR="002318A8" w:rsidRDefault="002318A8" w14:paraId="3F5878C9" w14:textId="77777777">
                    <w:pPr>
                      <w:jc w:val="right"/>
                      <w:rPr>
                        <w:rFonts w:cs="Arial"/>
                        <w:color w:val="000000"/>
                        <w:sz w:val="18"/>
                        <w:szCs w:val="18"/>
                      </w:rPr>
                    </w:pPr>
                    <w:r w:rsidRPr="00E1040F">
                      <w:rPr>
                        <w:rFonts w:cs="Arial"/>
                        <w:color w:val="000000"/>
                        <w:sz w:val="18"/>
                        <w:szCs w:val="18"/>
                      </w:rPr>
                      <w:t>1,7</w:t>
                    </w:r>
                  </w:p>
                </w:tc>
                <w:tc>
                  <w:tcPr>
                    <w:tcW w:w="506" w:type="pct"/>
                    <w:tcBorders>
                      <w:top w:val="nil"/>
                      <w:left w:val="nil"/>
                      <w:bottom w:val="nil"/>
                      <w:right w:val="nil"/>
                    </w:tcBorders>
                    <w:shd w:val="clear" w:color="auto" w:fill="auto"/>
                    <w:noWrap/>
                    <w:vAlign w:val="bottom"/>
                    <w:hideMark/>
                  </w:tcPr>
                  <w:p w:rsidRPr="00E1040F" w:rsidR="002318A8" w:rsidRDefault="002318A8" w14:paraId="401E9175" w14:textId="77777777">
                    <w:pPr>
                      <w:jc w:val="right"/>
                      <w:rPr>
                        <w:rFonts w:cs="Arial"/>
                        <w:color w:val="000000"/>
                        <w:sz w:val="18"/>
                        <w:szCs w:val="18"/>
                      </w:rPr>
                    </w:pPr>
                    <w:r w:rsidRPr="00E1040F">
                      <w:rPr>
                        <w:rFonts w:cs="Arial"/>
                        <w:color w:val="000000"/>
                        <w:sz w:val="18"/>
                        <w:szCs w:val="18"/>
                      </w:rPr>
                      <w:t>1,9</w:t>
                    </w:r>
                  </w:p>
                </w:tc>
                <w:tc>
                  <w:tcPr>
                    <w:tcW w:w="506" w:type="pct"/>
                    <w:tcBorders>
                      <w:top w:val="nil"/>
                      <w:left w:val="nil"/>
                      <w:bottom w:val="nil"/>
                      <w:right w:val="nil"/>
                    </w:tcBorders>
                    <w:shd w:val="clear" w:color="auto" w:fill="auto"/>
                    <w:noWrap/>
                    <w:vAlign w:val="bottom"/>
                    <w:hideMark/>
                  </w:tcPr>
                  <w:p w:rsidRPr="00E1040F" w:rsidR="002318A8" w:rsidRDefault="002318A8" w14:paraId="6FBF188E" w14:textId="77777777">
                    <w:pPr>
                      <w:jc w:val="right"/>
                      <w:rPr>
                        <w:rFonts w:cs="Arial"/>
                        <w:color w:val="000000"/>
                        <w:sz w:val="18"/>
                        <w:szCs w:val="18"/>
                      </w:rPr>
                    </w:pPr>
                    <w:r w:rsidRPr="00E1040F">
                      <w:rPr>
                        <w:rFonts w:cs="Arial"/>
                        <w:color w:val="000000"/>
                        <w:sz w:val="18"/>
                        <w:szCs w:val="18"/>
                      </w:rPr>
                      <w:t>1,6</w:t>
                    </w:r>
                  </w:p>
                </w:tc>
                <w:tc>
                  <w:tcPr>
                    <w:tcW w:w="506" w:type="pct"/>
                    <w:tcBorders>
                      <w:top w:val="nil"/>
                      <w:left w:val="nil"/>
                      <w:bottom w:val="nil"/>
                      <w:right w:val="nil"/>
                    </w:tcBorders>
                    <w:shd w:val="clear" w:color="auto" w:fill="auto"/>
                    <w:noWrap/>
                    <w:vAlign w:val="bottom"/>
                    <w:hideMark/>
                  </w:tcPr>
                  <w:p w:rsidRPr="00E1040F" w:rsidR="002318A8" w:rsidRDefault="002318A8" w14:paraId="111E04BD" w14:textId="77777777">
                    <w:pPr>
                      <w:jc w:val="right"/>
                      <w:rPr>
                        <w:rFonts w:cs="Arial"/>
                        <w:color w:val="000000"/>
                        <w:sz w:val="18"/>
                        <w:szCs w:val="18"/>
                      </w:rPr>
                    </w:pPr>
                    <w:r w:rsidRPr="00E1040F">
                      <w:rPr>
                        <w:rFonts w:cs="Arial"/>
                        <w:color w:val="000000"/>
                        <w:sz w:val="18"/>
                        <w:szCs w:val="18"/>
                      </w:rPr>
                      <w:t>1,7</w:t>
                    </w:r>
                  </w:p>
                </w:tc>
                <w:tc>
                  <w:tcPr>
                    <w:tcW w:w="494" w:type="pct"/>
                    <w:tcBorders>
                      <w:top w:val="nil"/>
                      <w:left w:val="nil"/>
                      <w:bottom w:val="nil"/>
                      <w:right w:val="nil"/>
                    </w:tcBorders>
                    <w:shd w:val="clear" w:color="auto" w:fill="auto"/>
                    <w:noWrap/>
                    <w:vAlign w:val="bottom"/>
                    <w:hideMark/>
                  </w:tcPr>
                  <w:p w:rsidRPr="00E1040F" w:rsidR="002318A8" w:rsidRDefault="002318A8" w14:paraId="47A87198" w14:textId="77777777">
                    <w:pPr>
                      <w:jc w:val="right"/>
                      <w:rPr>
                        <w:rFonts w:cs="Arial"/>
                        <w:color w:val="000000"/>
                        <w:sz w:val="18"/>
                        <w:szCs w:val="18"/>
                      </w:rPr>
                    </w:pPr>
                    <w:r w:rsidRPr="00E1040F">
                      <w:rPr>
                        <w:rFonts w:cs="Arial"/>
                        <w:color w:val="000000"/>
                        <w:sz w:val="18"/>
                        <w:szCs w:val="18"/>
                      </w:rPr>
                      <w:t>1,5</w:t>
                    </w:r>
                  </w:p>
                </w:tc>
              </w:tr>
              <w:tr w:rsidRPr="00E1040F" w:rsidR="002318A8" w:rsidTr="0092291D" w14:paraId="60C6B1A4" w14:textId="77777777">
                <w:trPr>
                  <w:trHeight w:val="300"/>
                </w:trPr>
                <w:tc>
                  <w:tcPr>
                    <w:tcW w:w="1976" w:type="pct"/>
                    <w:tcBorders>
                      <w:top w:val="nil"/>
                      <w:left w:val="nil"/>
                      <w:bottom w:val="nil"/>
                      <w:right w:val="nil"/>
                    </w:tcBorders>
                    <w:shd w:val="clear" w:color="auto" w:fill="auto"/>
                    <w:noWrap/>
                    <w:vAlign w:val="bottom"/>
                    <w:hideMark/>
                  </w:tcPr>
                  <w:p w:rsidRPr="00E1040F" w:rsidR="002318A8" w:rsidRDefault="002318A8" w14:paraId="2F0A21D2" w14:textId="77777777">
                    <w:pPr>
                      <w:rPr>
                        <w:rFonts w:cs="Arial"/>
                        <w:color w:val="000000"/>
                        <w:sz w:val="18"/>
                        <w:szCs w:val="18"/>
                      </w:rPr>
                    </w:pPr>
                    <w:r w:rsidRPr="00E1040F">
                      <w:rPr>
                        <w:rFonts w:cs="Arial"/>
                        <w:color w:val="000000"/>
                        <w:sz w:val="18"/>
                        <w:szCs w:val="18"/>
                      </w:rPr>
                      <w:t>Rente</w:t>
                    </w:r>
                  </w:p>
                </w:tc>
                <w:tc>
                  <w:tcPr>
                    <w:tcW w:w="506" w:type="pct"/>
                    <w:tcBorders>
                      <w:top w:val="nil"/>
                      <w:left w:val="nil"/>
                      <w:bottom w:val="nil"/>
                      <w:right w:val="nil"/>
                    </w:tcBorders>
                    <w:shd w:val="clear" w:color="auto" w:fill="auto"/>
                    <w:noWrap/>
                    <w:vAlign w:val="bottom"/>
                    <w:hideMark/>
                  </w:tcPr>
                  <w:p w:rsidRPr="00E1040F" w:rsidR="002318A8" w:rsidRDefault="002318A8" w14:paraId="32C03F2B" w14:textId="77777777">
                    <w:pPr>
                      <w:jc w:val="right"/>
                      <w:rPr>
                        <w:rFonts w:cs="Arial"/>
                        <w:color w:val="000000"/>
                        <w:sz w:val="18"/>
                        <w:szCs w:val="18"/>
                      </w:rPr>
                    </w:pPr>
                    <w:r w:rsidRPr="00E1040F">
                      <w:rPr>
                        <w:rFonts w:cs="Arial"/>
                        <w:color w:val="000000"/>
                        <w:sz w:val="18"/>
                        <w:szCs w:val="18"/>
                      </w:rPr>
                      <w:t>0,7</w:t>
                    </w:r>
                  </w:p>
                </w:tc>
                <w:tc>
                  <w:tcPr>
                    <w:tcW w:w="506" w:type="pct"/>
                    <w:tcBorders>
                      <w:top w:val="nil"/>
                      <w:left w:val="nil"/>
                      <w:bottom w:val="nil"/>
                      <w:right w:val="nil"/>
                    </w:tcBorders>
                    <w:shd w:val="clear" w:color="auto" w:fill="auto"/>
                    <w:noWrap/>
                    <w:vAlign w:val="bottom"/>
                    <w:hideMark/>
                  </w:tcPr>
                  <w:p w:rsidRPr="00E1040F" w:rsidR="002318A8" w:rsidRDefault="002318A8" w14:paraId="14443236" w14:textId="77777777">
                    <w:pPr>
                      <w:jc w:val="right"/>
                      <w:rPr>
                        <w:rFonts w:cs="Arial"/>
                        <w:color w:val="000000"/>
                        <w:sz w:val="18"/>
                        <w:szCs w:val="18"/>
                      </w:rPr>
                    </w:pPr>
                    <w:r w:rsidRPr="00E1040F">
                      <w:rPr>
                        <w:rFonts w:cs="Arial"/>
                        <w:color w:val="000000"/>
                        <w:sz w:val="18"/>
                        <w:szCs w:val="18"/>
                      </w:rPr>
                      <w:t>0,8</w:t>
                    </w:r>
                  </w:p>
                </w:tc>
                <w:tc>
                  <w:tcPr>
                    <w:tcW w:w="506" w:type="pct"/>
                    <w:tcBorders>
                      <w:top w:val="nil"/>
                      <w:left w:val="nil"/>
                      <w:bottom w:val="nil"/>
                      <w:right w:val="nil"/>
                    </w:tcBorders>
                    <w:shd w:val="clear" w:color="auto" w:fill="auto"/>
                    <w:noWrap/>
                    <w:vAlign w:val="bottom"/>
                    <w:hideMark/>
                  </w:tcPr>
                  <w:p w:rsidRPr="00E1040F" w:rsidR="002318A8" w:rsidRDefault="002318A8" w14:paraId="1746F013" w14:textId="77777777">
                    <w:pPr>
                      <w:jc w:val="right"/>
                      <w:rPr>
                        <w:rFonts w:cs="Arial"/>
                        <w:color w:val="000000"/>
                        <w:sz w:val="18"/>
                        <w:szCs w:val="18"/>
                      </w:rPr>
                    </w:pPr>
                    <w:r w:rsidRPr="00E1040F">
                      <w:rPr>
                        <w:rFonts w:cs="Arial"/>
                        <w:color w:val="000000"/>
                        <w:sz w:val="18"/>
                        <w:szCs w:val="18"/>
                      </w:rPr>
                      <w:t>0,9</w:t>
                    </w:r>
                  </w:p>
                </w:tc>
                <w:tc>
                  <w:tcPr>
                    <w:tcW w:w="506" w:type="pct"/>
                    <w:tcBorders>
                      <w:top w:val="nil"/>
                      <w:left w:val="nil"/>
                      <w:bottom w:val="nil"/>
                      <w:right w:val="nil"/>
                    </w:tcBorders>
                    <w:shd w:val="clear" w:color="auto" w:fill="auto"/>
                    <w:noWrap/>
                    <w:vAlign w:val="bottom"/>
                    <w:hideMark/>
                  </w:tcPr>
                  <w:p w:rsidRPr="00E1040F" w:rsidR="002318A8" w:rsidRDefault="002318A8" w14:paraId="1774D40F" w14:textId="77777777">
                    <w:pPr>
                      <w:jc w:val="right"/>
                      <w:rPr>
                        <w:rFonts w:cs="Arial"/>
                        <w:color w:val="000000"/>
                        <w:sz w:val="18"/>
                        <w:szCs w:val="18"/>
                      </w:rPr>
                    </w:pPr>
                    <w:r w:rsidRPr="00E1040F">
                      <w:rPr>
                        <w:rFonts w:cs="Arial"/>
                        <w:color w:val="000000"/>
                        <w:sz w:val="18"/>
                        <w:szCs w:val="18"/>
                      </w:rPr>
                      <w:t>1,0</w:t>
                    </w:r>
                  </w:p>
                </w:tc>
                <w:tc>
                  <w:tcPr>
                    <w:tcW w:w="506" w:type="pct"/>
                    <w:tcBorders>
                      <w:top w:val="nil"/>
                      <w:left w:val="nil"/>
                      <w:bottom w:val="nil"/>
                      <w:right w:val="nil"/>
                    </w:tcBorders>
                    <w:shd w:val="clear" w:color="auto" w:fill="auto"/>
                    <w:noWrap/>
                    <w:vAlign w:val="bottom"/>
                    <w:hideMark/>
                  </w:tcPr>
                  <w:p w:rsidRPr="00E1040F" w:rsidR="002318A8" w:rsidRDefault="002318A8" w14:paraId="77F7FE0A" w14:textId="77777777">
                    <w:pPr>
                      <w:jc w:val="right"/>
                      <w:rPr>
                        <w:rFonts w:cs="Arial"/>
                        <w:color w:val="000000"/>
                        <w:sz w:val="18"/>
                        <w:szCs w:val="18"/>
                      </w:rPr>
                    </w:pPr>
                    <w:r w:rsidRPr="00E1040F">
                      <w:rPr>
                        <w:rFonts w:cs="Arial"/>
                        <w:color w:val="000000"/>
                        <w:sz w:val="18"/>
                        <w:szCs w:val="18"/>
                      </w:rPr>
                      <w:t>1,0</w:t>
                    </w:r>
                  </w:p>
                </w:tc>
                <w:tc>
                  <w:tcPr>
                    <w:tcW w:w="494" w:type="pct"/>
                    <w:tcBorders>
                      <w:top w:val="nil"/>
                      <w:left w:val="nil"/>
                      <w:bottom w:val="nil"/>
                      <w:right w:val="nil"/>
                    </w:tcBorders>
                    <w:shd w:val="clear" w:color="auto" w:fill="auto"/>
                    <w:noWrap/>
                    <w:vAlign w:val="bottom"/>
                    <w:hideMark/>
                  </w:tcPr>
                  <w:p w:rsidRPr="00E1040F" w:rsidR="002318A8" w:rsidRDefault="002318A8" w14:paraId="7FD9C77B" w14:textId="77777777">
                    <w:pPr>
                      <w:jc w:val="right"/>
                      <w:rPr>
                        <w:rFonts w:cs="Arial"/>
                        <w:color w:val="000000"/>
                        <w:sz w:val="18"/>
                        <w:szCs w:val="18"/>
                      </w:rPr>
                    </w:pPr>
                    <w:r w:rsidRPr="00E1040F">
                      <w:rPr>
                        <w:rFonts w:cs="Arial"/>
                        <w:color w:val="000000"/>
                        <w:sz w:val="18"/>
                        <w:szCs w:val="18"/>
                      </w:rPr>
                      <w:t>1,3</w:t>
                    </w:r>
                  </w:p>
                </w:tc>
              </w:tr>
              <w:tr w:rsidRPr="00E1040F" w:rsidR="002318A8" w:rsidTr="0092291D" w14:paraId="67ED236C" w14:textId="77777777">
                <w:trPr>
                  <w:trHeight w:val="300"/>
                </w:trPr>
                <w:tc>
                  <w:tcPr>
                    <w:tcW w:w="1976" w:type="pct"/>
                    <w:tcBorders>
                      <w:top w:val="nil"/>
                      <w:left w:val="nil"/>
                      <w:bottom w:val="single" w:color="auto" w:sz="12" w:space="0"/>
                      <w:right w:val="nil"/>
                    </w:tcBorders>
                    <w:shd w:val="clear" w:color="auto" w:fill="auto"/>
                    <w:noWrap/>
                    <w:vAlign w:val="bottom"/>
                    <w:hideMark/>
                  </w:tcPr>
                  <w:p w:rsidRPr="00E1040F" w:rsidR="002318A8" w:rsidRDefault="002318A8" w14:paraId="4199D970" w14:textId="77777777">
                    <w:pPr>
                      <w:rPr>
                        <w:rFonts w:cs="Arial"/>
                        <w:color w:val="000000"/>
                        <w:sz w:val="18"/>
                        <w:szCs w:val="18"/>
                      </w:rPr>
                    </w:pPr>
                    <w:r w:rsidRPr="00E1040F">
                      <w:rPr>
                        <w:rFonts w:cs="Arial"/>
                        <w:color w:val="000000"/>
                        <w:sz w:val="18"/>
                        <w:szCs w:val="18"/>
                      </w:rPr>
                      <w:t xml:space="preserve">Bruto collectieve uitgaven </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46377701" w14:textId="77777777">
                    <w:pPr>
                      <w:jc w:val="right"/>
                      <w:rPr>
                        <w:rFonts w:cs="Arial"/>
                        <w:color w:val="000000"/>
                        <w:sz w:val="18"/>
                        <w:szCs w:val="18"/>
                      </w:rPr>
                    </w:pPr>
                    <w:r w:rsidRPr="00E1040F">
                      <w:rPr>
                        <w:rFonts w:cs="Arial"/>
                        <w:color w:val="000000"/>
                        <w:sz w:val="18"/>
                        <w:szCs w:val="18"/>
                      </w:rPr>
                      <w:t>43,5</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58DD289E" w14:textId="77777777">
                    <w:pPr>
                      <w:jc w:val="right"/>
                      <w:rPr>
                        <w:rFonts w:cs="Arial"/>
                        <w:color w:val="000000"/>
                        <w:sz w:val="18"/>
                        <w:szCs w:val="18"/>
                      </w:rPr>
                    </w:pPr>
                    <w:r w:rsidRPr="00E1040F">
                      <w:rPr>
                        <w:rFonts w:cs="Arial"/>
                        <w:color w:val="000000"/>
                        <w:sz w:val="18"/>
                        <w:szCs w:val="18"/>
                      </w:rPr>
                      <w:t>44,0</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376C2BA3" w14:textId="77777777">
                    <w:pPr>
                      <w:jc w:val="right"/>
                      <w:rPr>
                        <w:rFonts w:cs="Arial"/>
                        <w:color w:val="000000"/>
                        <w:sz w:val="18"/>
                        <w:szCs w:val="18"/>
                      </w:rPr>
                    </w:pPr>
                    <w:r w:rsidRPr="00E1040F">
                      <w:rPr>
                        <w:rFonts w:cs="Arial"/>
                        <w:color w:val="000000"/>
                        <w:sz w:val="18"/>
                        <w:szCs w:val="18"/>
                      </w:rPr>
                      <w:t>45,2</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4BD2D7D1" w14:textId="77777777">
                    <w:pPr>
                      <w:jc w:val="right"/>
                      <w:rPr>
                        <w:rFonts w:cs="Arial"/>
                        <w:color w:val="000000"/>
                        <w:sz w:val="18"/>
                        <w:szCs w:val="18"/>
                      </w:rPr>
                    </w:pPr>
                    <w:r w:rsidRPr="00E1040F">
                      <w:rPr>
                        <w:rFonts w:cs="Arial"/>
                        <w:color w:val="000000"/>
                        <w:sz w:val="18"/>
                        <w:szCs w:val="18"/>
                      </w:rPr>
                      <w:t>44,8</w:t>
                    </w:r>
                  </w:p>
                </w:tc>
                <w:tc>
                  <w:tcPr>
                    <w:tcW w:w="506" w:type="pct"/>
                    <w:tcBorders>
                      <w:top w:val="nil"/>
                      <w:left w:val="nil"/>
                      <w:bottom w:val="single" w:color="auto" w:sz="12" w:space="0"/>
                      <w:right w:val="nil"/>
                    </w:tcBorders>
                    <w:shd w:val="clear" w:color="auto" w:fill="auto"/>
                    <w:noWrap/>
                    <w:vAlign w:val="bottom"/>
                    <w:hideMark/>
                  </w:tcPr>
                  <w:p w:rsidRPr="00E1040F" w:rsidR="002318A8" w:rsidRDefault="002318A8" w14:paraId="72AE5154" w14:textId="77777777">
                    <w:pPr>
                      <w:jc w:val="right"/>
                      <w:rPr>
                        <w:rFonts w:cs="Arial"/>
                        <w:color w:val="000000"/>
                        <w:sz w:val="18"/>
                        <w:szCs w:val="18"/>
                      </w:rPr>
                    </w:pPr>
                    <w:r w:rsidRPr="00E1040F">
                      <w:rPr>
                        <w:rFonts w:cs="Arial"/>
                        <w:color w:val="000000"/>
                        <w:sz w:val="18"/>
                        <w:szCs w:val="18"/>
                      </w:rPr>
                      <w:t>45,0</w:t>
                    </w:r>
                  </w:p>
                </w:tc>
                <w:tc>
                  <w:tcPr>
                    <w:tcW w:w="494" w:type="pct"/>
                    <w:tcBorders>
                      <w:top w:val="nil"/>
                      <w:left w:val="nil"/>
                      <w:bottom w:val="single" w:color="auto" w:sz="12" w:space="0"/>
                      <w:right w:val="nil"/>
                    </w:tcBorders>
                    <w:shd w:val="clear" w:color="auto" w:fill="auto"/>
                    <w:noWrap/>
                    <w:vAlign w:val="bottom"/>
                    <w:hideMark/>
                  </w:tcPr>
                  <w:p w:rsidRPr="00E1040F" w:rsidR="002318A8" w:rsidRDefault="002318A8" w14:paraId="2472ECA4" w14:textId="77777777">
                    <w:pPr>
                      <w:jc w:val="right"/>
                      <w:rPr>
                        <w:rFonts w:cs="Arial"/>
                        <w:color w:val="000000"/>
                        <w:sz w:val="18"/>
                        <w:szCs w:val="18"/>
                      </w:rPr>
                    </w:pPr>
                    <w:r w:rsidRPr="00E1040F">
                      <w:rPr>
                        <w:rFonts w:cs="Arial"/>
                        <w:color w:val="000000"/>
                        <w:sz w:val="18"/>
                        <w:szCs w:val="18"/>
                      </w:rPr>
                      <w:t>46,3</w:t>
                    </w:r>
                  </w:p>
                </w:tc>
              </w:tr>
            </w:tbl>
            <w:p w:rsidR="002318A8" w:rsidP="002318A8" w:rsidRDefault="002318A8" w14:paraId="0F74C9E4" w14:textId="77777777">
              <w:r>
                <w:rPr>
                  <w:i/>
                  <w:iCs/>
                  <w:sz w:val="18"/>
                  <w:szCs w:val="18"/>
                </w:rPr>
                <w:t>Bro</w:t>
              </w:r>
              <w:r w:rsidRPr="0004695C">
                <w:rPr>
                  <w:i/>
                  <w:iCs/>
                  <w:sz w:val="18"/>
                  <w:szCs w:val="18"/>
                </w:rPr>
                <w:t>n: CPB, Centraal Economisch Plan 2025 (februari 2025</w:t>
              </w:r>
              <w:r>
                <w:rPr>
                  <w:i/>
                  <w:iCs/>
                  <w:sz w:val="18"/>
                  <w:szCs w:val="18"/>
                </w:rPr>
                <w:t xml:space="preserve">). De defensie-uitgaven in deze tabel zijn op basis van een classificatie van het CPB. Deze uitgaven wijken af van de NAVO-norm, omdat de NAVO-norm op kasbasis is en de uitgavenposten die als defensie-uitgaven meetellen afwijken. De uitkomst van de voorjaarsbesluitvorming 2025 is niet in deze tabel verwerkt. In de Budgettaire Analyse Voorjaarsnota van het CPB is geen uitsplitsing van de uitgaven naar overheidsfuncties </w:t>
              </w:r>
              <w:r>
                <w:rPr>
                  <w:i/>
                  <w:iCs/>
                  <w:sz w:val="18"/>
                  <w:szCs w:val="18"/>
                </w:rPr>
                <w:lastRenderedPageBreak/>
                <w:t xml:space="preserve">opgenomen. De bruto collectieve uitgaven liggen in die publicatie wat hoger voor de jaren 2024-2028 dan de CEP-raming (zie tabel 4). </w:t>
              </w:r>
            </w:p>
            <w:p w:rsidRPr="007E06C3" w:rsidR="002318A8" w:rsidP="002318A8" w:rsidRDefault="002318A8" w14:paraId="0E71F9A3" w14:textId="77777777">
              <w:pPr>
                <w:rPr>
                  <w:b/>
                  <w:bCs/>
                </w:rPr>
              </w:pPr>
              <w:r>
                <w:t xml:space="preserve">Vooral door een toename van de reële lonen neemt de koopkracht van huishoudens naar verwachting gemiddeld toe. De spreiding tussen huishoudens is beperkt. Het aandeel van personen in armoede en kinderarmoede daalt tot 2,7% in 2028 door onder andere een verdere stijging van de lonen, verlaging van de eigen bijdrage in de huurtoeslag en verhoging van het </w:t>
              </w:r>
              <w:proofErr w:type="spellStart"/>
              <w:r>
                <w:t>kindgebonden</w:t>
              </w:r>
              <w:proofErr w:type="spellEnd"/>
              <w:r>
                <w:t xml:space="preserve"> budget. </w:t>
              </w:r>
            </w:p>
            <w:p w:rsidR="002318A8" w:rsidP="002318A8" w:rsidRDefault="002318A8" w14:paraId="45829278" w14:textId="77777777"/>
            <w:p w:rsidR="002318A8" w:rsidP="002318A8" w:rsidRDefault="002318A8" w14:paraId="3D39DE89" w14:textId="77777777">
              <w:r>
                <w:t xml:space="preserve">De collectieve uitgaven voor vooral de sociale zekerheid en de zorg blijven stijgen in de CEP-raming. Dit komt mede door de vergrijzing (zie tabel 3); in 2033 (tegen het einde </w:t>
              </w:r>
              <w:proofErr w:type="spellStart"/>
              <w:r>
                <w:t>einde</w:t>
              </w:r>
              <w:proofErr w:type="spellEnd"/>
              <w:r>
                <w:t xml:space="preserve"> van de volgende kabinetsperiode) maken zij bij ongewijzigd beleid samen ongeveer de helft uit van de collectieve uitgaven. Daarnaast lopen de rentelasten op. Bij een vertragende economische groei betekent dit dat de collectieve uitgavenquote de komende jaren stijgt.</w:t>
              </w:r>
              <w:r>
                <w:rPr>
                  <w:rStyle w:val="Voetnootmarkering"/>
                </w:rPr>
                <w:footnoteReference w:id="7"/>
              </w:r>
              <w:r>
                <w:t xml:space="preserve"> De stijgende uitgaven betreffen niet overheidsinvesteringen maar vooral overheidsconsumptie.</w:t>
              </w:r>
            </w:p>
            <w:p w:rsidR="002318A8" w:rsidP="002318A8" w:rsidRDefault="002318A8" w14:paraId="701AF88C" w14:textId="77777777"/>
            <w:p w:rsidRPr="0058032A" w:rsidR="002318A8" w:rsidP="002318A8" w:rsidRDefault="002318A8" w14:paraId="55BDF756" w14:textId="77777777">
              <w:pPr>
                <w:rPr>
                  <w:b/>
                  <w:bCs/>
                  <w:i/>
                  <w:iCs/>
                </w:rPr>
              </w:pPr>
              <w:r w:rsidRPr="000F06E9">
                <w:rPr>
                  <w:i/>
                  <w:iCs/>
                </w:rPr>
                <w:t>Bijstellingen van de</w:t>
              </w:r>
              <w:r>
                <w:rPr>
                  <w:i/>
                  <w:iCs/>
                </w:rPr>
                <w:t xml:space="preserve"> cijfers</w:t>
              </w:r>
            </w:p>
            <w:p w:rsidR="002318A8" w:rsidP="002318A8" w:rsidRDefault="002318A8" w14:paraId="73C68E68" w14:textId="77777777">
              <w:r>
                <w:t>In het CEP 2025 zijn een aantal economische vooruitzichten bijgesteld ten opzichte van eerdere ramingen. Bijstellingen zijn onvermijdelijk, niet alleen doordat er nieuwe ontwikkelingen zijn maar ook doordat nieuwe informatie beschikbaar komt. Daarnaast worden definities, schattingen en methoden door het CPB regelmatig herzien. De belangrijkste veranderingen zijn:</w:t>
              </w:r>
            </w:p>
            <w:p w:rsidR="002318A8" w:rsidP="002318A8" w:rsidRDefault="002318A8" w14:paraId="235228C4" w14:textId="77777777">
              <w:pPr>
                <w:pStyle w:val="Lijstalinea"/>
                <w:numPr>
                  <w:ilvl w:val="0"/>
                  <w:numId w:val="5"/>
                </w:numPr>
              </w:pPr>
              <w:r w:rsidRPr="008E32AA">
                <w:t xml:space="preserve">Het </w:t>
              </w:r>
              <w:r>
                <w:t xml:space="preserve">CEP 2025 </w:t>
              </w:r>
              <w:r w:rsidRPr="008E32AA">
                <w:t>bevat een herziene raming van het arbeidsaanbod en de potentiële groei van het bbp.</w:t>
              </w:r>
              <w:r>
                <w:rPr>
                  <w:rStyle w:val="Voetnootmarkering"/>
                </w:rPr>
                <w:footnoteReference w:id="8"/>
              </w:r>
              <w:r w:rsidRPr="008E32AA">
                <w:t xml:space="preserve"> </w:t>
              </w:r>
              <w:r>
                <w:t xml:space="preserve">De verwachte economische groei ligt hierdoor in de hele beschouwde periode hoger dan voorheen werd geraamd. </w:t>
              </w:r>
            </w:p>
            <w:p w:rsidR="002318A8" w:rsidP="002318A8" w:rsidRDefault="002318A8" w14:paraId="21F299C8" w14:textId="77777777">
              <w:pPr>
                <w:pStyle w:val="Lijstalinea"/>
                <w:numPr>
                  <w:ilvl w:val="0"/>
                  <w:numId w:val="5"/>
                </w:numPr>
              </w:pPr>
              <w:r w:rsidRPr="008E32AA">
                <w:t>Het arbeidsaanbod is herschat en opwaarts aangepast, vooral door een hogere arbeidsparticipatie van jongeren en gepensioneerden.</w:t>
              </w:r>
              <w:r>
                <w:t xml:space="preserve"> De participatiegraad stijgt meer en ligt hoger bij deze raming dan bij de MEV 2025 in de periode 2024-2033. </w:t>
              </w:r>
            </w:p>
            <w:p w:rsidR="002318A8" w:rsidP="002318A8" w:rsidRDefault="002318A8" w14:paraId="7302586F" w14:textId="77777777">
              <w:pPr>
                <w:pStyle w:val="Lijstalinea"/>
                <w:numPr>
                  <w:ilvl w:val="0"/>
                  <w:numId w:val="5"/>
                </w:numPr>
              </w:pPr>
              <w:r>
                <w:t xml:space="preserve">Het CPB heeft een nieuwe raming gemaakt van de zorguitgaven op middellange termijn. </w:t>
              </w:r>
              <w:r w:rsidRPr="008E32AA">
                <w:t xml:space="preserve">De zorguitgaven </w:t>
              </w:r>
              <w:r>
                <w:t xml:space="preserve">zijn </w:t>
              </w:r>
              <w:r w:rsidRPr="008E32AA">
                <w:t xml:space="preserve">wat </w:t>
              </w:r>
              <w:r>
                <w:t xml:space="preserve">voor de hele beschouwde periode minder dan bij de vorige raming, </w:t>
              </w:r>
              <w:r w:rsidRPr="008E32AA">
                <w:t xml:space="preserve">vooral </w:t>
              </w:r>
              <w:r>
                <w:t>doordat de geschatte loonuitgaven vergeleken met de vorige raming lager zijn</w:t>
              </w:r>
              <w:r w:rsidRPr="008E32AA">
                <w:t>.</w:t>
              </w:r>
              <w:r>
                <w:rPr>
                  <w:rStyle w:val="Voetnootmarkering"/>
                </w:rPr>
                <w:footnoteReference w:id="9"/>
              </w:r>
            </w:p>
            <w:p w:rsidR="002318A8" w:rsidP="002318A8" w:rsidRDefault="002318A8" w14:paraId="3C077ECE" w14:textId="77777777">
              <w:pPr>
                <w:pStyle w:val="Lijstalinea"/>
                <w:numPr>
                  <w:ilvl w:val="0"/>
                  <w:numId w:val="5"/>
                </w:numPr>
              </w:pPr>
              <w:r w:rsidRPr="008E32AA">
                <w:t>De armoededefinitie is met ingang van het CEP 2025 aangepast op basis van nieuw gezamenlijk onderzoek van het SCP, het CBS en het CPB. De armoedecijfers liggen met de nieuwe definitie lager</w:t>
              </w:r>
              <w:r>
                <w:t xml:space="preserve"> ten opzichte van vorige berekeningen,</w:t>
              </w:r>
              <w:r w:rsidRPr="008E32AA">
                <w:t xml:space="preserve"> omdat personen met een laag inkomen maar een voldoende groot vermogen nu niet meer onder de armoedegrens vallen. </w:t>
              </w:r>
            </w:p>
            <w:p w:rsidR="002318A8" w:rsidP="002318A8" w:rsidRDefault="002318A8" w14:paraId="06986EA5" w14:textId="77777777"/>
            <w:p w:rsidR="002318A8" w:rsidP="002318A8" w:rsidRDefault="002318A8" w14:paraId="20D96033" w14:textId="77777777"/>
            <w:p w:rsidR="002318A8" w:rsidP="002318A8" w:rsidRDefault="002318A8" w14:paraId="4E4C371A" w14:textId="77777777"/>
            <w:p w:rsidR="002318A8" w:rsidP="002318A8" w:rsidRDefault="002318A8" w14:paraId="5CEAD196" w14:textId="77777777"/>
            <w:p w:rsidR="002318A8" w:rsidP="002318A8" w:rsidRDefault="002318A8" w14:paraId="37774BF9" w14:textId="77777777">
              <w:pPr>
                <w:pStyle w:val="Lijstalinea"/>
                <w:numPr>
                  <w:ilvl w:val="1"/>
                  <w:numId w:val="3"/>
                </w:numPr>
                <w:ind w:left="0" w:firstLine="0"/>
                <w:rPr>
                  <w:i/>
                  <w:iCs/>
                </w:rPr>
              </w:pPr>
              <w:r w:rsidRPr="004F6256">
                <w:rPr>
                  <w:i/>
                  <w:iCs/>
                </w:rPr>
                <w:t xml:space="preserve">Budgettaire context </w:t>
              </w:r>
            </w:p>
            <w:p w:rsidRPr="001921E8" w:rsidR="002318A8" w:rsidP="002318A8" w:rsidRDefault="002318A8" w14:paraId="002C5617" w14:textId="77777777">
              <w:r w:rsidRPr="001921E8">
                <w:t xml:space="preserve">De overheidsfinanciën laten in de periode 2025-2028 naar verwachting een vrij stabiel beeld zien. </w:t>
              </w:r>
              <w:r>
                <w:t>D</w:t>
              </w:r>
              <w:r w:rsidRPr="001921E8">
                <w:t xml:space="preserve">e </w:t>
              </w:r>
              <w:r>
                <w:t xml:space="preserve">Budgettaire Analyse Voorjaarsnota 2025 </w:t>
              </w:r>
              <w:r w:rsidRPr="001921E8">
                <w:t xml:space="preserve">van het CPB </w:t>
              </w:r>
              <w:r>
                <w:t>laat zien dat</w:t>
              </w:r>
              <w:r w:rsidRPr="001921E8">
                <w:t xml:space="preserve"> het EMU-saldo in de periode 2025-2028 gemiddeld op -2,3% bbp</w:t>
              </w:r>
              <w:r>
                <w:t xml:space="preserve"> ligt</w:t>
              </w:r>
              <w:r w:rsidRPr="001921E8">
                <w:t xml:space="preserve">. Dit is 0,4% hoger dan gemiddeld voor dezelfde periode bij de CEP-raming. </w:t>
              </w:r>
              <w:r>
                <w:t xml:space="preserve">Voor een deel (0,3% bbp) komt dit door nieuwe realisaties in 2024, die volgens het CPB in de gehele periode 2025-2028 effect hebben. </w:t>
              </w:r>
              <w:r w:rsidRPr="001921E8">
                <w:t xml:space="preserve">De voorjaarsbesluitvorming leidt </w:t>
              </w:r>
              <w:r>
                <w:t xml:space="preserve">in de CPB-berekeningen </w:t>
              </w:r>
              <w:r w:rsidRPr="001921E8">
                <w:t xml:space="preserve">tot een </w:t>
              </w:r>
              <w:r>
                <w:t xml:space="preserve">aanvullende lichte </w:t>
              </w:r>
              <w:r w:rsidRPr="001921E8">
                <w:t>verslechtering van het EMU-saldo</w:t>
              </w:r>
              <w:r>
                <w:t>, let wel ten opzichte van de CEP-raming (niet ten opzichte van de Miljoenennota 2025). I</w:t>
              </w:r>
              <w:r w:rsidRPr="001921E8">
                <w:t xml:space="preserve">n de Voorjaarsnota </w:t>
              </w:r>
              <w:r>
                <w:t xml:space="preserve">houden </w:t>
              </w:r>
              <w:r w:rsidRPr="001921E8">
                <w:t>extra uitgaven, bezuinigingen</w:t>
              </w:r>
              <w:r>
                <w:t xml:space="preserve">, lastenverlichtingen </w:t>
              </w:r>
              <w:r w:rsidRPr="001921E8">
                <w:t xml:space="preserve">en lastenverhogingen elkaar ongeveer in evenwicht. Dit komt omdat een deel van de uitgaven in de Voorjaarsnota wordt gedekt met </w:t>
              </w:r>
              <w:proofErr w:type="spellStart"/>
              <w:r w:rsidRPr="001921E8">
                <w:t>onderuitputting</w:t>
              </w:r>
              <w:proofErr w:type="spellEnd"/>
              <w:r w:rsidRPr="001921E8">
                <w:t xml:space="preserve">, waar de CEP-raming </w:t>
              </w:r>
              <w:r>
                <w:t>a</w:t>
              </w:r>
              <w:r w:rsidRPr="001921E8">
                <w:t>l rekening mee had gehouden. Door gestaag toenemende uitgaven nadert het EMU-saldo de Europese 3%-tekortnorm in 2033</w:t>
              </w:r>
              <w:r>
                <w:t xml:space="preserve"> (-2,9% bbp in 2033 in de CEP-raming)</w:t>
              </w:r>
              <w:r w:rsidRPr="001921E8">
                <w:t xml:space="preserve">. </w:t>
              </w:r>
            </w:p>
            <w:p w:rsidR="002318A8" w:rsidP="002318A8" w:rsidRDefault="002318A8" w14:paraId="3FEF6721" w14:textId="77777777"/>
            <w:p w:rsidR="002318A8" w:rsidP="002318A8" w:rsidRDefault="002318A8" w14:paraId="5E542E5C" w14:textId="77777777">
              <w:r>
                <w:t xml:space="preserve">De overheidsschuld ligt in de jaren 2025-2028 ruim onder de Europese schuldnorm van 60%. Deze relatief gunstige quote is voor een deel toe te schrijven aan een sterke nominale stijging van het bbp, die wordt versterkt door de hogere inflatie (het zogeheten noemereffect). Door het negatievere saldo loopt de schuldquote wel op. Deze ontwikkeling wordt vooral in 2025 en 2026 versterkt door hogere leningen aan </w:t>
              </w:r>
              <w:proofErr w:type="spellStart"/>
              <w:r>
                <w:t>TenneT</w:t>
              </w:r>
              <w:proofErr w:type="spellEnd"/>
              <w:r>
                <w:t xml:space="preserve"> voor investeringen in het elektriciteitsnet. </w:t>
              </w:r>
            </w:p>
            <w:p w:rsidR="002318A8" w:rsidP="002318A8" w:rsidRDefault="002318A8" w14:paraId="5E8371B0" w14:textId="77777777"/>
            <w:p w:rsidR="002318A8" w:rsidP="002318A8" w:rsidRDefault="002318A8" w14:paraId="73AD46D9" w14:textId="77777777">
              <w:r>
                <w:t xml:space="preserve">De uitgaven zijn in 2026 hoog door een éénmalige uitgave van €8,15 mld. vanwege de affinanciering van de defensiepensioenen. Deze eenmalige uitgave zorgt voor een sterke stijging van de collectieve uitgavenquote in 2026. De </w:t>
              </w:r>
              <w:proofErr w:type="spellStart"/>
              <w:r>
                <w:t>onderuitputting</w:t>
              </w:r>
              <w:proofErr w:type="spellEnd"/>
              <w:r>
                <w:t xml:space="preserve"> piekt in 2026.</w:t>
              </w:r>
              <w:r w:rsidRPr="008E32AA">
                <w:t xml:space="preserve"> </w:t>
              </w:r>
              <w:r>
                <w:t xml:space="preserve">Daarna loopt de </w:t>
              </w:r>
              <w:proofErr w:type="spellStart"/>
              <w:r>
                <w:t>onderuitputting</w:t>
              </w:r>
              <w:proofErr w:type="spellEnd"/>
              <w:r>
                <w:t xml:space="preserve"> naar verwachting langzaam terug. </w:t>
              </w:r>
            </w:p>
            <w:p w:rsidR="002318A8" w:rsidP="002318A8" w:rsidRDefault="002318A8" w14:paraId="5983F1D6" w14:textId="77777777"/>
            <w:p w:rsidR="002318A8" w:rsidP="002318A8" w:rsidRDefault="002318A8" w14:paraId="35E17416" w14:textId="77777777">
              <w:r w:rsidRPr="008E32AA">
                <w:t>De</w:t>
              </w:r>
              <w:r>
                <w:t xml:space="preserve"> collectieve</w:t>
              </w:r>
              <w:r w:rsidRPr="008E32AA">
                <w:t xml:space="preserve"> uitgavenquote neemt op middellange termijn toe, vooral door een toename van de uitgaven aan zorg en sociale zekerheid. Stijgende lonen en prijzen en demografische factoren zijn hiervoor een belangrijke oorzaak. </w:t>
              </w:r>
              <w:r>
                <w:t xml:space="preserve">De rente-uitgaven nemen eveneens toe. </w:t>
              </w:r>
            </w:p>
            <w:p w:rsidR="002318A8" w:rsidP="002318A8" w:rsidRDefault="002318A8" w14:paraId="252F4590" w14:textId="77777777"/>
            <w:p w:rsidRPr="008E32AA" w:rsidR="002318A8" w:rsidP="002318A8" w:rsidRDefault="002318A8" w14:paraId="218C696D" w14:textId="77777777">
              <w:r>
                <w:t xml:space="preserve">De collectieve </w:t>
              </w:r>
              <w:r w:rsidRPr="007F0C51">
                <w:t>lastenquote daalt in 2025,</w:t>
              </w:r>
              <w:r>
                <w:t xml:space="preserve"> maar is verder in de periode </w:t>
              </w:r>
              <w:r w:rsidRPr="007F0C51">
                <w:t>2025-2033</w:t>
              </w:r>
              <w:r>
                <w:t xml:space="preserve"> redelijk stabiel.</w:t>
              </w:r>
              <w:r>
                <w:rPr>
                  <w:rStyle w:val="Voetnootmarkering"/>
                </w:rPr>
                <w:footnoteReference w:id="10"/>
              </w:r>
              <w:r>
                <w:t xml:space="preserve"> Uit doorrekening van de Voorjaarsnota blijkt dat de maatregelen een netto beperkt effect te hebben op de lastenquote: de maatregelen behelzen vooral een verschuiving tussen verschillende belastingen. De incidentele daling komt vooral door anticipatie-effecten bij de box-2-heffing en compensatie voor box 3-rechtsherstel</w:t>
              </w:r>
              <w:r w:rsidRPr="008E32AA">
                <w:t xml:space="preserve">. Hierbij werken ontwikkelingen in verschillende belastingsoorten in tegengestelde richtingen. Enerzijds stijgen de opbrengsten </w:t>
              </w:r>
              <w:r w:rsidRPr="008E32AA">
                <w:lastRenderedPageBreak/>
                <w:t>van de loon- en inkomensheffing door hogere lonen en meer werkgelegenheid. B</w:t>
              </w:r>
              <w:r>
                <w:t>tw</w:t>
              </w:r>
              <w:r w:rsidRPr="008E32AA">
                <w:t>-inkomsten blijven achter bij de bbp-groei omdat de consumptie minder hard toeneemt dan het bbp. De opbrengsten van de vennootschapsbelasting (</w:t>
              </w:r>
              <w:proofErr w:type="spellStart"/>
              <w:r w:rsidRPr="008E32AA">
                <w:t>vpb</w:t>
              </w:r>
              <w:proofErr w:type="spellEnd"/>
              <w:r w:rsidRPr="008E32AA">
                <w:t xml:space="preserve">) stijgen de komende jaren minder dan de afgelopen jaren. </w:t>
              </w:r>
              <w:r>
                <w:t xml:space="preserve">De </w:t>
              </w:r>
              <w:proofErr w:type="spellStart"/>
              <w:r>
                <w:t>vpb</w:t>
              </w:r>
              <w:proofErr w:type="spellEnd"/>
              <w:r w:rsidRPr="008E32AA">
                <w:t xml:space="preserve">-inkomsten waren de afgelopen jaren </w:t>
              </w:r>
              <w:r>
                <w:t xml:space="preserve">hoger dan verwacht, </w:t>
              </w:r>
              <w:r w:rsidRPr="008E32AA">
                <w:t>voor een deel door incidentele factoren.</w:t>
              </w:r>
            </w:p>
            <w:p w:rsidR="002318A8" w:rsidP="002318A8" w:rsidRDefault="002318A8" w14:paraId="22B53259" w14:textId="77777777"/>
            <w:p w:rsidR="002318A8" w:rsidP="002318A8" w:rsidRDefault="002318A8" w14:paraId="1C593935" w14:textId="77777777">
              <w:r w:rsidRPr="008E32AA">
                <w:t xml:space="preserve">Het saldo van de </w:t>
              </w:r>
              <w:r>
                <w:t>mede</w:t>
              </w:r>
              <w:r w:rsidRPr="008E32AA">
                <w:t>overheden</w:t>
              </w:r>
              <w:r>
                <w:t xml:space="preserve"> verslechtert van -0,2% bbp in 2025 in de Budgettaire Analyse Voorjaarsnota naar -0,4% in 2033 in de CEP-raming. Dit is het resultaat van tegengestelde ontwikkelingen; het saldo van de medeoverheden in 2024 is na de CEP-raming neerwaarts bijgesteld, door nieuwe realisatiecijfers van het Centraal Bureau voor de Statistiek. Dit heeft ook een drukkend effect op het saldo in latere jaren. De Voorjaarsnota bevat een verhoging van het Gemeente- en Provinciefonds en (tijdelijk) extra middelen voor de jeugdzorg in de jaren 2025-2027. Het lagere saldo in 2033 komt door </w:t>
              </w:r>
              <w:r w:rsidRPr="008E32AA">
                <w:t>teruglopende financiering uit het gemeente- en provinciefonds na 2026</w:t>
              </w:r>
              <w:r>
                <w:t xml:space="preserve"> en </w:t>
              </w:r>
              <w:r w:rsidRPr="008E32AA">
                <w:t xml:space="preserve">oplopende uitgaven aan de </w:t>
              </w:r>
              <w:proofErr w:type="spellStart"/>
              <w:r>
                <w:t>W</w:t>
              </w:r>
              <w:r w:rsidRPr="008E32AA">
                <w:t>mo</w:t>
              </w:r>
              <w:proofErr w:type="spellEnd"/>
              <w:r w:rsidRPr="008E32AA">
                <w:t xml:space="preserve">- en jeugdzorg. Het CPB neemt aan dat </w:t>
              </w:r>
              <w:r>
                <w:t>mede</w:t>
              </w:r>
              <w:r w:rsidRPr="008E32AA">
                <w:t xml:space="preserve">overheden de terugval van de financiering uit </w:t>
              </w:r>
              <w:r>
                <w:t xml:space="preserve">het gemeente- en provinciefonds deels </w:t>
              </w:r>
              <w:r w:rsidRPr="008E32AA">
                <w:t>opvang</w:t>
              </w:r>
              <w:r>
                <w:t>en</w:t>
              </w:r>
              <w:r w:rsidRPr="008E32AA">
                <w:t xml:space="preserve"> door bezuinigingen. </w:t>
              </w:r>
            </w:p>
            <w:p w:rsidR="002318A8" w:rsidP="002318A8" w:rsidRDefault="002318A8" w14:paraId="25F45490" w14:textId="77777777"/>
            <w:p w:rsidR="002318A8" w:rsidP="002318A8" w:rsidRDefault="002318A8" w14:paraId="295CD588" w14:textId="77777777">
              <w:r>
                <w:t xml:space="preserve">Vergeleken met de Septemberrapportage van de Afdeling (gebaseerde op de MEV en de Miljoenennota 2025) is het beeld van de overheidsfinanciën weliswaar gunstiger geworden, maar structureel toch niet substantieel gewijzigd. </w:t>
              </w:r>
              <w:r w:rsidRPr="00BA0322">
                <w:t>Het EMU-saldo is in 2024 gunstiger dan verwacht.</w:t>
              </w:r>
              <w:r>
                <w:t xml:space="preserve"> Deze bijstelling heeft echter een beperkt effect op de raming van het EMU-saldo in de jaren na 2025.</w:t>
              </w:r>
              <w:r>
                <w:rPr>
                  <w:rStyle w:val="Voetnootmarkering"/>
                </w:rPr>
                <w:footnoteReference w:id="11"/>
              </w:r>
              <w:r>
                <w:t xml:space="preserve"> </w:t>
              </w:r>
            </w:p>
            <w:p w:rsidR="002318A8" w:rsidP="002318A8" w:rsidRDefault="002318A8" w14:paraId="6978853D" w14:textId="77777777"/>
            <w:p w:rsidR="002318A8" w:rsidP="002318A8" w:rsidRDefault="002318A8" w14:paraId="4F9C7643" w14:textId="77777777">
              <w:r>
                <w:t xml:space="preserve">Voor alle jaren is het EMU-saldo gunstiger dan bij de raming van de Macro-Economische Verkenning (MEV) van september 2024. Een opwaartse bijstelling van de werkgelegenheid leidt tot hogere inkomsten. Daarentegen worden de zorguitgaven juist wat lager geraamd. Door het gunstiger EMU-saldo komt ook de schuld lager uit. Dit beeld wordt versterkt doordat de schuld wordt uitgedrukt als percentage van het bbp, dat opwaarts is bijgesteld. </w:t>
              </w:r>
            </w:p>
            <w:p w:rsidR="002318A8" w:rsidP="002318A8" w:rsidRDefault="002318A8" w14:paraId="67025294" w14:textId="77777777">
              <w:pPr>
                <w:rPr>
                  <w:b/>
                  <w:bCs/>
                </w:rPr>
              </w:pPr>
            </w:p>
            <w:p w:rsidRPr="00460A5C" w:rsidR="002318A8" w:rsidP="002318A8" w:rsidRDefault="002318A8" w14:paraId="5F26F0D9" w14:textId="77777777">
              <w:pPr>
                <w:pStyle w:val="Lijstalinea"/>
                <w:numPr>
                  <w:ilvl w:val="1"/>
                  <w:numId w:val="3"/>
                </w:numPr>
                <w:ind w:left="0" w:firstLine="0"/>
              </w:pPr>
              <w:r>
                <w:rPr>
                  <w:i/>
                  <w:iCs/>
                </w:rPr>
                <w:t xml:space="preserve">Realistisch ramen </w:t>
              </w:r>
            </w:p>
            <w:p w:rsidR="002318A8" w:rsidP="002318A8" w:rsidRDefault="002318A8" w14:paraId="3E660AFB" w14:textId="77777777">
              <w:r>
                <w:t>Het EMU-saldo is het verschil tussen de uitgaven en de belastinginkomsten van de overheid.</w:t>
              </w:r>
              <w:r>
                <w:rPr>
                  <w:rStyle w:val="Voetnootmarkering"/>
                </w:rPr>
                <w:footnoteReference w:id="12"/>
              </w:r>
              <w:r>
                <w:t xml:space="preserve"> </w:t>
              </w:r>
              <w:r w:rsidRPr="004C2000">
                <w:t xml:space="preserve">De afgelopen jaren </w:t>
              </w:r>
              <w:r>
                <w:t xml:space="preserve">bleek het gerealiseerde EMU-saldo gunstiger dan geraamd. De bijstellingen zijn de afgelopen jaren niet alleen positief maar nemen ook in omvang toe </w:t>
              </w:r>
              <w:r w:rsidRPr="004C2000">
                <w:t xml:space="preserve">(zie </w:t>
              </w:r>
              <w:r>
                <w:t>F</w:t>
              </w:r>
              <w:r w:rsidRPr="004C2000">
                <w:t>iguur</w:t>
              </w:r>
              <w:r>
                <w:t xml:space="preserve"> 1</w:t>
              </w:r>
              <w:r w:rsidRPr="004C2000">
                <w:t xml:space="preserve">). </w:t>
              </w:r>
              <w:r>
                <w:t xml:space="preserve">Gemiddeld bedraagt de </w:t>
              </w:r>
              <w:r>
                <w:lastRenderedPageBreak/>
                <w:t xml:space="preserve">ramingsafwijking (realisatie minus raming) van het EMU-saldo 0,4% bbp per jaar. In de periode 2021-2023 was dit gemiddeld 2,7% bbp per jaar. </w:t>
              </w:r>
            </w:p>
            <w:p w:rsidR="002318A8" w:rsidP="002318A8" w:rsidRDefault="002318A8" w14:paraId="6BC01054" w14:textId="77777777"/>
            <w:p w:rsidR="002318A8" w:rsidP="002318A8" w:rsidRDefault="002318A8" w14:paraId="423F5BDB" w14:textId="77777777">
              <w:r>
                <w:t>Tijdens de Algemene Financiële beschouwingen en bij de besprekingen van de Najaarsnota zijn in de Tweede Kamer vragen gesteld over de kwaliteit van de ramingen van het saldo van de overheidsuitgaven (EMU-saldo) en de overheidsschuld (EMU-schuld). In reactie hierop heeft de Minister van Financiën een expertgroep ingesteld om de ramingsverschillen te onderzoeken.</w:t>
              </w:r>
              <w:r>
                <w:rPr>
                  <w:rStyle w:val="Voetnootmarkering"/>
                </w:rPr>
                <w:footnoteReference w:id="13"/>
              </w:r>
              <w:r>
                <w:t xml:space="preserve"> </w:t>
              </w:r>
            </w:p>
            <w:p w:rsidR="002318A8" w:rsidP="002318A8" w:rsidRDefault="002318A8" w14:paraId="13B3A56C" w14:textId="77777777"/>
            <w:p w:rsidRPr="00DA2DE0" w:rsidR="002318A8" w:rsidP="002318A8" w:rsidRDefault="002318A8" w14:paraId="6DDDD0EF" w14:textId="77777777">
              <w:pPr>
                <w:rPr>
                  <w:i/>
                  <w:iCs/>
                  <w:noProof/>
                  <w:sz w:val="18"/>
                  <w:szCs w:val="18"/>
                </w:rPr>
              </w:pPr>
              <w:r w:rsidRPr="00DA2DE0">
                <w:rPr>
                  <w:i/>
                  <w:iCs/>
                  <w:noProof/>
                  <w:sz w:val="18"/>
                  <w:szCs w:val="18"/>
                </w:rPr>
                <w:t>Figuur 1. Ramingsafwijking EMU-saldo voorafgaand aan begrotingsjaar in % bbp</w:t>
              </w:r>
            </w:p>
            <w:p w:rsidR="002318A8" w:rsidP="002318A8" w:rsidRDefault="002318A8" w14:paraId="71A56392" w14:textId="77777777">
              <w:r>
                <w:rPr>
                  <w:noProof/>
                </w:rPr>
                <w:drawing>
                  <wp:inline distT="0" distB="0" distL="0" distR="0" wp14:anchorId="1C0B63DE" wp14:editId="7C02EFB8">
                    <wp:extent cx="4733925" cy="3274533"/>
                    <wp:effectExtent l="0" t="0" r="0" b="2540"/>
                    <wp:docPr id="2757863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65883" name="Afbeelding 11229658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4555" cy="3295720"/>
                            </a:xfrm>
                            <a:prstGeom prst="rect">
                              <a:avLst/>
                            </a:prstGeom>
                          </pic:spPr>
                        </pic:pic>
                      </a:graphicData>
                    </a:graphic>
                  </wp:inline>
                </w:drawing>
              </w:r>
            </w:p>
            <w:p w:rsidRPr="00C475F4" w:rsidR="002318A8" w:rsidP="002318A8" w:rsidRDefault="002318A8" w14:paraId="70E9D6E4" w14:textId="77777777">
              <w:pPr>
                <w:rPr>
                  <w:i/>
                  <w:iCs/>
                  <w:sz w:val="18"/>
                  <w:szCs w:val="18"/>
                </w:rPr>
              </w:pPr>
              <w:r w:rsidRPr="00C475F4">
                <w:rPr>
                  <w:i/>
                  <w:iCs/>
                  <w:sz w:val="18"/>
                  <w:szCs w:val="18"/>
                </w:rPr>
                <w:t xml:space="preserve">Bron: Rapport </w:t>
              </w:r>
              <w:r>
                <w:rPr>
                  <w:i/>
                  <w:iCs/>
                  <w:sz w:val="18"/>
                  <w:szCs w:val="18"/>
                </w:rPr>
                <w:t>e</w:t>
              </w:r>
              <w:r w:rsidRPr="00C475F4">
                <w:rPr>
                  <w:i/>
                  <w:iCs/>
                  <w:sz w:val="18"/>
                  <w:szCs w:val="18"/>
                </w:rPr>
                <w:t>xpertgroep realistisch ramen</w:t>
              </w:r>
            </w:p>
            <w:p w:rsidR="002318A8" w:rsidP="002318A8" w:rsidRDefault="002318A8" w14:paraId="55E5D699" w14:textId="77777777"/>
            <w:p w:rsidR="002318A8" w:rsidP="002318A8" w:rsidRDefault="002318A8" w14:paraId="6D668977" w14:textId="77777777">
              <w:r>
                <w:t>De expertgroep concludeert dat 60% van het ramingsverschil van het EMU-saldo in de periode 2021-2023 toe te schrijven is aan macro-economische schokken.</w:t>
              </w:r>
              <w:r>
                <w:rPr>
                  <w:rStyle w:val="Voetnootmarkering"/>
                </w:rPr>
                <w:footnoteReference w:id="14"/>
              </w:r>
              <w:r>
                <w:t xml:space="preserve"> De resterende 40% komt vooral doordat de daadwerkelijke uitgaven lager uitvielen dan de gebudgetteerde uitgaven (</w:t>
              </w:r>
              <w:proofErr w:type="spellStart"/>
              <w:r>
                <w:t>onderuitputting</w:t>
              </w:r>
              <w:proofErr w:type="spellEnd"/>
              <w:r>
                <w:t xml:space="preserve">), een onderschatting van de belastinginkomsten en een gunstiger uitvallend saldo bij de decentrale overheden. Deze factoren hebben een meer systematisch karakter. De onderschatting van de belastinginkomsten komt vooral doordat de </w:t>
              </w:r>
              <w:proofErr w:type="spellStart"/>
              <w:r>
                <w:t>vpb</w:t>
              </w:r>
              <w:proofErr w:type="spellEnd"/>
              <w:r>
                <w:t xml:space="preserve">-inkomsten te laag waren ingeschat. </w:t>
              </w:r>
            </w:p>
            <w:p w:rsidR="002318A8" w:rsidP="002318A8" w:rsidRDefault="002318A8" w14:paraId="11B48AED" w14:textId="77777777"/>
            <w:p w:rsidR="002318A8" w:rsidP="002318A8" w:rsidRDefault="002318A8" w14:paraId="564260C4" w14:textId="77777777">
              <w:r>
                <w:t xml:space="preserve">Om goede budgettaire besluiten te kunnen nemen is een betrouwbare raming van het EMU-saldo van groot belang. De ingeschatte verwachtingen van de inkomsten en uitgaven van de overheid vormen de basis voor het nationale </w:t>
              </w:r>
              <w:r>
                <w:lastRenderedPageBreak/>
                <w:t xml:space="preserve">begrotingsbeleid en raken het parlementair budgetrecht. De Afdeling verwelkomt daarom ook de analyse over de ramingsverschillen en aanbevelingen van de expertgroep om de ramingsverschillen te verkleinen. </w:t>
              </w:r>
            </w:p>
            <w:p w:rsidR="002318A8" w:rsidP="002318A8" w:rsidRDefault="002318A8" w14:paraId="4B8721A9" w14:textId="77777777">
              <w:pPr>
                <w:rPr>
                  <w:u w:val="single"/>
                </w:rPr>
              </w:pPr>
            </w:p>
            <w:p w:rsidR="003B1CA8" w:rsidRDefault="003B1CA8" w14:paraId="7C64712C" w14:textId="77777777">
              <w:pPr>
                <w:rPr>
                  <w:u w:val="single"/>
                </w:rPr>
              </w:pPr>
              <w:r>
                <w:rPr>
                  <w:u w:val="single"/>
                </w:rPr>
                <w:br w:type="page"/>
              </w:r>
            </w:p>
            <w:p w:rsidRPr="002214D5" w:rsidR="002318A8" w:rsidP="002318A8" w:rsidRDefault="002318A8" w14:paraId="1A231DCC" w14:textId="41628A67">
              <w:pPr>
                <w:rPr>
                  <w:u w:val="single"/>
                </w:rPr>
              </w:pPr>
              <w:r w:rsidRPr="002214D5">
                <w:rPr>
                  <w:u w:val="single"/>
                </w:rPr>
                <w:lastRenderedPageBreak/>
                <w:t xml:space="preserve">Appreciatie en advies </w:t>
              </w:r>
            </w:p>
            <w:p w:rsidR="002318A8" w:rsidP="002318A8" w:rsidRDefault="002318A8" w14:paraId="503AE6F0" w14:textId="77777777">
              <w:pPr>
                <w:rPr>
                  <w:i/>
                  <w:iCs/>
                </w:rPr>
              </w:pPr>
            </w:p>
            <w:p w:rsidR="002318A8" w:rsidP="002318A8" w:rsidRDefault="002318A8" w14:paraId="7EBA5821" w14:textId="77777777">
              <w:r>
                <w:t>In Nederland voeren we sinds 1994 trendmatig begrotingsbeleid. Ook het huidige kabinet heeft zich gecommitteerd aan deze systematiek.</w:t>
              </w:r>
              <w:r>
                <w:rPr>
                  <w:rStyle w:val="Voetnootmarkering"/>
                </w:rPr>
                <w:footnoteReference w:id="15"/>
              </w:r>
              <w:r>
                <w:t xml:space="preserve"> Trendmatig begrotingsbeleid houdt in dat v</w:t>
              </w:r>
              <w:r w:rsidRPr="006A06F3">
                <w:t xml:space="preserve">oor de uitgavenkant </w:t>
              </w:r>
              <w:r>
                <w:t xml:space="preserve">een </w:t>
              </w:r>
              <w:r w:rsidRPr="006A06F3">
                <w:t>uitgavenkader</w:t>
              </w:r>
              <w:r>
                <w:t xml:space="preserve"> </w:t>
              </w:r>
              <w:r w:rsidRPr="006A06F3">
                <w:t xml:space="preserve">voor de gehele kabinetsperiode </w:t>
              </w:r>
              <w:r>
                <w:t xml:space="preserve">wordt </w:t>
              </w:r>
              <w:r w:rsidRPr="006A06F3">
                <w:t>vastgesteld met een jaarlijks uitgavenplafond dat niet overschreden mag worden.</w:t>
              </w:r>
              <w:r>
                <w:t xml:space="preserve"> </w:t>
              </w:r>
              <w:r w:rsidRPr="006A06F3">
                <w:t xml:space="preserve">Voor de inkomstenkant geldt een inkomstenkader met automatische stabilisatie: inkomstenmeevallers komen ten gunste van het overheidssaldo, inkomstentegenvallers belasten het overheidssaldo. </w:t>
              </w:r>
            </w:p>
            <w:p w:rsidR="002318A8" w:rsidP="002318A8" w:rsidRDefault="002318A8" w14:paraId="4DD3ED1D" w14:textId="77777777"/>
            <w:p w:rsidR="002318A8" w:rsidP="002318A8" w:rsidRDefault="002318A8" w14:paraId="563C4694" w14:textId="77777777">
              <w:r>
                <w:t xml:space="preserve">Bij trendmatig begrotingsbeleid worden de inkomsten- en uitgavenkaders vastgesteld op basis van ontwikkelingen op lange termijn en wordt gezorgd voor voldoende budgettaire ruimte om tegenvallers in het begrotingssaldo op te vangen. Automatische stabilisatie aan de inkomstenkant zorgt ervoor dat incidentele bijstellingen niet leiden tot beleidsmatige aanpassingen van de kaders. Gemiddeld over een langere termijn vallen dit soort bijstellingen tegen elkaar weg. Voorwaarde is wel dat mee- of tegenvallers over de loop van de tijd geen systematisch patroon laten zien. </w:t>
              </w:r>
            </w:p>
            <w:p w:rsidR="002318A8" w:rsidP="002318A8" w:rsidRDefault="002318A8" w14:paraId="616C7BD2" w14:textId="77777777"/>
            <w:p w:rsidR="002318A8" w:rsidP="002318A8" w:rsidRDefault="002318A8" w14:paraId="19D72240" w14:textId="77777777">
              <w:r>
                <w:t>De bijstellingen van de afgelopen jaren kenden weliswaar (voor een deel) een systematisch patroon, maar deze worden voor een deel opgevangen binnen het trendmatig begrotingsbeleid. 60% van de bijstellingen zijn het gevolg van macro-economische ontwikkelingen. Deze bijstellingen leiden via de automatische stabilisatie en zogenoemde loon- en prijsbijstelling zonder beleidsaanpassingen tot een verandering van de inkomsten- en de uitgavenkaders.</w:t>
              </w:r>
              <w:r>
                <w:rPr>
                  <w:rStyle w:val="Voetnootmarkering"/>
                </w:rPr>
                <w:footnoteReference w:id="16"/>
              </w:r>
              <w:r>
                <w:t xml:space="preserve"> </w:t>
              </w:r>
            </w:p>
            <w:p w:rsidR="002318A8" w:rsidP="002318A8" w:rsidRDefault="002318A8" w14:paraId="6D49A77F" w14:textId="77777777"/>
            <w:p w:rsidR="002318A8" w:rsidP="002318A8" w:rsidRDefault="002318A8" w14:paraId="3DABA075" w14:textId="77777777">
              <w:r>
                <w:t>Bij het trendmatig begrotingsbeleid staat niet het sturen op het EMU-saldo centraal, maar is de macro-economische stabilisatiefunctie van de begroting één van de basisprincipes.</w:t>
              </w:r>
              <w:r>
                <w:rPr>
                  <w:rStyle w:val="Voetnootmarkering"/>
                </w:rPr>
                <w:footnoteReference w:id="17"/>
              </w:r>
              <w:r>
                <w:t xml:space="preserve"> Ruimte voor macro-economische stabilisatie betekent wel een kans op grotere schommelingen in het saldo.</w:t>
              </w:r>
              <w:r>
                <w:rPr>
                  <w:rStyle w:val="Voetnootmarkering"/>
                </w:rPr>
                <w:footnoteReference w:id="18"/>
              </w:r>
              <w:r>
                <w:t xml:space="preserve"> Dit blijkt ook uit de internationale vergelijking van de EMU-saldoraming van de expertgroep.</w:t>
              </w:r>
              <w:r>
                <w:rPr>
                  <w:rStyle w:val="Voetnootmarkering"/>
                </w:rPr>
                <w:footnoteReference w:id="19"/>
              </w:r>
            </w:p>
            <w:p w:rsidR="002318A8" w:rsidP="002318A8" w:rsidRDefault="002318A8" w14:paraId="7C3782F0" w14:textId="77777777">
              <w:r>
                <w:t xml:space="preserve"> </w:t>
              </w:r>
            </w:p>
            <w:p w:rsidR="002318A8" w:rsidP="002318A8" w:rsidRDefault="002318A8" w14:paraId="78A73A9A" w14:textId="77777777">
              <w:r>
                <w:lastRenderedPageBreak/>
                <w:t xml:space="preserve">Voor een deel van de eurolanden is de raming van het EMU-saldo niet alleen een uitkomst, maar ook een sturingsvariabele waarop wordt bijgestuurd gedurende het jaar. Vanwege het Nederlandse trendmatig begrotingsbeleid is er in de regel in mindere mate sprake van saldosturing. Het risico van saldosturing </w:t>
              </w:r>
              <w:r w:rsidRPr="00542654">
                <w:t xml:space="preserve">is </w:t>
              </w:r>
              <w:r>
                <w:t xml:space="preserve">namelijk </w:t>
              </w:r>
              <w:r w:rsidRPr="00542654">
                <w:t>onevenwichtig en procyclisch beleid: meevallers worden in betere tijden uitgegeven, v</w:t>
              </w:r>
              <w:r>
                <w:t>anwege</w:t>
              </w:r>
              <w:r w:rsidRPr="00542654">
                <w:t xml:space="preserve"> tegenvallers wordt in mindere tijden extra bezuinigd. </w:t>
              </w:r>
            </w:p>
            <w:p w:rsidR="002318A8" w:rsidP="002318A8" w:rsidRDefault="002318A8" w14:paraId="42802B3E" w14:textId="77777777"/>
            <w:p w:rsidR="002318A8" w:rsidP="002318A8" w:rsidRDefault="002318A8" w14:paraId="4A07C8C2" w14:textId="77777777">
              <w:r>
                <w:t>Daarbij komt dat sturen op de uitgaven in plaats van het EMU-saldo bestuurlijke rust brengt. Dat wordt vooral duidelijk in vergelijking met de situatie vóór 1994, toen bij elke tegenvaller of verslechtering van het saldo werd ingegrepen met besluitvorming over aanvullende bezuinigingen. Bij meevallers was de neiging groot om deze direct te gebruiken om tegenvallers te dekken of om te besluiten over nieuw beleid.</w:t>
              </w:r>
              <w:r>
                <w:rPr>
                  <w:rStyle w:val="Voetnootmarkering"/>
                </w:rPr>
                <w:footnoteReference w:id="20"/>
              </w:r>
              <w:r>
                <w:t xml:space="preserve"> </w:t>
              </w:r>
              <w:r w:rsidRPr="006D3FAB">
                <w:t>Dat belemmerde de integrale afweging van doelen en middelen</w:t>
              </w:r>
              <w:r>
                <w:t>. Ook komt dergelijke ad-hoc besluitvorming de efficiënte allocatie van overheidsuitgaven</w:t>
              </w:r>
              <w:r w:rsidRPr="006D3FAB">
                <w:t xml:space="preserve"> </w:t>
              </w:r>
              <w:r>
                <w:t xml:space="preserve">niet ten goede. </w:t>
              </w:r>
            </w:p>
            <w:p w:rsidR="002318A8" w:rsidP="002318A8" w:rsidRDefault="002318A8" w14:paraId="27AD8F26" w14:textId="77777777"/>
            <w:p w:rsidR="002318A8" w:rsidP="002318A8" w:rsidRDefault="002318A8" w14:paraId="48596205" w14:textId="77777777">
              <w:r>
                <w:t xml:space="preserve">De Afdeling </w:t>
              </w:r>
              <w:r w:rsidRPr="004B0D1C">
                <w:rPr>
                  <w:u w:val="single"/>
                </w:rPr>
                <w:t>adviseert</w:t>
              </w:r>
              <w:r>
                <w:t xml:space="preserve"> dan ook om vast te blijven houden aan het trendmatig begrotingsbeleid, ook om zo rust in de budgettaire besluitvorming te houden. Het vermindert de noodzaak tot tussentijdse bezuinigingen bij economische tegenwind; dat is niet alleen economisch maar ook maatschappelijk – voor burgers en bedrijven – van belang. Trendmatig begroten zorgt voor stabiliteit en vangt incidentele mee- en tegenvallers op in het EMU-saldo. Zolang de bijstellingen van het EMU-saldo beperkt en niet-systematisch zijn, voldoen deze aan de principes van het trendmatig begroten. Sturen op de uitgaven via de kaders is – zolang de schuld- en tekortnormen van het Stabiliteits- en Groeipact niet overschreden worden - daarbij belangrijker dan sturen op het EMU-saldo.</w:t>
              </w:r>
            </w:p>
            <w:p w:rsidR="002318A8" w:rsidP="002318A8" w:rsidRDefault="002318A8" w14:paraId="5CFCEF5D" w14:textId="77777777"/>
            <w:p w:rsidR="002318A8" w:rsidP="002318A8" w:rsidRDefault="002318A8" w14:paraId="6E77B772" w14:textId="77777777">
              <w:r>
                <w:t xml:space="preserve">Tegelijkertijd ziet de Afdeling dat een begrotingsraamwerk geen doel op zich is. Begrotingsregels zijn niets anders is dan een instrument voor budgettaire besluitvorming door de wetgever. Het succes van een begrotingsraamwerk staat of valt met (politiek) draagvlak. Om de begrotingsregels na te leven is het belangrijk dat deze begrijpelijk (en voor zover mogelijk) voorspelbaar zijn. De uitwerking van de regels moeten bij voorkeur overeenkomen met wat intuïtief begrepen wordt als redelijk en efficiënt. </w:t>
              </w:r>
            </w:p>
            <w:p w:rsidR="002318A8" w:rsidP="002318A8" w:rsidRDefault="002318A8" w14:paraId="01C58981" w14:textId="77777777"/>
            <w:p w:rsidRPr="00265642" w:rsidR="002318A8" w:rsidP="002318A8" w:rsidRDefault="002318A8" w14:paraId="1238BB5C" w14:textId="77777777">
              <w:pPr>
                <w:rPr>
                  <w:highlight w:val="yellow"/>
                </w:rPr>
              </w:pPr>
              <w:r>
                <w:t xml:space="preserve">De Nederlandse begrotingsregels bieden zowel aan de uitgaven- als aan de inkomstenkant flexibiliteit om met ramingsbijstellingen om te gaan. Aan de inkomstenkant is dit de zogenoemde meevallerformule. Een meevallerformule specificeert wanneer een meevaller mag worden besteed en aan welke doelen. Bij de overheidsuitgaven wordt de flexibiliteit geboden door de 100%-eindejaarsmarge bij begrotingsfondsen. Hierdoor mogen uitgaven vrij naar latere jaren worden doorgeschoven. </w:t>
              </w:r>
            </w:p>
            <w:p w:rsidR="003B1CA8" w:rsidRDefault="003B1CA8" w14:paraId="25787352" w14:textId="7BD52B21">
              <w:pPr>
                <w:rPr>
                  <w:i/>
                  <w:iCs/>
                </w:rPr>
              </w:pPr>
              <w:r>
                <w:rPr>
                  <w:i/>
                  <w:iCs/>
                </w:rPr>
                <w:br w:type="page"/>
              </w:r>
            </w:p>
            <w:p w:rsidRPr="000F25BD" w:rsidR="002318A8" w:rsidP="002318A8" w:rsidRDefault="002318A8" w14:paraId="18ECD26E" w14:textId="3456AA6F">
              <w:r>
                <w:lastRenderedPageBreak/>
                <w:t xml:space="preserve">a. </w:t>
              </w:r>
              <w:r>
                <w:tab/>
              </w:r>
              <w:r w:rsidRPr="003B1CA8">
                <w:rPr>
                  <w:i/>
                  <w:iCs/>
                </w:rPr>
                <w:t>Meevallerformule inkomstenkant</w:t>
              </w:r>
            </w:p>
            <w:p w:rsidR="002318A8" w:rsidP="002318A8" w:rsidRDefault="002318A8" w14:paraId="61590799" w14:textId="77777777">
              <w:pPr>
                <w:rPr>
                  <w:szCs w:val="22"/>
                </w:rPr>
              </w:pPr>
              <w:r>
                <w:rPr>
                  <w:szCs w:val="22"/>
                </w:rPr>
                <w:t xml:space="preserve">Sinds 1994 maakte een meevallerformule aan de inkomstenkant soms wel en soms geen deel uit van de afgesproken begrotingsregels. </w:t>
              </w:r>
              <w:r>
                <w:t xml:space="preserve">Een zogenoemde meevallerformule kan een methode zijn om op transparante manier met opwaartse bijstellingen voor de belastinginkomsten om te gaan. </w:t>
              </w:r>
              <w:r>
                <w:rPr>
                  <w:szCs w:val="22"/>
                </w:rPr>
                <w:t>De invulling van de formule was door de jaren heen niet altijd gelijk. Ook de vereiste omvang en de besteding van de meevaller verschilden bij de verschillende kabinetten. Een meevallerformule is ook niet altijd geactiveerd als deze deel uit maakte van de begrotingsregels. Alleen door het kabinet Kok II is de meevallerformule daadwerkelijk geactiveerd.</w:t>
              </w:r>
              <w:r>
                <w:rPr>
                  <w:rStyle w:val="Voetnootmarkering"/>
                  <w:szCs w:val="22"/>
                </w:rPr>
                <w:footnoteReference w:id="21"/>
              </w:r>
              <w:r>
                <w:rPr>
                  <w:szCs w:val="22"/>
                </w:rPr>
                <w:t xml:space="preserve"> </w:t>
              </w:r>
            </w:p>
            <w:p w:rsidR="002318A8" w:rsidP="002318A8" w:rsidRDefault="002318A8" w14:paraId="2F856741" w14:textId="77777777">
              <w:pPr>
                <w:rPr>
                  <w:szCs w:val="22"/>
                </w:rPr>
              </w:pPr>
            </w:p>
            <w:p w:rsidR="002318A8" w:rsidP="002318A8" w:rsidRDefault="002318A8" w14:paraId="2BD6E6F5" w14:textId="77777777">
              <w:r>
                <w:t>De huidige begrotingsregels kennen ook een meevallerformule: ingeval het feitelijk EMU-saldo langjarig beter is dan een saldo van-1,5% bbp. Eventuele besluitvorming hierover vindt jaarlijks in het voorjaar plaats</w:t>
              </w:r>
              <w:r w:rsidRPr="00C8345C">
                <w:t>.</w:t>
              </w:r>
              <w:r>
                <w:rPr>
                  <w:rStyle w:val="Voetnootmarkering"/>
                </w:rPr>
                <w:footnoteReference w:id="22"/>
              </w:r>
              <w:r>
                <w:t xml:space="preserve"> De Afdeling constateert dat ook bij deze invulling de interpretatie en toepassing onderwerp van discussie is. </w:t>
              </w:r>
              <w:r>
                <w:rPr>
                  <w:rStyle w:val="Voetnootmarkering"/>
                </w:rPr>
                <w:footnoteReference w:id="23"/>
              </w:r>
              <w:r>
                <w:t xml:space="preserve"> </w:t>
              </w:r>
              <w:r>
                <w:rPr>
                  <w:rStyle w:val="Voetnootmarkering"/>
                </w:rPr>
                <w:footnoteReference w:id="24"/>
              </w:r>
              <w:r>
                <w:t xml:space="preserve"> </w:t>
              </w:r>
            </w:p>
            <w:p w:rsidR="002318A8" w:rsidP="002318A8" w:rsidRDefault="002318A8" w14:paraId="6E66FD46" w14:textId="77777777"/>
            <w:p w:rsidR="002318A8" w:rsidP="002318A8" w:rsidRDefault="002318A8" w14:paraId="000F5015" w14:textId="77777777">
              <w:r>
                <w:t xml:space="preserve">De Afdeling </w:t>
              </w:r>
              <w:r w:rsidRPr="004B0D1C">
                <w:rPr>
                  <w:u w:val="single"/>
                </w:rPr>
                <w:t>adviseert</w:t>
              </w:r>
              <w:r>
                <w:t xml:space="preserve"> een toekomstige Studiegroep begrotingsruimte te laten onderzoeken hoe de meevallerformule sinds het invoeren van het trendmatig begrotingsbeleid is gebruikt en wat de beweegredenen waren om te kiezen voor een bepaalde invulling van een formule. Deze historische analyse kan worden gebruikt om te bepalen op welke wijze de meevallerformule concreet en éénduidig kan worden ingevuld om gebruikt te worden bij ramingsbijstellingen en tegelijkertijd recht te doen aan het trendmatig begrotingsbeleid. </w:t>
              </w:r>
            </w:p>
            <w:p w:rsidR="002318A8" w:rsidP="002318A8" w:rsidRDefault="002318A8" w14:paraId="667FED99" w14:textId="77777777"/>
            <w:p w:rsidR="002318A8" w:rsidP="002318A8" w:rsidRDefault="002318A8" w14:paraId="54CAFAB9" w14:textId="77777777">
              <w:r>
                <w:t xml:space="preserve">b. </w:t>
              </w:r>
              <w:r>
                <w:tab/>
              </w:r>
              <w:r w:rsidRPr="003B1CA8">
                <w:rPr>
                  <w:i/>
                  <w:iCs/>
                </w:rPr>
                <w:t>100%-eindejaarsmarge overheidsuitgaven</w:t>
              </w:r>
            </w:p>
            <w:p w:rsidR="002318A8" w:rsidP="002318A8" w:rsidRDefault="002318A8" w14:paraId="71F8D5C1" w14:textId="77777777">
              <w:r>
                <w:t xml:space="preserve">Voor investeringen in infrastructuur en defensiematerieel bestaan er zogenoemde begrotingsfondsen (i.c. Mobiliteitsfonds, Deltafonds en het Defensiematerieelfonds). Onder de huidige begrotingsregels geldt hiervoor een zogenoemde 100%-eindejaarsmarge. De plafonds van de kaders schuiven in dit geval mee. </w:t>
              </w:r>
            </w:p>
            <w:p w:rsidR="002318A8" w:rsidP="002318A8" w:rsidRDefault="002318A8" w14:paraId="722D3CFA" w14:textId="77777777"/>
            <w:p w:rsidR="002318A8" w:rsidP="002318A8" w:rsidRDefault="002318A8" w14:paraId="4C894A5D" w14:textId="77777777">
              <w:r>
                <w:t xml:space="preserve">Een 100%-eindejaarmarge voorkomt ondoelmatige uitgaven en is een manier om rekening te houden met de onzekerheid die inherent is aan complexe uitgaven zoals investeringen in infrastructuur en defensiematerieel. Aan de andere kant vermindert een 100%-eindejaarmarge de prikkel om een realistisch tijdpad te maken voor de uitgaven. Dit nadeel is de afgelopen jaren groter geworden, </w:t>
              </w:r>
              <w:r>
                <w:lastRenderedPageBreak/>
                <w:t>omdat het belang van fondsen met een 100%-eindejaarsmarge sterk is toegenomen.</w:t>
              </w:r>
              <w:r>
                <w:rPr>
                  <w:rStyle w:val="Voetnootmarkering"/>
                </w:rPr>
                <w:footnoteReference w:id="25"/>
              </w:r>
              <w:r>
                <w:t xml:space="preserve"> </w:t>
              </w:r>
            </w:p>
            <w:p w:rsidR="002318A8" w:rsidP="002318A8" w:rsidRDefault="002318A8" w14:paraId="49F6C241" w14:textId="77777777"/>
            <w:p w:rsidR="002318A8" w:rsidP="002318A8" w:rsidRDefault="002318A8" w14:paraId="1A8703BE" w14:textId="77777777">
              <w:r>
                <w:t xml:space="preserve">De Afdeling </w:t>
              </w:r>
              <w:r w:rsidRPr="004B0D1C">
                <w:rPr>
                  <w:u w:val="single"/>
                </w:rPr>
                <w:t>adviseert</w:t>
              </w:r>
              <w:r>
                <w:t xml:space="preserve">, in navolging van de expertgroep, om de Studiegroep Begrotingsruimte te laten onderzoeken of er bij begrotingsfondsen een grotere prikkel kan worden ingebouwd om een economisch realistische begroting op te stellen. Daarbij adviseert de Afdeling om met name te kijken of een aanpassing van de 100%-eindejaarsmarge bij begrotingsfondsen helpt in het opstellen van een realistische begroting. </w:t>
              </w:r>
            </w:p>
            <w:p w:rsidR="002318A8" w:rsidP="002318A8" w:rsidRDefault="002318A8" w14:paraId="48A7587B" w14:textId="77777777"/>
            <w:p w:rsidR="002318A8" w:rsidP="002318A8" w:rsidRDefault="002318A8" w14:paraId="56FA32F6" w14:textId="77777777">
              <w:r>
                <w:t xml:space="preserve">c. </w:t>
              </w:r>
              <w:r>
                <w:tab/>
              </w:r>
              <w:r w:rsidRPr="003B1CA8">
                <w:rPr>
                  <w:i/>
                  <w:iCs/>
                </w:rPr>
                <w:t>Transparantie ramingsverschil CPB en Ministerie van Financiën</w:t>
              </w:r>
              <w:r>
                <w:t xml:space="preserve"> </w:t>
              </w:r>
            </w:p>
            <w:p w:rsidR="002318A8" w:rsidP="002318A8" w:rsidRDefault="002318A8" w14:paraId="2C2545E0" w14:textId="77777777">
              <w:r>
                <w:t xml:space="preserve">De Afdeling constateert dat zowel de raming van het EMU-saldo als de budgettaire inschatting van beleidsmaatregelen van het Ministerie van Financiën afwijken van die van het CPB. De ministeries gebruiken de macro-economische vooruitzichten van het CPB voor hun ramingen, maar maken op basis daarvan zelf ramingen van de inkomsten en uitgaven. De ministeries gebruiken hiervoor detailinformatie en modellen voor specifieke begrotingen. Het CPB raamt de overheidsuitgaven en inkomsten meer vanuit het macro-economische perspectief. Daarnaast maakt het CPB als onafhankelijk instituut eigen inschattingen van beleidsmaatregelen die kunnen afwijken van die van het Ministerie van Financiën. </w:t>
              </w:r>
            </w:p>
            <w:p w:rsidR="002318A8" w:rsidP="002318A8" w:rsidRDefault="002318A8" w14:paraId="2CF67985" w14:textId="77777777"/>
            <w:p w:rsidR="002318A8" w:rsidP="002318A8" w:rsidRDefault="002318A8" w14:paraId="06A0A050" w14:textId="77777777">
              <w:r>
                <w:t xml:space="preserve">Een belangrijk verschil tussen de raming van het Ministerie van Financiën en het CPB is de inschatting van de </w:t>
              </w:r>
              <w:proofErr w:type="spellStart"/>
              <w:r>
                <w:t>onderuitputting</w:t>
              </w:r>
              <w:proofErr w:type="spellEnd"/>
              <w:r>
                <w:t xml:space="preserve">. Het CPB raamt op grond van de macro-economische situatie een “generieke” </w:t>
              </w:r>
              <w:proofErr w:type="spellStart"/>
              <w:r>
                <w:t>onderuitputting</w:t>
              </w:r>
              <w:proofErr w:type="spellEnd"/>
              <w:r>
                <w:t xml:space="preserve"> die niet wordt onderverdeeld naar begrotingsposten. Het Ministerie van Financiën heeft gedetailleerde informatie over de begrotingsposten en raamt de </w:t>
              </w:r>
              <w:proofErr w:type="spellStart"/>
              <w:r>
                <w:t>onderuitputting</w:t>
              </w:r>
              <w:proofErr w:type="spellEnd"/>
              <w:r>
                <w:t xml:space="preserve"> op basis van deze informatie. </w:t>
              </w:r>
            </w:p>
            <w:p w:rsidR="002318A8" w:rsidP="002318A8" w:rsidRDefault="002318A8" w14:paraId="5B32CAFE" w14:textId="77777777"/>
            <w:p w:rsidR="002318A8" w:rsidP="002318A8" w:rsidRDefault="002318A8" w14:paraId="46A25960" w14:textId="77777777">
              <w:r>
                <w:t xml:space="preserve">Het is gezien het verschil in gebruikte methoden en bronnen onvermijdelijk dat ramingen verschillen. De onafhankelijke ramingen van het CPB en het Ministerie van Financiën (en van andere instituten) zijn ook een belangrijke kwaliteitscontrole. Aan de andere kant verminderen grote onverklaarde verschillen het vertrouwen in de cijfers. </w:t>
              </w:r>
            </w:p>
            <w:p w:rsidR="002318A8" w:rsidP="002318A8" w:rsidRDefault="002318A8" w14:paraId="5D4B8F51" w14:textId="77777777"/>
            <w:p w:rsidR="002318A8" w:rsidP="002318A8" w:rsidRDefault="002318A8" w14:paraId="36C5EF4B" w14:textId="77777777">
              <w:r>
                <w:t xml:space="preserve">De Afdeling </w:t>
              </w:r>
              <w:r w:rsidRPr="006E6EAA">
                <w:rPr>
                  <w:u w:val="single"/>
                </w:rPr>
                <w:t>adviseert</w:t>
              </w:r>
              <w:r>
                <w:t xml:space="preserve"> het CPB en het Ministerie van Financiën transparant te zijn over verschillen tussen hun ramingen van het EMU-saldo. Te denken valt aan een uitbreiding en meer kwantitatieve invulling van tabel 10 van de Miljoenennota 2025. De Afdeling constateert dat het op basis van de beschikbare openbare informatie niet altijd mogelijk is de verschillen tussen het EMU-saldo van het CPB en van het Ministerie van Financiën te verklaren. In de Miljoenennota 2025 en in </w:t>
              </w:r>
              <w:r>
                <w:lastRenderedPageBreak/>
                <w:t>de bijlage van het CEP 2025 worden enkele belangrijke verschillen aangestipt, maar de lijst is niet volledig en de toelichting beperkt.</w:t>
              </w:r>
              <w:r>
                <w:rPr>
                  <w:rStyle w:val="Voetnootmarkering"/>
                </w:rPr>
                <w:footnoteReference w:id="26"/>
              </w:r>
              <w:r>
                <w:t xml:space="preserve"> </w:t>
              </w:r>
              <w:r>
                <w:rPr>
                  <w:rStyle w:val="Voetnootmarkering"/>
                </w:rPr>
                <w:footnoteReference w:id="27"/>
              </w:r>
              <w:r>
                <w:t xml:space="preserve"> </w:t>
              </w:r>
            </w:p>
            <w:p w:rsidR="002318A8" w:rsidP="002318A8" w:rsidRDefault="002318A8" w14:paraId="6279D40E" w14:textId="77777777"/>
            <w:p w:rsidRPr="00FD7141" w:rsidR="002318A8" w:rsidP="00AD27FC" w:rsidRDefault="002318A8" w14:paraId="0E9CC4CE" w14:textId="04BEC9BA">
              <w:r>
                <w:rPr>
                  <w:noProof/>
                </w:rPr>
                <mc:AlternateContent>
                  <mc:Choice Requires="wps">
                    <w:drawing>
                      <wp:anchor distT="0" distB="0" distL="114300" distR="114300" simplePos="0" relativeHeight="251658241" behindDoc="1" locked="0" layoutInCell="1" allowOverlap="0" wp14:editId="0167D736" wp14:anchorId="17B36F44">
                        <wp:simplePos x="0" y="0"/>
                        <wp:positionH relativeFrom="margin">
                          <wp:posOffset>-3175</wp:posOffset>
                        </wp:positionH>
                        <wp:positionV relativeFrom="paragraph">
                          <wp:posOffset>7620</wp:posOffset>
                        </wp:positionV>
                        <wp:extent cx="5391150" cy="3676650"/>
                        <wp:effectExtent l="0" t="0" r="19050" b="19050"/>
                        <wp:wrapTight wrapText="bothSides">
                          <wp:wrapPolygon edited="0">
                            <wp:start x="0" y="0"/>
                            <wp:lineTo x="0" y="21600"/>
                            <wp:lineTo x="21600" y="21600"/>
                            <wp:lineTo x="21600" y="0"/>
                            <wp:lineTo x="0" y="0"/>
                          </wp:wrapPolygon>
                        </wp:wrapTight>
                        <wp:docPr id="325283850" name="Tekstvak 1"/>
                        <wp:cNvGraphicFramePr/>
                        <a:graphic xmlns:a="http://schemas.openxmlformats.org/drawingml/2006/main">
                          <a:graphicData uri="http://schemas.microsoft.com/office/word/2010/wordprocessingShape">
                            <wps:wsp>
                              <wps:cNvSpPr txBox="1"/>
                              <wps:spPr>
                                <a:xfrm>
                                  <a:off x="0" y="0"/>
                                  <a:ext cx="5391150" cy="3676650"/>
                                </a:xfrm>
                                <a:prstGeom prst="rect">
                                  <a:avLst/>
                                </a:prstGeom>
                                <a:solidFill>
                                  <a:sysClr val="window" lastClr="FFFFFF"/>
                                </a:solidFill>
                                <a:ln w="6350">
                                  <a:solidFill>
                                    <a:prstClr val="black"/>
                                  </a:solidFill>
                                </a:ln>
                              </wps:spPr>
                              <wps:txbx>
                                <w:txbxContent>
                                  <w:p w:rsidR="002318A8" w:rsidP="002318A8" w:rsidRDefault="002318A8" w14:paraId="3613B9F7" w14:textId="77777777">
                                    <w:pPr>
                                      <w:rPr>
                                        <w:b/>
                                        <w:bCs/>
                                      </w:rPr>
                                    </w:pPr>
                                    <w:r>
                                      <w:rPr>
                                        <w:b/>
                                        <w:bCs/>
                                      </w:rPr>
                                      <w:t xml:space="preserve">Box 1: Consequentie ramingsbijstelling voor Europese begrotingsregels </w:t>
                                    </w:r>
                                  </w:p>
                                  <w:p w:rsidR="002318A8" w:rsidP="002318A8" w:rsidRDefault="002318A8" w14:paraId="2DD1F7E5" w14:textId="77777777">
                                    <w:pPr>
                                      <w:rPr>
                                        <w:b/>
                                        <w:bCs/>
                                      </w:rPr>
                                    </w:pPr>
                                  </w:p>
                                  <w:p w:rsidR="002318A8" w:rsidP="002318A8" w:rsidRDefault="002318A8" w14:paraId="6B1FEAC0" w14:textId="77777777">
                                    <w:r w:rsidRPr="00B65747">
                                      <w:t>De ramingsbijstellingen hebben beperkte consequenties voor de toetsing van de Europese begrotingsregels</w:t>
                                    </w:r>
                                    <w:r>
                                      <w:t xml:space="preserve">, vooral omdat deze regels kijken naar de middellange termijn. Opwaartse bijstellingen van het EMU-saldo zorgen voor een gunstiger uitgangspositie, maar dit wordt pas meegenomen bij het indienen van een nieuw budgettair-structureel plan. Het huidige uitgavenpad voor Nederland is reeds vastgesteld door de Europese Raad. </w:t>
                                    </w:r>
                                  </w:p>
                                  <w:p w:rsidR="002318A8" w:rsidP="002318A8" w:rsidRDefault="002318A8" w14:paraId="427DAA6E" w14:textId="77777777"/>
                                  <w:p w:rsidR="002318A8" w:rsidP="002318A8" w:rsidRDefault="002318A8" w14:paraId="6A002057" w14:textId="77777777">
                                    <w:r w:rsidRPr="00B65747">
                                      <w:t xml:space="preserve">Het </w:t>
                                    </w:r>
                                    <w:r>
                                      <w:t>begrotings</w:t>
                                    </w:r>
                                    <w:r w:rsidRPr="00B65747">
                                      <w:t xml:space="preserve">tekort en de </w:t>
                                    </w:r>
                                    <w:r>
                                      <w:t>overheids</w:t>
                                    </w:r>
                                    <w:r w:rsidRPr="00B65747">
                                      <w:t xml:space="preserve">schuld lagen voor Nederland al onder de referentiewaarde van 3% </w:t>
                                    </w:r>
                                    <w:r>
                                      <w:t xml:space="preserve">voor het begrotingstekort </w:t>
                                    </w:r>
                                    <w:r w:rsidRPr="00B65747">
                                      <w:t xml:space="preserve">en 60% </w:t>
                                    </w:r>
                                    <w:r>
                                      <w:t xml:space="preserve">voor de overheidsschuld </w:t>
                                    </w:r>
                                    <w:r w:rsidRPr="00B65747">
                                      <w:t>en dit blijft zo bij de gunstiger</w:t>
                                    </w:r>
                                    <w:r>
                                      <w:t>e</w:t>
                                    </w:r>
                                    <w:r w:rsidRPr="00B65747">
                                      <w:t xml:space="preserve"> realisaties. De nieuwe sturingsvariabele van de preventieve arm van de nieuwe Europese begrotingsregels, het uitgavenpad, is gebaseerd op de potentiële groei van de Nederlandse economie</w:t>
                                    </w:r>
                                    <w:r>
                                      <w:t>,</w:t>
                                    </w:r>
                                    <w:r w:rsidRPr="00B65747">
                                      <w:t xml:space="preserve"> de verwachte inflatie op de middellange termijn en het structureel primair saldo dat nodig </w:t>
                                    </w:r>
                                    <w:r>
                                      <w:t xml:space="preserve">is </w:t>
                                    </w:r>
                                    <w:r w:rsidRPr="00B65747">
                                      <w:t>aan het eind van de begrotingshorizon (2028) om ook op de middellange</w:t>
                                    </w:r>
                                    <w:r>
                                      <w:t xml:space="preserve"> </w:t>
                                    </w:r>
                                    <w:r w:rsidRPr="00B65747">
                                      <w:t>termijn op veilige afstand ten opzichte van de normen voor het maximale begrotingstekort en de maximale overheidsschuld te blijven.</w:t>
                                    </w:r>
                                    <w:r>
                                      <w:t xml:space="preserve"> Ramingsbijstellingen van het EMU-saldo hebben geen effect op de potentiële groei en de verwachte inflatie op middellange termijn. </w:t>
                                    </w:r>
                                  </w:p>
                                  <w:p w:rsidR="009F1BEC" w:rsidP="002318A8" w:rsidRDefault="009F1BEC" w14:paraId="0A292B6E" w14:textId="77777777"/>
                                  <w:p w:rsidR="002318A8" w:rsidP="002318A8" w:rsidRDefault="002318A8" w14:paraId="21E59667" w14:textId="77777777">
                                    <w:pPr>
                                      <w:rPr>
                                        <w:b/>
                                        <w:bCs/>
                                      </w:rPr>
                                    </w:pPr>
                                  </w:p>
                                  <w:p w:rsidRPr="00D8278C" w:rsidR="002318A8" w:rsidP="002318A8" w:rsidRDefault="002318A8" w14:paraId="7FC7BD5D" w14:textId="7777777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B36F44">
                        <v:stroke joinstyle="miter"/>
                        <v:path gradientshapeok="t" o:connecttype="rect"/>
                      </v:shapetype>
                      <v:shape id="Tekstvak 1" style="position:absolute;margin-left:-.25pt;margin-top:.6pt;width:424.5pt;height:28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o:allowoverlap="f"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">
                        <v:textbox>
                          <w:txbxContent>
                            <w:p w:rsidR="002318A8" w:rsidP="002318A8" w:rsidRDefault="002318A8" w14:paraId="3613B9F7" w14:textId="77777777">
                              <w:pPr>
                                <w:rPr>
                                  <w:b/>
                                  <w:bCs/>
                                </w:rPr>
                              </w:pPr>
                              <w:r>
                                <w:rPr>
                                  <w:b/>
                                  <w:bCs/>
                                </w:rPr>
                                <w:t xml:space="preserve">Box 1: Consequentie ramingsbijstelling voor Europese begrotingsregels </w:t>
                              </w:r>
                            </w:p>
                            <w:p w:rsidR="002318A8" w:rsidP="002318A8" w:rsidRDefault="002318A8" w14:paraId="2DD1F7E5" w14:textId="77777777">
                              <w:pPr>
                                <w:rPr>
                                  <w:b/>
                                  <w:bCs/>
                                </w:rPr>
                              </w:pPr>
                            </w:p>
                            <w:p w:rsidR="002318A8" w:rsidP="002318A8" w:rsidRDefault="002318A8" w14:paraId="6B1FEAC0" w14:textId="77777777">
                              <w:r w:rsidRPr="00B65747">
                                <w:t>De ramingsbijstellingen hebben beperkte consequenties voor de toetsing van de Europese begrotingsregels</w:t>
                              </w:r>
                              <w:r>
                                <w:t xml:space="preserve">, vooral omdat deze regels kijken naar de middellange termijn. Opwaartse bijstellingen van het EMU-saldo zorgen voor een gunstiger uitgangspositie, maar dit wordt pas meegenomen bij het indienen van een nieuw budgettair-structureel plan. Het huidige uitgavenpad voor Nederland is reeds vastgesteld door de Europese Raad. </w:t>
                              </w:r>
                            </w:p>
                            <w:p w:rsidR="002318A8" w:rsidP="002318A8" w:rsidRDefault="002318A8" w14:paraId="427DAA6E" w14:textId="77777777"/>
                            <w:p w:rsidR="002318A8" w:rsidP="002318A8" w:rsidRDefault="002318A8" w14:paraId="6A002057" w14:textId="77777777">
                              <w:r w:rsidRPr="00B65747">
                                <w:t xml:space="preserve">Het </w:t>
                              </w:r>
                              <w:r>
                                <w:t>begrotings</w:t>
                              </w:r>
                              <w:r w:rsidRPr="00B65747">
                                <w:t xml:space="preserve">tekort en de </w:t>
                              </w:r>
                              <w:r>
                                <w:t>overheids</w:t>
                              </w:r>
                              <w:r w:rsidRPr="00B65747">
                                <w:t xml:space="preserve">schuld lagen voor Nederland al onder de referentiewaarde van 3% </w:t>
                              </w:r>
                              <w:r>
                                <w:t xml:space="preserve">voor het begrotingstekort </w:t>
                              </w:r>
                              <w:r w:rsidRPr="00B65747">
                                <w:t xml:space="preserve">en 60% </w:t>
                              </w:r>
                              <w:r>
                                <w:t xml:space="preserve">voor de overheidsschuld </w:t>
                              </w:r>
                              <w:r w:rsidRPr="00B65747">
                                <w:t>en dit blijft zo bij de gunstiger</w:t>
                              </w:r>
                              <w:r>
                                <w:t>e</w:t>
                              </w:r>
                              <w:r w:rsidRPr="00B65747">
                                <w:t xml:space="preserve"> realisaties. De nieuwe sturingsvariabele van de preventieve arm van de nieuwe Europese begrotingsregels, het uitgavenpad, is gebaseerd op de potentiële groei van de Nederlandse economie</w:t>
                              </w:r>
                              <w:r>
                                <w:t>,</w:t>
                              </w:r>
                              <w:r w:rsidRPr="00B65747">
                                <w:t xml:space="preserve"> de verwachte inflatie op de middellange termijn en het structureel primair saldo dat nodig </w:t>
                              </w:r>
                              <w:r>
                                <w:t xml:space="preserve">is </w:t>
                              </w:r>
                              <w:r w:rsidRPr="00B65747">
                                <w:t>aan het eind van de begrotingshorizon (2028) om ook op de middellange</w:t>
                              </w:r>
                              <w:r>
                                <w:t xml:space="preserve"> </w:t>
                              </w:r>
                              <w:r w:rsidRPr="00B65747">
                                <w:t>termijn op veilige afstand ten opzichte van de normen voor het maximale begrotingstekort en de maximale overheidsschuld te blijven.</w:t>
                              </w:r>
                              <w:r>
                                <w:t xml:space="preserve"> Ramingsbijstellingen van het EMU-saldo hebben geen effect op de potentiële groei en de verwachte inflatie op middellange termijn. </w:t>
                              </w:r>
                            </w:p>
                            <w:p w:rsidR="009F1BEC" w:rsidP="002318A8" w:rsidRDefault="009F1BEC" w14:paraId="0A292B6E" w14:textId="77777777"/>
                            <w:p w:rsidR="002318A8" w:rsidP="002318A8" w:rsidRDefault="002318A8" w14:paraId="21E59667" w14:textId="77777777">
                              <w:pPr>
                                <w:rPr>
                                  <w:b/>
                                  <w:bCs/>
                                </w:rPr>
                              </w:pPr>
                            </w:p>
                            <w:p w:rsidRPr="00D8278C" w:rsidR="002318A8" w:rsidP="002318A8" w:rsidRDefault="002318A8" w14:paraId="7FC7BD5D" w14:textId="77777777">
                              <w:pPr>
                                <w:rPr>
                                  <w:b/>
                                  <w:bCs/>
                                </w:rPr>
                              </w:pPr>
                            </w:p>
                          </w:txbxContent>
                        </v:textbox>
                        <w10:wrap type="tight" anchorx="margin"/>
                      </v:shape>
                    </w:pict>
                  </mc:Fallback>
                </mc:AlternateContent>
              </w:r>
              <w:r>
                <w:rPr>
                  <w:u w:val="single"/>
                </w:rPr>
                <w:t xml:space="preserve">Toets aan de Europese begrotingsregels </w:t>
              </w:r>
            </w:p>
            <w:p w:rsidR="002318A8" w:rsidP="002318A8" w:rsidRDefault="002318A8" w14:paraId="2F36BCB9" w14:textId="77777777"/>
            <w:p w:rsidRPr="00FD1BA7" w:rsidR="002318A8" w:rsidP="003B1CA8" w:rsidRDefault="002318A8" w14:paraId="61F2CD49" w14:textId="3D2F6F2C">
              <w:pPr>
                <w:pStyle w:val="Lijstalinea"/>
                <w:numPr>
                  <w:ilvl w:val="2"/>
                  <w:numId w:val="6"/>
                </w:numPr>
                <w:ind w:left="0" w:firstLine="0"/>
                <w:rPr>
                  <w:i/>
                  <w:iCs/>
                </w:rPr>
              </w:pPr>
              <w:r w:rsidRPr="00FD1BA7">
                <w:rPr>
                  <w:i/>
                  <w:iCs/>
                </w:rPr>
                <w:t xml:space="preserve">Relevante context </w:t>
              </w:r>
            </w:p>
            <w:p w:rsidR="002318A8" w:rsidP="002318A8" w:rsidRDefault="002318A8" w14:paraId="1AF58136" w14:textId="77777777">
              <w:r>
                <w:t xml:space="preserve">Deze paragraaf schetst de relevante context van de toetsing aan de Europese begrotingsregels. Ten eerste komen de recente ontwikkelingen rondom de Europese defensie-uitgaven in het Stabiliteit- en Groeipact aan bod. Daarna volgen de reguliere begrotingsaanbevelingen, richtsnoeren en communicaties van de Europese Commissie in het kader van het Europees Semester, die voor Nederland en andere lidstaten richtinggevend zijn voor het te voeren financieel-economische beleid. </w:t>
              </w:r>
            </w:p>
            <w:p w:rsidR="002318A8" w:rsidP="002318A8" w:rsidRDefault="002318A8" w14:paraId="576AB6C7" w14:textId="77777777"/>
            <w:p w:rsidR="002318A8" w:rsidP="003B1CA8" w:rsidRDefault="002318A8" w14:paraId="33F2D90B" w14:textId="511BD876">
              <w:pPr>
                <w:pStyle w:val="Lijstalinea"/>
                <w:numPr>
                  <w:ilvl w:val="2"/>
                  <w:numId w:val="6"/>
                </w:numPr>
                <w:ind w:left="0" w:firstLine="0"/>
              </w:pPr>
              <w:r w:rsidRPr="00FD1BA7">
                <w:rPr>
                  <w:i/>
                  <w:iCs/>
                </w:rPr>
                <w:t>Defensie-uitgaven onder het Stabiliteit- en Groeipact (SGP)</w:t>
              </w:r>
              <w:r w:rsidRPr="00BB5916">
                <w:t xml:space="preserve"> </w:t>
              </w:r>
            </w:p>
            <w:p w:rsidR="002318A8" w:rsidP="002318A8" w:rsidRDefault="002318A8" w14:paraId="10CAABD0" w14:textId="77777777">
              <w:r>
                <w:t xml:space="preserve">In de context van toegenomen geopolitieke spanningen, het voortduren van de oorlog in Oekraïne en de bedreiging die dit vormt voor de Europese veiligheid, acht de Europese Commissie het noodzakelijk om de Europese defensiekracht op </w:t>
              </w:r>
              <w:r>
                <w:lastRenderedPageBreak/>
                <w:t>korte termijn te versterken. In maart 2025 heeft de Europese Commissie het “Readiness 2030” plan aangekondigd.</w:t>
              </w:r>
              <w:r>
                <w:rPr>
                  <w:rStyle w:val="Voetnootmarkering"/>
                </w:rPr>
                <w:footnoteReference w:id="28"/>
              </w:r>
              <w:r>
                <w:t xml:space="preserve"> </w:t>
              </w:r>
            </w:p>
            <w:p w:rsidR="002318A8" w:rsidP="002318A8" w:rsidRDefault="002318A8" w14:paraId="4A2E169D" w14:textId="77777777"/>
            <w:p w:rsidR="002318A8" w:rsidP="002318A8" w:rsidRDefault="002318A8" w14:paraId="65266CE2" w14:textId="77777777">
              <w:r>
                <w:t xml:space="preserve">Doel van het plan is om de Europese defensiecapaciteit uit te breiden door tot €800 miljard aan defensie-uitgaven mogelijk te maken. Deze financiering moet tot stand komen door gebruik te maken van de bestaande flexibiliteit binnen de Europese begrotingsregels, individuele leningen aan lidstaten te verstrekken tot maximaal €150 miljard, de huidige Europese begrotingsposten in te zetten voor defensie, het mandaat van de Europese Investeringsbank (EIB) uit te breiden en door in te zetten op het mobiliseren van privaat kapitaal. </w:t>
              </w:r>
            </w:p>
            <w:p w:rsidR="002318A8" w:rsidP="002318A8" w:rsidRDefault="002318A8" w14:paraId="0E2C10DE" w14:textId="77777777"/>
            <w:p w:rsidR="002318A8" w:rsidP="002318A8" w:rsidRDefault="002318A8" w14:paraId="4B8FC44D" w14:textId="77777777">
              <w:r>
                <w:t>De Europese Commissie stelt voor dat de lidstaten de nationale ontsnappingsclausule activeren.</w:t>
              </w:r>
              <w:r>
                <w:rPr>
                  <w:rStyle w:val="Voetnootmarkering"/>
                </w:rPr>
                <w:footnoteReference w:id="29"/>
              </w:r>
              <w:r>
                <w:t xml:space="preserve"> </w:t>
              </w:r>
              <w:r w:rsidRPr="00351C6A">
                <w:t xml:space="preserve">Activering </w:t>
              </w:r>
              <w:r>
                <w:t xml:space="preserve">van de nationale </w:t>
              </w:r>
              <w:r w:rsidRPr="00351C6A">
                <w:t xml:space="preserve">ontsnappingsclausule betekent dat </w:t>
              </w:r>
              <w:r>
                <w:t xml:space="preserve">voor een periode van vier jaar </w:t>
              </w:r>
              <w:r w:rsidRPr="00351C6A">
                <w:t>met maximaal 1,5% bbp per lidstaat</w:t>
              </w:r>
              <w:r>
                <w:t xml:space="preserve"> </w:t>
              </w:r>
              <w:r w:rsidRPr="00351C6A">
                <w:t xml:space="preserve">afgeweken mag worden van het </w:t>
              </w:r>
              <w:proofErr w:type="spellStart"/>
              <w:r w:rsidRPr="00351C6A">
                <w:t>uitgavenpad</w:t>
              </w:r>
              <w:proofErr w:type="spellEnd"/>
              <w:r w:rsidRPr="00351C6A">
                <w:t xml:space="preserve"> zoals opgenomen in het</w:t>
              </w:r>
              <w:r>
                <w:t xml:space="preserve"> budgettair-structureel plan </w:t>
              </w:r>
              <w:r w:rsidRPr="00351C6A">
                <w:t>(en vastgesteld door de Raad).</w:t>
              </w:r>
              <w:r>
                <w:rPr>
                  <w:rStyle w:val="Voetnootmarkering"/>
                </w:rPr>
                <w:footnoteReference w:id="30"/>
              </w:r>
              <w:r>
                <w:t xml:space="preserve"> De Europese Commissie berekent dat dit potentieel tot €650 miljard aan defensie-investeringen kan mobiliseren. Het vormt daarmee een belangrijke pijler in het Readiness 2030 programma. </w:t>
              </w:r>
            </w:p>
            <w:p w:rsidR="002318A8" w:rsidP="002318A8" w:rsidRDefault="002318A8" w14:paraId="656AABE4" w14:textId="77777777"/>
            <w:p w:rsidRPr="00BB5916" w:rsidR="002318A8" w:rsidP="002318A8" w:rsidRDefault="002318A8" w14:paraId="48513593" w14:textId="77777777">
              <w:r>
                <w:t xml:space="preserve">Het plan voor individuele leningen aan lidstaten werkt de Commissie uit in een nieuwe EU-verordening op basis van artikel 122 van het Verdrag betreffende de werking van de EU (Security Action </w:t>
              </w:r>
              <w:proofErr w:type="spellStart"/>
              <w:r>
                <w:t>for</w:t>
              </w:r>
              <w:proofErr w:type="spellEnd"/>
              <w:r>
                <w:t xml:space="preserve"> Europe – SAFE). Dit voorstel maakt het mogelijk voor de Commissie om leningen </w:t>
              </w:r>
              <w:r w:rsidRPr="006D15D2">
                <w:t>van de Unie</w:t>
              </w:r>
              <w:r>
                <w:t xml:space="preserve"> aan lidstaten te verstrekken. Dit wordt gedekt door het huidige EU-budget. Deze leenfaciliteit heeft de omvang van €150 mld. euro.</w:t>
              </w:r>
              <w:r>
                <w:rPr>
                  <w:rStyle w:val="Voetnootmarkering"/>
                </w:rPr>
                <w:footnoteReference w:id="31"/>
              </w:r>
              <w:r>
                <w:t xml:space="preserve"> </w:t>
              </w:r>
            </w:p>
            <w:p w:rsidR="002318A8" w:rsidP="002318A8" w:rsidRDefault="002318A8" w14:paraId="6E8129E2" w14:textId="77777777"/>
            <w:p w:rsidR="002318A8" w:rsidP="002318A8" w:rsidRDefault="002318A8" w14:paraId="6C30A900" w14:textId="77777777">
              <w:r>
                <w:t xml:space="preserve">De inzet is om door de Commissie op de kapitaalmarkt of van financiële instellingen </w:t>
              </w:r>
              <w:r w:rsidRPr="00A8002C">
                <w:t>geleende middelen</w:t>
              </w:r>
              <w:r>
                <w:t xml:space="preserve"> aan</w:t>
              </w:r>
              <w:r w:rsidRPr="00A8002C">
                <w:t xml:space="preserve"> </w:t>
              </w:r>
              <w:r>
                <w:t>te</w:t>
              </w:r>
              <w:r w:rsidRPr="00A8002C">
                <w:t xml:space="preserve"> </w:t>
              </w:r>
              <w:r>
                <w:t xml:space="preserve">wenden </w:t>
              </w:r>
              <w:r w:rsidRPr="00A8002C">
                <w:t>v</w:t>
              </w:r>
              <w:r>
                <w:t>oor</w:t>
              </w:r>
              <w:r w:rsidRPr="00A8002C">
                <w:t xml:space="preserve"> leningen aan lidstaten, niet voor het verstrekken van giften zoals </w:t>
              </w:r>
              <w:r>
                <w:t>het geval was</w:t>
              </w:r>
              <w:r w:rsidRPr="00A8002C">
                <w:t xml:space="preserve"> bij het subsidiegedeelte van </w:t>
              </w:r>
              <w:r>
                <w:t>het Herstel- en Veerkrachtplan</w:t>
              </w:r>
              <w:r w:rsidRPr="00A8002C">
                <w:t>. Bij deze ‘leningen voor leningen’ worden de rente op en aflossing van de lening die de Unie is aangegaan</w:t>
              </w:r>
              <w:r>
                <w:t>,</w:t>
              </w:r>
              <w:r w:rsidRPr="00A8002C">
                <w:t xml:space="preserve"> betaald uit de rente en aflossing die de Unie van de lidstaten ontvangt. De rente- en terugbetalingsverplichting ligt dus bij de lidstaten die vrijwillig gebruik maken van het leeninstrument. </w:t>
              </w:r>
            </w:p>
            <w:p w:rsidR="002318A8" w:rsidP="002318A8" w:rsidRDefault="002318A8" w14:paraId="21D06667" w14:textId="77777777"/>
            <w:p w:rsidR="002318A8" w:rsidP="002318A8" w:rsidRDefault="002318A8" w14:paraId="52F54B91" w14:textId="77777777">
              <w:r w:rsidRPr="004D44B1">
                <w:lastRenderedPageBreak/>
                <w:t>Aan zowel de eventuele leningen, als het gebruik van de nationale ontsnappingsclausule kunnen bestedingsvoorwaarden</w:t>
              </w:r>
              <w:r>
                <w:t>, gericht op het versterken van de Europese defensiekracht, w</w:t>
              </w:r>
              <w:r w:rsidRPr="004D44B1">
                <w:t xml:space="preserve">orden verbonden. </w:t>
              </w:r>
            </w:p>
            <w:p w:rsidR="002318A8" w:rsidP="002318A8" w:rsidRDefault="002318A8" w14:paraId="2760E4D3" w14:textId="77777777"/>
            <w:p w:rsidRPr="00D7519B" w:rsidR="002318A8" w:rsidP="002318A8" w:rsidRDefault="002318A8" w14:paraId="4B3742C0" w14:textId="77777777">
              <w:pPr>
                <w:rPr>
                  <w:i/>
                  <w:iCs/>
                </w:rPr>
              </w:pPr>
              <w:r>
                <w:rPr>
                  <w:i/>
                  <w:iCs/>
                </w:rPr>
                <w:t xml:space="preserve">Nationale versus algemene ontsnappingsclausule </w:t>
              </w:r>
            </w:p>
            <w:p w:rsidR="002318A8" w:rsidP="002318A8" w:rsidRDefault="002318A8" w14:paraId="2208A043" w14:textId="77777777">
              <w:r>
                <w:t>Met name het eventueel gebruik maken van de flexibiliteit binnen het SGP is voor de (toekomstige) begrotingstoetsing relevant. De nationale ontsnappingsclausule moet niet verward worden met de algemene ontsnappingsclausule van het SGP, zoals deze van kracht was tijdens de COVID-19 pandemie. Die algemene ontsnappingsclausule mag alleen geactiveerd worden indien er sprake is van een ernstige economische neergang in de eurozone of in de Unie als geheel.</w:t>
              </w:r>
              <w:r>
                <w:rPr>
                  <w:rStyle w:val="Voetnootmarkering"/>
                </w:rPr>
                <w:footnoteReference w:id="32"/>
              </w:r>
              <w:r>
                <w:t xml:space="preserve"> </w:t>
              </w:r>
            </w:p>
            <w:p w:rsidR="002318A8" w:rsidP="002318A8" w:rsidRDefault="002318A8" w14:paraId="3FF8DC05" w14:textId="77777777"/>
            <w:p w:rsidR="002318A8" w:rsidP="002318A8" w:rsidRDefault="002318A8" w14:paraId="491D6FB4" w14:textId="77777777">
              <w:r>
                <w:t>Omdat op dit moment geen sprake is van een ernstige economische neergang in de eurozone of de Unie als geheel, kan de Europese Commissie niet terugvallen op de algemene ontsnappingsclausule.</w:t>
              </w:r>
              <w:r>
                <w:rPr>
                  <w:rStyle w:val="Voetnootmarkering"/>
                </w:rPr>
                <w:footnoteReference w:id="33"/>
              </w:r>
              <w:r>
                <w:t xml:space="preserve"> In plaats daarvan stelt zij voor om de nationale ontsnappingsclausule ‘gecoördineerd’ te activeren. </w:t>
              </w:r>
            </w:p>
            <w:p w:rsidR="002318A8" w:rsidP="002318A8" w:rsidRDefault="002318A8" w14:paraId="09531599" w14:textId="77777777"/>
            <w:p w:rsidR="002318A8" w:rsidP="002318A8" w:rsidRDefault="002318A8" w14:paraId="537053D1" w14:textId="77777777">
              <w:r w:rsidRPr="009929D6">
                <w:t>In de recente herziening van het SGP is het onderscheid tussen de algemene en nationale ontsnappingsclausule verduidelijkt en het proces voor de activering</w:t>
              </w:r>
              <w:r>
                <w:t xml:space="preserve"> van beiden</w:t>
              </w:r>
              <w:r w:rsidRPr="009929D6">
                <w:t xml:space="preserve"> gespecificeerd, met inbegrip van de tijdslimieten die van toepassing zijn.</w:t>
              </w:r>
              <w:r w:rsidRPr="009929D6">
                <w:rPr>
                  <w:rStyle w:val="Voetnootmarkering"/>
                </w:rPr>
                <w:footnoteReference w:id="34"/>
              </w:r>
              <w:r>
                <w:t xml:space="preserve"> In artikel 26 van de recent herziene verordening over de preventieve arm van het SGP (verordening 2024/1263) is vastgelegd dat de nationale ontsnappingsclausule geactiveerd kan worden op aanvraag van een lidstaat. Voorwaarde is dat er sprake is van uitzonderlijke omstandigheden buiten de controle van de lidstaat met een grote impact op de overheidsfinanciën. Daarnaast is een vereiste dat de schuldhoudbaarheid van de overheidsfinanciën op de middellange termijn niet in gevaar komt.</w:t>
              </w:r>
            </w:p>
            <w:p w:rsidR="002318A8" w:rsidP="002318A8" w:rsidRDefault="002318A8" w14:paraId="174C4C79" w14:textId="77777777"/>
            <w:p w:rsidR="002318A8" w:rsidP="002318A8" w:rsidRDefault="002318A8" w14:paraId="651E85BD" w14:textId="77777777">
              <w:pPr>
                <w:rPr>
                  <w:i/>
                  <w:iCs/>
                </w:rPr>
              </w:pPr>
              <w:r>
                <w:rPr>
                  <w:i/>
                  <w:iCs/>
                </w:rPr>
                <w:t xml:space="preserve">Activering nationale ontsnappingsclausule </w:t>
              </w:r>
            </w:p>
            <w:p w:rsidR="002318A8" w:rsidP="002318A8" w:rsidRDefault="002318A8" w14:paraId="5EFD7DF2" w14:textId="77777777">
              <w:r>
                <w:t xml:space="preserve">De overige procedures van het SGP worden niet geschorst als de lidstaten kiezen voor </w:t>
              </w:r>
              <w:r w:rsidRPr="006562E8">
                <w:t>het activeren van de nationale ontsnappingsclausule en d</w:t>
              </w:r>
              <w:r>
                <w:t xml:space="preserve">it door de Raad wordt goedgekeurd. Het begrotingsraamwerk blijft van kracht. Er wordt in het voorstel van de Commissie enkel flexibiliteit geboden binnen het raamwerk om gedurende vier jaar met 1,5% bbp af te wijken van het vastgestelde </w:t>
              </w:r>
              <w:proofErr w:type="spellStart"/>
              <w:r>
                <w:t>uitgavenpad</w:t>
              </w:r>
              <w:proofErr w:type="spellEnd"/>
              <w:r>
                <w:t xml:space="preserve"> </w:t>
              </w:r>
              <w:r>
                <w:lastRenderedPageBreak/>
                <w:t>voor defensie-uitgaven.</w:t>
              </w:r>
              <w:r>
                <w:rPr>
                  <w:rStyle w:val="Voetnootmarkering"/>
                </w:rPr>
                <w:footnoteReference w:id="35"/>
              </w:r>
              <w:r>
                <w:t xml:space="preserve"> De toegestane afwijking van het </w:t>
              </w:r>
              <w:proofErr w:type="spellStart"/>
              <w:r>
                <w:t>uitgavenpad</w:t>
              </w:r>
              <w:proofErr w:type="spellEnd"/>
              <w:r>
                <w:t xml:space="preserve"> geldt alleen voor toenemende defensie-investeringen.</w:t>
              </w:r>
            </w:p>
            <w:p w:rsidR="002318A8" w:rsidP="002318A8" w:rsidRDefault="002318A8" w14:paraId="3DD5A865" w14:textId="77777777"/>
            <w:p w:rsidRPr="009045E8" w:rsidR="002318A8" w:rsidP="002318A8" w:rsidRDefault="002318A8" w14:paraId="48AA11B8" w14:textId="77777777">
              <w:r>
                <w:t xml:space="preserve">Het vastgestelde </w:t>
              </w:r>
              <w:proofErr w:type="spellStart"/>
              <w:r>
                <w:t>uitgavenpad</w:t>
              </w:r>
              <w:proofErr w:type="spellEnd"/>
              <w:r>
                <w:t xml:space="preserve"> blijft daarmee als sturingsvariabele gelden. Daarom</w:t>
              </w:r>
              <w:r w:rsidRPr="006562E8">
                <w:t xml:space="preserve"> blijft </w:t>
              </w:r>
              <w:r>
                <w:t xml:space="preserve">het belangrijk </w:t>
              </w:r>
              <w:r w:rsidRPr="006562E8">
                <w:t>om de ontwikkeling van de overheidsfinanciën te volgen en te beoordelen. Lidstaten dienen hier op de reguliere manier over te rapporteren (zie ook paragraaf 2.2).</w:t>
              </w:r>
              <w:r>
                <w:t xml:space="preserve"> </w:t>
              </w:r>
            </w:p>
            <w:p w:rsidR="002318A8" w:rsidP="002318A8" w:rsidRDefault="002318A8" w14:paraId="3F769051" w14:textId="77777777"/>
            <w:p w:rsidR="002318A8" w:rsidP="002318A8" w:rsidRDefault="002318A8" w14:paraId="428B5069" w14:textId="77777777">
              <w:r>
                <w:t xml:space="preserve">Volgens de Commissie biedt vier jaar voldoende tijd om defensie-investeringsprojecten uit te voeren en om daarna over te gaan naar een structureel hoger niveau van defensie-uitgaven. Na het deactiveren van de ontsnappingsclausule moeten lidstaten het hogere niveau van overheidsuitgaven handhaven door de uitgaven te </w:t>
              </w:r>
              <w:proofErr w:type="spellStart"/>
              <w:r>
                <w:t>herprioriteren</w:t>
              </w:r>
              <w:proofErr w:type="spellEnd"/>
              <w:r>
                <w:t>, door hervormingen of door een verhoging van inkomsten binnen de nationale begrotingen.</w:t>
              </w:r>
              <w:r>
                <w:rPr>
                  <w:rStyle w:val="Voetnootmarkering"/>
                </w:rPr>
                <w:footnoteReference w:id="36"/>
              </w:r>
            </w:p>
            <w:p w:rsidR="002318A8" w:rsidP="002318A8" w:rsidRDefault="002318A8" w14:paraId="7598B5F1" w14:textId="77777777"/>
            <w:p w:rsidR="002318A8" w:rsidP="002318A8" w:rsidRDefault="002318A8" w14:paraId="7E88CAAB" w14:textId="77777777">
              <w:r w:rsidRPr="00DF7BA9">
                <w:t xml:space="preserve">Lidstaten moeten </w:t>
              </w:r>
              <w:r>
                <w:t>zelf</w:t>
              </w:r>
              <w:r w:rsidRPr="00DF7BA9">
                <w:t xml:space="preserve"> een verzoek bij de Commissie indienen als zij de nationale ontsnappingsclausule wensen</w:t>
              </w:r>
              <w:r>
                <w:t xml:space="preserve"> te activeren. Het activeren van de nationale ontsnappingsclausule kan voornamelijk aantrekkelijk zijn voor lidstaten die reeds geconfronteerd worden met hoge schulden of tekorten, omdat het ruimte biedt ten opzichte van de normen voor het begrotingstekort (EMU-saldo maximaal 3% bbp) en de overheidsschuld (EMU-schuld maximaal 60% bbp). Hogere defensie-uitgaven leiden daarmee niet direct tot een eventuele </w:t>
              </w:r>
              <w:proofErr w:type="spellStart"/>
              <w:r>
                <w:t>buitensporigtekortprocedure</w:t>
              </w:r>
              <w:proofErr w:type="spellEnd"/>
              <w:r>
                <w:t>, al raakt het mogelijk wel de schuldhoudbaarheid van de lidstaat op de middellange termijn.</w:t>
              </w:r>
              <w:r>
                <w:rPr>
                  <w:rStyle w:val="Voetnootmarkering"/>
                </w:rPr>
                <w:footnoteReference w:id="37"/>
              </w:r>
              <w:r>
                <w:t xml:space="preserve"> </w:t>
              </w:r>
            </w:p>
            <w:p w:rsidR="002318A8" w:rsidP="002318A8" w:rsidRDefault="002318A8" w14:paraId="60D40685" w14:textId="77777777"/>
            <w:p w:rsidR="002318A8" w:rsidP="002318A8" w:rsidRDefault="002318A8" w14:paraId="410AF4A8" w14:textId="77777777">
              <w:r>
                <w:t xml:space="preserve">Daarnaast is defensie een structurele uitdaging die vraagt om structurele financiering. Met stijgende overheidsuitgaven op de middellange termijn, moeten ook de hogere defensie-uitgaven ingebed worden in de eigen begroting. De tijdelijke ruimte die activering van de nationale ontsnappingsclausule zou bieden doet daar ook voor Nederland niets aan af. Nederland heeft bovendien, zie paragraaf 2.2 en 2.3 hierna, een te hoog </w:t>
              </w:r>
              <w:proofErr w:type="spellStart"/>
              <w:r>
                <w:t>uitgavenpad</w:t>
              </w:r>
              <w:proofErr w:type="spellEnd"/>
              <w:r>
                <w:t xml:space="preserve"> op middellange termijn die sowieso tot neerwaarts bijstelling noopt. Het kabinet heeft overigens aangegeven niet voornemens te zijn om een aanvraag in te dienen.</w:t>
              </w:r>
              <w:r>
                <w:rPr>
                  <w:rStyle w:val="Voetnootmarkering"/>
                </w:rPr>
                <w:footnoteReference w:id="38"/>
              </w:r>
              <w:r>
                <w:t xml:space="preserve"> </w:t>
              </w:r>
            </w:p>
            <w:p w:rsidR="002318A8" w:rsidP="002318A8" w:rsidRDefault="002318A8" w14:paraId="5C58B0CA" w14:textId="77777777"/>
            <w:p w:rsidR="002318A8" w:rsidP="002318A8" w:rsidRDefault="002318A8" w14:paraId="51831477" w14:textId="77777777">
              <w:r>
                <w:lastRenderedPageBreak/>
                <w:t>Naar verwachting besluit de Raad uiterlijk in juli 2025 over activatie van de ontsnappingsclausule op basis van de aanvragen van de lidstaten die tot dan toe zijn gedaan</w:t>
              </w:r>
            </w:p>
            <w:p w:rsidR="002318A8" w:rsidP="002318A8" w:rsidRDefault="002318A8" w14:paraId="2CB50654" w14:textId="77777777"/>
            <w:p w:rsidRPr="00BB5916" w:rsidR="002318A8" w:rsidP="003B1CA8" w:rsidRDefault="002318A8" w14:paraId="37C089FA" w14:textId="3C640DF4">
              <w:pPr>
                <w:pStyle w:val="Lijstalinea"/>
                <w:numPr>
                  <w:ilvl w:val="2"/>
                  <w:numId w:val="6"/>
                </w:numPr>
                <w:ind w:left="0" w:firstLine="0"/>
              </w:pPr>
              <w:r w:rsidRPr="00FD1BA7">
                <w:rPr>
                  <w:i/>
                  <w:iCs/>
                </w:rPr>
                <w:t xml:space="preserve">Relevante publicaties in het kader van het Europees Semester </w:t>
              </w:r>
            </w:p>
            <w:p w:rsidR="002318A8" w:rsidP="002318A8" w:rsidRDefault="002318A8" w14:paraId="130E8F11" w14:textId="77777777">
              <w:r>
                <w:t xml:space="preserve">Voor de Europese begrotingstoetsing door de Afdeling zijn de publicaties van de Europese Commissie in het kader van het Europees Semester van belang. Deze bevatten onder andere de richtsnoeren voor het te voeren begrotingsbeleid voor de Eurozone als geheel en de individuele lidstaat, de </w:t>
              </w:r>
              <w:proofErr w:type="spellStart"/>
              <w:r>
                <w:t>landspecifieke</w:t>
              </w:r>
              <w:proofErr w:type="spellEnd"/>
              <w:r>
                <w:t xml:space="preserve"> aanbevelingen en eventuele macro-economische onevenwichtigheden. In de nieuwe Europese rapportageverplichting onder het herziene begrotingsraamwerk (de zogeheten jaarlijkse Voortgangsrapportage) dient een lidstaat, voor zover mogelijk, integraal over de aanbevelingen uit de publicaties te rapporteren (zie ook box 2). </w:t>
              </w:r>
            </w:p>
            <w:p w:rsidR="002318A8" w:rsidP="002318A8" w:rsidRDefault="002318A8" w14:paraId="3093344D" w14:textId="77777777"/>
            <w:p w:rsidR="002318A8" w:rsidP="002318A8" w:rsidRDefault="002318A8" w14:paraId="1A4A3F7F" w14:textId="77777777">
              <w:r>
                <w:t xml:space="preserve">In een begeleidende communicatie van de Europese Commissie bij de publicatie van het </w:t>
              </w:r>
              <w:proofErr w:type="spellStart"/>
              <w:r>
                <w:t>Najaarspakket</w:t>
              </w:r>
              <w:proofErr w:type="spellEnd"/>
              <w:r>
                <w:t xml:space="preserve"> 2024 is de lidstaten aanbevolen om individueel en collectief op te treden om het concurrentievermogen te verbeteren en de productiviteit te bevorderen.</w:t>
              </w:r>
              <w:r>
                <w:rPr>
                  <w:rStyle w:val="Voetnootmarkering"/>
                </w:rPr>
                <w:footnoteReference w:id="39"/>
              </w:r>
              <w:r>
                <w:t xml:space="preserve"> Hierin volgt de Europese Commissie het </w:t>
              </w:r>
              <w:proofErr w:type="spellStart"/>
              <w:r>
                <w:t>Draghi</w:t>
              </w:r>
              <w:proofErr w:type="spellEnd"/>
              <w:r>
                <w:t>-rapport.</w:t>
              </w:r>
              <w:r>
                <w:rPr>
                  <w:rStyle w:val="Voetnootmarkering"/>
                </w:rPr>
                <w:footnoteReference w:id="40"/>
              </w:r>
              <w:r>
                <w:t xml:space="preserve"> Ook wordt de nadruk gelegd op de noodzaak om de arbeidsparticipatie te verhogen, hoogwaardige banen te bevorderen, arbeidsprikkels te versterken en divergenties op het gebied van concurrentievermogen te voorkomen. </w:t>
              </w:r>
            </w:p>
            <w:p w:rsidR="002318A8" w:rsidP="002318A8" w:rsidRDefault="002318A8" w14:paraId="2D72B697" w14:textId="77777777"/>
            <w:p w:rsidR="002318A8" w:rsidP="002318A8" w:rsidRDefault="002318A8" w14:paraId="24D39553" w14:textId="77777777">
              <w:r>
                <w:t xml:space="preserve">De begrotingsaanbevelingen van de Commissie aan de lidstaten </w:t>
              </w:r>
              <w:r>
                <w:rPr>
                  <w:i/>
                  <w:iCs/>
                </w:rPr>
                <w:t>(</w:t>
              </w:r>
              <w:proofErr w:type="spellStart"/>
              <w:r>
                <w:rPr>
                  <w:i/>
                  <w:iCs/>
                </w:rPr>
                <w:t>fiscal</w:t>
              </w:r>
              <w:proofErr w:type="spellEnd"/>
              <w:r>
                <w:rPr>
                  <w:i/>
                  <w:iCs/>
                </w:rPr>
                <w:t xml:space="preserve"> </w:t>
              </w:r>
              <w:proofErr w:type="spellStart"/>
              <w:r>
                <w:rPr>
                  <w:i/>
                  <w:iCs/>
                </w:rPr>
                <w:t>guidance</w:t>
              </w:r>
              <w:proofErr w:type="spellEnd"/>
              <w:r>
                <w:rPr>
                  <w:i/>
                  <w:iCs/>
                </w:rPr>
                <w:t>)</w:t>
              </w:r>
              <w:r>
                <w:t xml:space="preserve"> zijn geformuleerd in kwalitatieve termen. Lidstaten worden opgeroepen om ervoor te zorgen dat het nieuwe begrotingsraamwerk wordt nageleefd, om de houdbaarheid van de schuld te verbeteren en de risico’s voor de macro-financiële stabiliteit te monitoren.</w:t>
              </w:r>
            </w:p>
            <w:p w:rsidR="002318A8" w:rsidP="002318A8" w:rsidRDefault="002318A8" w14:paraId="64145C27" w14:textId="77777777"/>
            <w:p w:rsidR="002318A8" w:rsidP="002318A8" w:rsidRDefault="002318A8" w14:paraId="7C203D8C" w14:textId="77777777">
              <w:r>
                <w:t xml:space="preserve">In oktober 2024 heeft Nederland, net als de meeste lidstaten, zijn eerste budgettair-structureel plan voor de middellange termijn ingediend bij de Europese Commissie. Dat plan bestaat uit een meerjarig </w:t>
              </w:r>
              <w:proofErr w:type="spellStart"/>
              <w:r>
                <w:t>uitgavenpad</w:t>
              </w:r>
              <w:proofErr w:type="spellEnd"/>
              <w:r>
                <w:t xml:space="preserve"> en een beschrijving van de hervormingen en investeringen die het kabinet voornemens is te doen in het kader van de </w:t>
              </w:r>
              <w:proofErr w:type="spellStart"/>
              <w:r>
                <w:t>landspecifieke</w:t>
              </w:r>
              <w:proofErr w:type="spellEnd"/>
              <w:r>
                <w:t xml:space="preserve"> aanbevelingen en de gemeenschappelijke prioriteiten van de Europese Unie.</w:t>
              </w:r>
              <w:r>
                <w:rPr>
                  <w:rStyle w:val="Voetnootmarkering"/>
                </w:rPr>
                <w:footnoteReference w:id="41"/>
              </w:r>
              <w:r>
                <w:t xml:space="preserve"> </w:t>
              </w:r>
            </w:p>
            <w:p w:rsidR="002318A8" w:rsidP="002318A8" w:rsidRDefault="002318A8" w14:paraId="7BE62DF3" w14:textId="77777777"/>
            <w:p w:rsidR="002318A8" w:rsidP="002318A8" w:rsidRDefault="002318A8" w14:paraId="487DBA7D" w14:textId="77777777">
              <w:r>
                <w:t xml:space="preserve">In de Raadsconclusies over het plan op basis van de aanbevelingen van de Commissie is vastgesteld dat het Nederlandse plan niet voldoet aan de vereisten van de Europese begrotingsregels. De Raad stelt daarmee vast dat Nederland het </w:t>
              </w:r>
              <w:proofErr w:type="spellStart"/>
              <w:r>
                <w:lastRenderedPageBreak/>
                <w:t>referentiepad</w:t>
              </w:r>
              <w:proofErr w:type="spellEnd"/>
              <w:r>
                <w:t xml:space="preserve"> zoals verstrekt door de Commissie moet aanhouden. Nederland is opgeroepen om te verzekeren dat de netto-uitgavengroei niet uitkomt boven de maximale toegestane groei zoals vastgesteld door de Raad.</w:t>
              </w:r>
              <w:r>
                <w:rPr>
                  <w:rStyle w:val="Voetnootmarkering"/>
                </w:rPr>
                <w:footnoteReference w:id="42"/>
              </w:r>
              <w:r>
                <w:t xml:space="preserve"> </w:t>
              </w:r>
            </w:p>
            <w:p w:rsidR="002318A8" w:rsidP="002318A8" w:rsidRDefault="002318A8" w14:paraId="1A6826F4" w14:textId="77777777"/>
            <w:p w:rsidR="002318A8" w:rsidP="002318A8" w:rsidRDefault="002318A8" w14:paraId="28AB1471" w14:textId="77777777">
              <w:r>
                <w:t xml:space="preserve">Omdat het Europees Semester het proces is waarin de EU-lidstaten hun economische, arbeidsmarkt- en begrotingsbeleid coördineren, brengt de Commissie ook bredere </w:t>
              </w:r>
              <w:proofErr w:type="spellStart"/>
              <w:r>
                <w:t>landspecifieke</w:t>
              </w:r>
              <w:proofErr w:type="spellEnd"/>
              <w:r>
                <w:t xml:space="preserve"> aanbevelingen uit. De Commissie heeft aangekondigd dat de </w:t>
              </w:r>
              <w:proofErr w:type="spellStart"/>
              <w:r>
                <w:t>landspecifieke</w:t>
              </w:r>
              <w:proofErr w:type="spellEnd"/>
              <w:r>
                <w:t xml:space="preserve"> aanbevelingen voor 2025 uitgebreidere en meer coherente beleidsrichtsnoeren zullen bevatten. Nu de Herstel- en Veerkrachtfaciliteit in 2026 ten einde loopt, zal in de cyclus van het Europees Semester geleidelijk op een uitgebreidere reeks van </w:t>
              </w:r>
              <w:proofErr w:type="spellStart"/>
              <w:r>
                <w:t>landspecifieke</w:t>
              </w:r>
              <w:proofErr w:type="spellEnd"/>
              <w:r>
                <w:t xml:space="preserve"> aanbevelingen worden overgestapt. De Commissie zal zich hierbij baseren op een verbeterde analyse om de relevante structurele uitdagingen voor lidstaten aan te wijzen en richtsnoeren te verstrekken over hervormings- en investeringsprioriteiten in elke lidstaat. </w:t>
              </w:r>
            </w:p>
            <w:p w:rsidR="002318A8" w:rsidP="002318A8" w:rsidRDefault="002318A8" w14:paraId="463BF690" w14:textId="77777777"/>
            <w:p w:rsidR="002318A8" w:rsidP="002318A8" w:rsidRDefault="002318A8" w14:paraId="056EBF0B" w14:textId="77777777">
              <w:r>
                <w:t xml:space="preserve">Vorig jaar heeft de Europese Commissie bij de </w:t>
              </w:r>
              <w:proofErr w:type="spellStart"/>
              <w:r>
                <w:t>landspecifieke</w:t>
              </w:r>
              <w:proofErr w:type="spellEnd"/>
              <w:r>
                <w:t xml:space="preserve"> aanbevelingen voor Nederland aanbevolen om de belastingheffingen op de verschillende soorten inkomsten uit vermogen meer op één lijn te brengen, d</w:t>
              </w:r>
              <w:r w:rsidRPr="003A43EB">
                <w:t xml:space="preserve">e fiscale voordelen te beperken die </w:t>
              </w:r>
              <w:proofErr w:type="spellStart"/>
              <w:r w:rsidRPr="003A43EB">
                <w:t>schuldgefinancierd</w:t>
              </w:r>
              <w:proofErr w:type="spellEnd"/>
              <w:r w:rsidRPr="003A43EB">
                <w:t xml:space="preserve"> woningbezit bevorderen, de fiscale bevoordeling van</w:t>
              </w:r>
              <w:r>
                <w:t xml:space="preserve"> </w:t>
              </w:r>
              <w:r w:rsidRPr="003A43EB">
                <w:t xml:space="preserve">aanmerkelijkbelanghouders </w:t>
              </w:r>
              <w:r>
                <w:t>door</w:t>
              </w:r>
              <w:r w:rsidRPr="003A43EB">
                <w:t xml:space="preserve"> belastinguitstel en -vermindering</w:t>
              </w:r>
              <w:r>
                <w:t xml:space="preserve"> </w:t>
              </w:r>
              <w:r w:rsidRPr="003A43EB">
                <w:t xml:space="preserve">te beperken, belemmeringen voor de bouw van nieuwe woningen weg te nemen en zorg te dragen voor betaalbare en beschikbare woningen op de particuliere huurmarkt. Ook </w:t>
              </w:r>
              <w:r>
                <w:t>is aanbevolen</w:t>
              </w:r>
              <w:r w:rsidRPr="003A43EB">
                <w:t xml:space="preserve"> de verwachte stijging aan vergrijzingskosten </w:t>
              </w:r>
              <w:r>
                <w:t>te beperken</w:t>
              </w:r>
              <w:r w:rsidRPr="003A43EB">
                <w:t xml:space="preserve"> door het stelsel van langdurige zorg </w:t>
              </w:r>
              <w:proofErr w:type="spellStart"/>
              <w:r w:rsidRPr="003A43EB">
                <w:t>kosteneffectiever</w:t>
              </w:r>
              <w:proofErr w:type="spellEnd"/>
              <w:r w:rsidRPr="003A43EB">
                <w:t xml:space="preserve"> te maken.</w:t>
              </w:r>
              <w:r>
                <w:rPr>
                  <w:rStyle w:val="Voetnootmarkering"/>
                </w:rPr>
                <w:footnoteReference w:id="43"/>
              </w:r>
            </w:p>
            <w:p w:rsidR="002318A8" w:rsidP="002318A8" w:rsidRDefault="002318A8" w14:paraId="04A3BC7A" w14:textId="77777777"/>
            <w:p w:rsidR="002318A8" w:rsidP="002318A8" w:rsidRDefault="002318A8" w14:paraId="18823FA2" w14:textId="77777777">
              <w:r>
                <w:t>Tot slot noemde de Commissie in een rapport over de macro-economische onevenwichtigheden tien lidstaten, waaronder Nederland, waarnaar een verdiepende evaluatie zal worden verricht om te bezien of zij met macro-economische onevenwichtigheden kampen.</w:t>
              </w:r>
              <w:r>
                <w:rPr>
                  <w:rStyle w:val="Voetnootmarkering"/>
                </w:rPr>
                <w:footnoteReference w:id="44"/>
              </w:r>
              <w:r>
                <w:t xml:space="preserve"> In het kader van het toezicht op de macro-economische onevenwichtigheden </w:t>
              </w:r>
              <w:r w:rsidRPr="009753E1">
                <w:t>concludeer</w:t>
              </w:r>
              <w:r>
                <w:t xml:space="preserve">de de Commissie in 2024 dat deze in Nederland bestaan en verband houden met de hoge private schulden. Een economische evaluatie waarin de vraag aan de orde komt of deze onevenwichtigheden verergeren of worden gecorrigeerd, </w:t>
              </w:r>
              <w:r w:rsidRPr="009753E1">
                <w:t>zal</w:t>
              </w:r>
              <w:r>
                <w:t xml:space="preserve"> in 2025 worden gepubliceerd. </w:t>
              </w:r>
            </w:p>
            <w:p w:rsidRPr="0038182A" w:rsidR="002318A8" w:rsidP="002318A8" w:rsidRDefault="002318A8" w14:paraId="57CFDCE0" w14:textId="77777777">
              <w:pPr>
                <w:rPr>
                  <w:b/>
                  <w:bCs/>
                </w:rPr>
              </w:pPr>
            </w:p>
            <w:p w:rsidRPr="00DF7BA9" w:rsidR="002318A8" w:rsidP="004C398A" w:rsidRDefault="002318A8" w14:paraId="5C5971F6" w14:textId="043EE673">
              <w:pPr>
                <w:pStyle w:val="Lijstalinea"/>
                <w:numPr>
                  <w:ilvl w:val="1"/>
                  <w:numId w:val="6"/>
                </w:numPr>
                <w:ind w:left="0" w:firstLine="0"/>
                <w:rPr>
                  <w:i/>
                  <w:iCs/>
                </w:rPr>
              </w:pPr>
              <w:r w:rsidRPr="00DF7BA9">
                <w:rPr>
                  <w:i/>
                  <w:iCs/>
                </w:rPr>
                <w:t xml:space="preserve">Toetsing aan de Europese begrotingsregels </w:t>
              </w:r>
            </w:p>
            <w:p w:rsidR="002318A8" w:rsidP="002318A8" w:rsidRDefault="002318A8" w14:paraId="6E75DC7B" w14:textId="77777777">
              <w:pPr>
                <w:tabs>
                  <w:tab w:val="left" w:pos="1335"/>
                </w:tabs>
                <w:ind w:left="1410"/>
                <w:rPr>
                  <w:i/>
                  <w:iCs/>
                </w:rPr>
              </w:pPr>
            </w:p>
            <w:p w:rsidRPr="007F1D34" w:rsidR="002318A8" w:rsidP="002318A8" w:rsidRDefault="002318A8" w14:paraId="3A984D06" w14:textId="77777777">
              <w:pPr>
                <w:tabs>
                  <w:tab w:val="left" w:pos="1335"/>
                </w:tabs>
                <w:rPr>
                  <w:i/>
                  <w:iCs/>
                </w:rPr>
              </w:pPr>
              <w:r>
                <w:rPr>
                  <w:i/>
                  <w:iCs/>
                </w:rPr>
                <w:t>H</w:t>
              </w:r>
              <w:r w:rsidRPr="007F1D34">
                <w:rPr>
                  <w:i/>
                  <w:iCs/>
                </w:rPr>
                <w:t xml:space="preserve">ervorming Stabiliteits- en Groeipact </w:t>
              </w:r>
            </w:p>
            <w:p w:rsidR="002318A8" w:rsidP="002318A8" w:rsidRDefault="002318A8" w14:paraId="7FCFC035" w14:textId="77777777">
              <w:r>
                <w:lastRenderedPageBreak/>
                <w:t xml:space="preserve">In mei 2024 is de evaluatie van het Stabiliteit- en Groeipact (SGP) afgerond. Sindsdien is het nieuwe Europese begrotingsraamwerk van kracht. 2025 vormt het eerste jaar waarin zowel het nieuwe begrotingsproces als de nieuwe begrotingsregels volledig van toepassing zijn. </w:t>
              </w:r>
            </w:p>
            <w:p w:rsidRPr="00521511" w:rsidR="002318A8" w:rsidP="002318A8" w:rsidRDefault="002318A8" w14:paraId="600DBA12" w14:textId="77777777">
              <w:pPr>
                <w:tabs>
                  <w:tab w:val="left" w:pos="1335"/>
                </w:tabs>
              </w:pPr>
            </w:p>
            <w:p w:rsidR="002318A8" w:rsidP="002318A8" w:rsidRDefault="002318A8" w14:paraId="09A83875" w14:textId="77777777">
              <w:r>
                <w:t xml:space="preserve">Als gevolg van de herziening van het begrotingsraamwerk is de toetsing aan de begrotingsregels door de Afdeling versterkt. Voor de begrotingstoetsing maakt de Afdeling gebruik van de begrotingsrelevante indicatoren zoals het kabinet deze presenteert in de Voortgangsrapportage en de Voorjaarsnota. Dit betreft zowel de budgettaire tabellen met de ontwikkeling van het (structurele) EMU-saldo en de EMU-schuld als de ontwikkeling van het </w:t>
              </w:r>
              <w:proofErr w:type="spellStart"/>
              <w:r>
                <w:t>uitgavenpad</w:t>
              </w:r>
              <w:proofErr w:type="spellEnd"/>
              <w:r>
                <w:t xml:space="preserve"> (groei van de netto-primaire gefinancierde uitgaven van de overheid) zoals opgenomen in het budgettair-structureel plan ten opzichte van het vastgestelde </w:t>
              </w:r>
              <w:proofErr w:type="spellStart"/>
              <w:r>
                <w:t>uitgavenpad</w:t>
              </w:r>
              <w:proofErr w:type="spellEnd"/>
              <w:r>
                <w:t xml:space="preserve"> door de Raad. </w:t>
              </w:r>
            </w:p>
            <w:p w:rsidR="002318A8" w:rsidP="002318A8" w:rsidRDefault="002318A8" w14:paraId="158A93E8" w14:textId="77777777"/>
            <w:p w:rsidR="002318A8" w:rsidP="002318A8" w:rsidRDefault="002318A8" w14:paraId="0058F5FD" w14:textId="77777777">
              <w:r w:rsidRPr="003336B5">
                <w:t xml:space="preserve">Omdat in het nieuwe begrotingsraamwerk de middellange termijn belangrijker is geworden, beslaat de toetsing een langere tijdshorizon: In dit geval betekent dit een beoordeling over de begrotingsresultaten vanaf 2024 (t-1) tot 2029 (t+5). Dit </w:t>
              </w:r>
              <w:r>
                <w:t xml:space="preserve">komt overeen </w:t>
              </w:r>
              <w:r w:rsidRPr="003336B5">
                <w:t xml:space="preserve">met de begrotingsinformatie zoals gepresenteerd door het kabinet in de </w:t>
              </w:r>
              <w:r>
                <w:t xml:space="preserve">jaarlijkse </w:t>
              </w:r>
              <w:r w:rsidRPr="003336B5">
                <w:t>Voortgangsrapportage. Voor de toetsing aan de correctieve arm kijkt de Afdeling naar de realisatie (</w:t>
              </w:r>
              <w:r w:rsidRPr="003336B5">
                <w:rPr>
                  <w:i/>
                  <w:iCs/>
                </w:rPr>
                <w:t>ex-post</w:t>
              </w:r>
              <w:r w:rsidRPr="003336B5">
                <w:t>) en raming (</w:t>
              </w:r>
              <w:r w:rsidRPr="003336B5">
                <w:rPr>
                  <w:i/>
                  <w:iCs/>
                </w:rPr>
                <w:t>in-</w:t>
              </w:r>
              <w:proofErr w:type="spellStart"/>
              <w:r w:rsidRPr="003336B5">
                <w:rPr>
                  <w:i/>
                  <w:iCs/>
                </w:rPr>
                <w:t>year</w:t>
              </w:r>
              <w:proofErr w:type="spellEnd"/>
              <w:r w:rsidRPr="003336B5">
                <w:t>) op kortere termijn (2024 en 2025), de latere jaren (2025-2029) zijn een illustratieve doorkijk voor de toetsing ex-ante.</w:t>
              </w:r>
              <w:r>
                <w:t xml:space="preserve"> Voor de toetsing aan de preventieve arm kijkt de Afdeling naar de ontwikkeling van het </w:t>
              </w:r>
              <w:proofErr w:type="spellStart"/>
              <w:r>
                <w:t>uitgavenpad</w:t>
              </w:r>
              <w:proofErr w:type="spellEnd"/>
              <w:r>
                <w:t xml:space="preserve">. </w:t>
              </w:r>
            </w:p>
            <w:p w:rsidR="002318A8" w:rsidP="002318A8" w:rsidRDefault="002318A8" w14:paraId="6FE1A20E" w14:textId="77777777"/>
            <w:p w:rsidR="002318A8" w:rsidP="002318A8" w:rsidRDefault="002318A8" w14:paraId="3E12E74D" w14:textId="77777777">
              <w:r>
                <w:t xml:space="preserve">De in de jaarlijkse Voortgangsrapportage opgenomen gegevens vormen de input voor de controlerekening die de Commissie bijhoudt om eventuele gerealiseerde over- en onderschrijdingen van het </w:t>
              </w:r>
              <w:proofErr w:type="spellStart"/>
              <w:r>
                <w:t>uitgavenpad</w:t>
              </w:r>
              <w:proofErr w:type="spellEnd"/>
              <w:r>
                <w:t xml:space="preserve"> te registreren. Indien de overschrijdingen van het </w:t>
              </w:r>
              <w:proofErr w:type="spellStart"/>
              <w:r>
                <w:t>uitgavenpad</w:t>
              </w:r>
              <w:proofErr w:type="spellEnd"/>
              <w:r>
                <w:t xml:space="preserve"> cumulatief boven een bepaalde drempelwaarde komen, kan dit aanleiding geven tot het openen van een </w:t>
              </w:r>
              <w:proofErr w:type="spellStart"/>
              <w:r>
                <w:t>buitensporigtekortprocedure</w:t>
              </w:r>
              <w:proofErr w:type="spellEnd"/>
              <w:r>
                <w:t>.</w:t>
              </w:r>
              <w:r>
                <w:rPr>
                  <w:rStyle w:val="Voetnootmarkering"/>
                </w:rPr>
                <w:footnoteReference w:id="45"/>
              </w:r>
              <w:r>
                <w:t xml:space="preserve"> De Commissie maakt de controlerekening voor elke lidstaat regelmatig (ten minste jaarlijks) openbaar. </w:t>
              </w:r>
            </w:p>
            <w:p w:rsidR="002318A8" w:rsidP="002318A8" w:rsidRDefault="002318A8" w14:paraId="764052B4" w14:textId="77777777">
              <w:r>
                <w:rPr>
                  <w:b/>
                  <w:bCs/>
                  <w:noProof/>
                </w:rPr>
                <w:lastRenderedPageBreak/>
                <mc:AlternateContent>
                  <mc:Choice Requires="wps">
                    <w:drawing>
                      <wp:anchor distT="0" distB="0" distL="114300" distR="114300" simplePos="0" relativeHeight="251658240" behindDoc="1" locked="0" layoutInCell="1" allowOverlap="1" wp14:editId="1282F68F" wp14:anchorId="3ED52897">
                        <wp:simplePos x="0" y="0"/>
                        <wp:positionH relativeFrom="margin">
                          <wp:align>center</wp:align>
                        </wp:positionH>
                        <wp:positionV relativeFrom="paragraph">
                          <wp:posOffset>0</wp:posOffset>
                        </wp:positionV>
                        <wp:extent cx="6389370" cy="8750300"/>
                        <wp:effectExtent l="0" t="0" r="11430" b="12700"/>
                        <wp:wrapTight wrapText="bothSides">
                          <wp:wrapPolygon edited="0">
                            <wp:start x="0" y="0"/>
                            <wp:lineTo x="0" y="21584"/>
                            <wp:lineTo x="21574" y="21584"/>
                            <wp:lineTo x="21574" y="0"/>
                            <wp:lineTo x="0" y="0"/>
                          </wp:wrapPolygon>
                        </wp:wrapTight>
                        <wp:docPr id="1578501411" name="Tekstvak 1"/>
                        <wp:cNvGraphicFramePr/>
                        <a:graphic xmlns:a="http://schemas.openxmlformats.org/drawingml/2006/main">
                          <a:graphicData uri="http://schemas.microsoft.com/office/word/2010/wordprocessingShape">
                            <wps:wsp>
                              <wps:cNvSpPr txBox="1"/>
                              <wps:spPr>
                                <a:xfrm>
                                  <a:off x="0" y="0"/>
                                  <a:ext cx="6389370" cy="8750300"/>
                                </a:xfrm>
                                <a:prstGeom prst="rect">
                                  <a:avLst/>
                                </a:prstGeom>
                                <a:solidFill>
                                  <a:schemeClr val="lt1"/>
                                </a:solidFill>
                                <a:ln w="6350">
                                  <a:solidFill>
                                    <a:prstClr val="black"/>
                                  </a:solidFill>
                                </a:ln>
                              </wps:spPr>
                              <wps:txbx>
                                <w:txbxContent>
                                  <w:p w:rsidR="002318A8" w:rsidP="002318A8" w:rsidRDefault="002318A8" w14:paraId="3FBB2047" w14:textId="77777777">
                                    <w:pPr>
                                      <w:rPr>
                                        <w:b/>
                                        <w:bCs/>
                                      </w:rPr>
                                    </w:pPr>
                                    <w:r>
                                      <w:rPr>
                                        <w:b/>
                                        <w:bCs/>
                                      </w:rPr>
                                      <w:t xml:space="preserve">Box 2: Europees semester en de nationale begrotingscyclus </w:t>
                                    </w:r>
                                  </w:p>
                                  <w:p w:rsidR="002318A8" w:rsidP="002318A8" w:rsidRDefault="002318A8" w14:paraId="08D214DE" w14:textId="77777777">
                                    <w:pPr>
                                      <w:rPr>
                                        <w:b/>
                                        <w:bCs/>
                                      </w:rPr>
                                    </w:pPr>
                                  </w:p>
                                  <w:p w:rsidR="002318A8" w:rsidP="002318A8" w:rsidRDefault="002318A8" w14:paraId="7E7750A7" w14:textId="77777777">
                                    <w:r>
                                      <w:t>De Europese en de nationale begrotingscycli lopen (deels) samen. Het Europees semester is de jaarlijkse cyclus voor Europese afstemming van het economisch- en begrotingsbeleid en loopt van november tot november, waarbij de nationale cyclus meeloopt van april tot oktober. Door de herziening van het Europees begrotingsraamwerk is ook het semester op een paar delen aangepast.</w:t>
                                    </w:r>
                                  </w:p>
                                  <w:p w:rsidR="002318A8" w:rsidP="002318A8" w:rsidRDefault="002318A8" w14:paraId="425E05DD" w14:textId="77777777"/>
                                  <w:p w:rsidRPr="00481C63" w:rsidR="002318A8" w:rsidP="004C398A" w:rsidRDefault="002318A8" w14:paraId="2C13B80B" w14:textId="77777777">
                                    <w:pPr>
                                      <w:pStyle w:val="Lijstalinea"/>
                                      <w:numPr>
                                        <w:ilvl w:val="0"/>
                                        <w:numId w:val="9"/>
                                      </w:numPr>
                                      <w:ind w:left="284" w:hanging="284"/>
                                    </w:pPr>
                                    <w:r w:rsidRPr="00496D4B">
                                      <w:rPr>
                                        <w:i/>
                                        <w:iCs/>
                                      </w:rPr>
                                      <w:t xml:space="preserve">Najaarspakket (november jaar t-1): </w:t>
                                    </w:r>
                                  </w:p>
                                  <w:p w:rsidR="002318A8" w:rsidP="004C398A" w:rsidRDefault="002318A8" w14:paraId="0B883FC9" w14:textId="77777777">
                                    <w:pPr>
                                      <w:ind w:left="284"/>
                                    </w:pPr>
                                    <w:r>
                                      <w:t xml:space="preserve">Het najaarspakket bevat onder meer de publicatie van de jaarlijkse groeianalyse, inclusief beleidsrichtsnoeren voor de lidstaten voor jaar t. Voor een deel van de lidstaten zullen evaluaties worden opgesteld als onderdeel van de Macro-Economische Onevenwichtigheidsprocedure, (MEOP), te verschijnen vlak voor de zomer. </w:t>
                                    </w:r>
                                  </w:p>
                                  <w:p w:rsidR="002318A8" w:rsidP="004C398A" w:rsidRDefault="002318A8" w14:paraId="0503C7EE" w14:textId="77777777">
                                    <w:pPr>
                                      <w:ind w:left="284" w:hanging="284"/>
                                    </w:pPr>
                                  </w:p>
                                  <w:p w:rsidRPr="00797CDF" w:rsidR="002318A8" w:rsidP="004C398A" w:rsidRDefault="002318A8" w14:paraId="7D19BAFE" w14:textId="77777777">
                                    <w:pPr>
                                      <w:pStyle w:val="Lijstalinea"/>
                                      <w:numPr>
                                        <w:ilvl w:val="0"/>
                                        <w:numId w:val="8"/>
                                      </w:numPr>
                                      <w:ind w:left="284" w:hanging="284"/>
                                    </w:pPr>
                                    <w:r>
                                      <w:rPr>
                                        <w:i/>
                                        <w:iCs/>
                                      </w:rPr>
                                      <w:t xml:space="preserve">Raadsconclusies (januari – maart jaar t): </w:t>
                                    </w:r>
                                  </w:p>
                                  <w:p w:rsidR="002318A8" w:rsidP="004C398A" w:rsidRDefault="002318A8" w14:paraId="5F2791B1" w14:textId="77777777">
                                    <w:pPr>
                                      <w:pStyle w:val="Lijstalinea"/>
                                      <w:ind w:left="284"/>
                                    </w:pPr>
                                    <w:r>
                                      <w:t xml:space="preserve">De documenten van het najaarspakket worden toegezonden aan het Europees Parlement en de Raad. De Raad bespreekt deze en neemt hierover conclusies aan. De Commissie biedt richtsnoeren voor het begrotingsbeleid aan als basis voor de opstelling van de nationale begrotingsplannen. </w:t>
                                    </w:r>
                                  </w:p>
                                  <w:p w:rsidR="002318A8" w:rsidP="004C398A" w:rsidRDefault="002318A8" w14:paraId="0C0D110A" w14:textId="77777777">
                                    <w:pPr>
                                      <w:ind w:left="284" w:hanging="284"/>
                                    </w:pPr>
                                  </w:p>
                                  <w:p w:rsidRPr="006B2134" w:rsidR="002318A8" w:rsidP="004C398A" w:rsidRDefault="002318A8" w14:paraId="6C536906" w14:textId="77777777">
                                    <w:pPr>
                                      <w:pStyle w:val="Lijstalinea"/>
                                      <w:numPr>
                                        <w:ilvl w:val="0"/>
                                        <w:numId w:val="8"/>
                                      </w:numPr>
                                      <w:ind w:left="284" w:hanging="284"/>
                                      <w:rPr>
                                        <w:lang w:val="fr-FR"/>
                                      </w:rPr>
                                    </w:pPr>
                                    <w:r w:rsidRPr="006B2134">
                                      <w:rPr>
                                        <w:i/>
                                        <w:iCs/>
                                        <w:lang w:val="fr-FR"/>
                                      </w:rPr>
                                      <w:t xml:space="preserve">Nationale cyclus (april jaar t): </w:t>
                                    </w:r>
                                  </w:p>
                                  <w:p w:rsidR="002318A8" w:rsidP="004C398A" w:rsidRDefault="002318A8" w14:paraId="56F0F474" w14:textId="77777777">
                                    <w:pPr>
                                      <w:ind w:left="284"/>
                                    </w:pPr>
                                    <w:r>
                                      <w:t xml:space="preserve">Elke vier tot zeven jaar dient elke lidstaat uiterlijk 30 april een nationaal </w:t>
                                    </w:r>
                                    <w:r w:rsidRPr="009753E1">
                                      <w:rPr>
                                        <w:i/>
                                        <w:iCs/>
                                      </w:rPr>
                                      <w:t>budgettair-structureel plan voor de middellange termijn</w:t>
                                    </w:r>
                                    <w:r>
                                      <w:t xml:space="preserve"> in bij de Commissie. Dit plan bevat het uitgavenpad en hervormingen en investeringen die bijdragen aan duurzame en geleidelijke schuldreductie en economische groei. Jaarlijks rapporteren de lidstaten in april aan de Commissie over de voortgang van het uitgavenpad en de hervormingen en investeringen uit het plan in de </w:t>
                                    </w:r>
                                    <w:r w:rsidRPr="009753E1">
                                      <w:rPr>
                                        <w:i/>
                                        <w:iCs/>
                                      </w:rPr>
                                      <w:t>Voortgangsrapportage.</w:t>
                                    </w:r>
                                    <w:r>
                                      <w:t xml:space="preserve"> De Voortgangsrapportage vervangt het Stabiliteit- en Hervormingsprogramma. </w:t>
                                    </w:r>
                                  </w:p>
                                  <w:p w:rsidRPr="00310138" w:rsidR="002318A8" w:rsidP="004C398A" w:rsidRDefault="002318A8" w14:paraId="74DEE7EB" w14:textId="77777777">
                                    <w:pPr>
                                      <w:ind w:left="284" w:hanging="284"/>
                                    </w:pPr>
                                  </w:p>
                                  <w:p w:rsidRPr="001B61DB" w:rsidR="002318A8" w:rsidP="004C398A" w:rsidRDefault="002318A8" w14:paraId="26742426" w14:textId="77777777">
                                    <w:pPr>
                                      <w:pStyle w:val="Lijstalinea"/>
                                      <w:numPr>
                                        <w:ilvl w:val="0"/>
                                        <w:numId w:val="8"/>
                                      </w:numPr>
                                      <w:ind w:left="284" w:hanging="284"/>
                                      <w:rPr>
                                        <w:lang w:val="en-US"/>
                                      </w:rPr>
                                    </w:pPr>
                                    <w:r>
                                      <w:rPr>
                                        <w:i/>
                                        <w:iCs/>
                                        <w:lang w:val="en-US"/>
                                      </w:rPr>
                                      <w:t xml:space="preserve">Voorjaarspakket (mei jaar t): </w:t>
                                    </w:r>
                                  </w:p>
                                  <w:p w:rsidRPr="001B61DB" w:rsidR="002318A8" w:rsidP="004C398A" w:rsidRDefault="002318A8" w14:paraId="509B905C" w14:textId="77777777">
                                    <w:pPr>
                                      <w:pStyle w:val="Lijstalinea"/>
                                      <w:ind w:left="284"/>
                                    </w:pPr>
                                    <w:r w:rsidRPr="001B61DB">
                                      <w:t xml:space="preserve">Het </w:t>
                                    </w:r>
                                    <w:r>
                                      <w:t>voorjaars</w:t>
                                    </w:r>
                                    <w:r w:rsidRPr="001B61DB">
                                      <w:t>pakket b</w:t>
                                    </w:r>
                                    <w:r>
                                      <w:t>ouwt voort op de bredere prioriteiten uit het najaar en bevat onder andere landspecifieke aanbevelingen voor het sociaal-economische en budgettaire beleid van de lidstaten. Deze zijn gebaseerd op de evaluatie van de plannen die lidstaten in april hebben ingediend, en richten zich op wat in de volgende 12 tot 18 maanden haalbaar is. De EU-prioriteiten die zijn vastgesteld in de jaarlijkse groeianalyse worden aangepast aan het nationale niveau, ook voor de eurozone. Tevens verschijnen de evaluaties onder de MEOP.</w:t>
                                    </w:r>
                                  </w:p>
                                  <w:p w:rsidRPr="001B61DB" w:rsidR="002318A8" w:rsidP="004C398A" w:rsidRDefault="002318A8" w14:paraId="7AFDE8FE" w14:textId="77777777">
                                    <w:pPr>
                                      <w:ind w:left="284" w:hanging="284"/>
                                    </w:pPr>
                                  </w:p>
                                  <w:p w:rsidRPr="00122510" w:rsidR="002318A8" w:rsidP="004C398A" w:rsidRDefault="002318A8" w14:paraId="79E054BA" w14:textId="77777777">
                                    <w:pPr>
                                      <w:pStyle w:val="Lijstalinea"/>
                                      <w:numPr>
                                        <w:ilvl w:val="0"/>
                                        <w:numId w:val="8"/>
                                      </w:numPr>
                                      <w:ind w:left="284" w:hanging="284"/>
                                    </w:pPr>
                                    <w:r w:rsidRPr="00797CDF">
                                      <w:rPr>
                                        <w:i/>
                                        <w:iCs/>
                                      </w:rPr>
                                      <w:t>Raadsconclusies (juni – juli jaar t</w:t>
                                    </w:r>
                                    <w:r>
                                      <w:rPr>
                                        <w:i/>
                                        <w:iCs/>
                                      </w:rPr>
                                      <w:t xml:space="preserve">): </w:t>
                                    </w:r>
                                  </w:p>
                                  <w:p w:rsidR="002318A8" w:rsidP="004C398A" w:rsidRDefault="002318A8" w14:paraId="2E1F5889" w14:textId="77777777">
                                    <w:pPr>
                                      <w:pStyle w:val="Lijstalinea"/>
                                      <w:ind w:left="284"/>
                                    </w:pPr>
                                    <w:r>
                                      <w:t xml:space="preserve">De Raad bespreekt de landspecifieke aanbevelingen. Dit is ook het moment waarop lidstaten opmerkingen kunnen maken over hun budgettair-structureel plan voor de middellange termijn. Na goedkeuring neemt de Raad de aanbevelingen in juli officieel aan. </w:t>
                                    </w:r>
                                  </w:p>
                                  <w:p w:rsidRPr="00122510" w:rsidR="002318A8" w:rsidP="004C398A" w:rsidRDefault="002318A8" w14:paraId="03944814" w14:textId="77777777">
                                    <w:pPr>
                                      <w:pStyle w:val="Lijstalinea"/>
                                      <w:ind w:left="284" w:hanging="284"/>
                                    </w:pPr>
                                  </w:p>
                                  <w:p w:rsidRPr="00AE0A78" w:rsidR="002318A8" w:rsidP="004C398A" w:rsidRDefault="002318A8" w14:paraId="6A9DE59B" w14:textId="77777777">
                                    <w:pPr>
                                      <w:pStyle w:val="Lijstalinea"/>
                                      <w:numPr>
                                        <w:ilvl w:val="0"/>
                                        <w:numId w:val="8"/>
                                      </w:numPr>
                                      <w:ind w:left="284" w:hanging="284"/>
                                    </w:pPr>
                                    <w:r>
                                      <w:rPr>
                                        <w:i/>
                                        <w:iCs/>
                                      </w:rPr>
                                      <w:t xml:space="preserve">Aanbevelingen omzetten in nationale praktijk (augustus – oktober jaar t): </w:t>
                                    </w:r>
                                  </w:p>
                                  <w:p w:rsidRPr="00797CDF" w:rsidR="002318A8" w:rsidP="004C398A" w:rsidRDefault="002318A8" w14:paraId="467E49F1" w14:textId="77777777">
                                    <w:pPr>
                                      <w:pStyle w:val="Lijstalinea"/>
                                      <w:ind w:left="284"/>
                                    </w:pPr>
                                    <w:r>
                                      <w:t>L</w:t>
                                    </w:r>
                                    <w:r w:rsidRPr="00AE0A78">
                                      <w:t>idstaten word</w:t>
                                    </w:r>
                                    <w:r>
                                      <w:t>en</w:t>
                                    </w:r>
                                    <w:r w:rsidRPr="00AE0A78">
                                      <w:t xml:space="preserve"> verzocht de landspecifieke aanbevelingen </w:t>
                                    </w:r>
                                    <w:r>
                                      <w:t xml:space="preserve">te verwerken </w:t>
                                    </w:r>
                                    <w:r w:rsidRPr="00AE0A78">
                                      <w:t xml:space="preserve">in de hervormingen, overheidsinvesteringen en nationale begrotingsplannen voor het volgende jaar. </w:t>
                                    </w:r>
                                    <w:r>
                                      <w:t>In</w:t>
                                    </w:r>
                                    <w:r w:rsidRPr="00AE0A78">
                                      <w:t xml:space="preserve"> oktober delen </w:t>
                                    </w:r>
                                    <w:r>
                                      <w:t>eurolanden</w:t>
                                    </w:r>
                                    <w:r w:rsidRPr="00AE0A78">
                                      <w:t xml:space="preserve"> hun ontwerpbegrotingen met de Commissie, </w:t>
                                    </w:r>
                                    <w:r>
                                      <w:t xml:space="preserve">die deze toetst aan het Stabiliteit- en Groeipact, het uitgavenpad en de landspecifieke aanbevelingen, </w:t>
                                    </w:r>
                                    <w:r w:rsidRPr="00AE0A78">
                                      <w:t xml:space="preserve">voorafgaand aan het volgende najaarspakket.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0;width:503.1pt;height:68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" w14:anchorId="3ED52897">
                        <v:textbox>
                          <w:txbxContent>
                            <w:p w:rsidR="002318A8" w:rsidP="002318A8" w:rsidRDefault="002318A8" w14:paraId="3FBB2047" w14:textId="77777777">
                              <w:pPr>
                                <w:rPr>
                                  <w:b/>
                                  <w:bCs/>
                                </w:rPr>
                              </w:pPr>
                              <w:r>
                                <w:rPr>
                                  <w:b/>
                                  <w:bCs/>
                                </w:rPr>
                                <w:t xml:space="preserve">Box 2: Europees semester en de nationale begrotingscyclus </w:t>
                              </w:r>
                            </w:p>
                            <w:p w:rsidR="002318A8" w:rsidP="002318A8" w:rsidRDefault="002318A8" w14:paraId="08D214DE" w14:textId="77777777">
                              <w:pPr>
                                <w:rPr>
                                  <w:b/>
                                  <w:bCs/>
                                </w:rPr>
                              </w:pPr>
                            </w:p>
                            <w:p w:rsidR="002318A8" w:rsidP="002318A8" w:rsidRDefault="002318A8" w14:paraId="7E7750A7" w14:textId="77777777">
                              <w:r>
                                <w:t>De Europese en de nationale begrotingscycli lopen (deels) samen. Het Europees semester is de jaarlijkse cyclus voor Europese afstemming van het economisch- en begrotingsbeleid en loopt van november tot november, waarbij de nationale cyclus meeloopt van april tot oktober. Door de herziening van het Europees begrotingsraamwerk is ook het semester op een paar delen aangepast.</w:t>
                              </w:r>
                            </w:p>
                            <w:p w:rsidR="002318A8" w:rsidP="002318A8" w:rsidRDefault="002318A8" w14:paraId="425E05DD" w14:textId="77777777"/>
                            <w:p w:rsidRPr="00481C63" w:rsidR="002318A8" w:rsidP="004C398A" w:rsidRDefault="002318A8" w14:paraId="2C13B80B" w14:textId="77777777">
                              <w:pPr>
                                <w:pStyle w:val="Lijstalinea"/>
                                <w:numPr>
                                  <w:ilvl w:val="0"/>
                                  <w:numId w:val="9"/>
                                </w:numPr>
                                <w:ind w:left="284" w:hanging="284"/>
                              </w:pPr>
                              <w:r w:rsidRPr="00496D4B">
                                <w:rPr>
                                  <w:i/>
                                  <w:iCs/>
                                </w:rPr>
                                <w:t xml:space="preserve">Najaarspakket (november jaar t-1): </w:t>
                              </w:r>
                            </w:p>
                            <w:p w:rsidR="002318A8" w:rsidP="004C398A" w:rsidRDefault="002318A8" w14:paraId="0B883FC9" w14:textId="77777777">
                              <w:pPr>
                                <w:ind w:left="284"/>
                              </w:pPr>
                              <w:r>
                                <w:t xml:space="preserve">Het najaarspakket bevat onder meer de publicatie van de jaarlijkse groeianalyse, inclusief beleidsrichtsnoeren voor de lidstaten voor jaar t. Voor een deel van de lidstaten zullen evaluaties worden opgesteld als onderdeel van de Macro-Economische Onevenwichtigheidsprocedure, (MEOP), te verschijnen vlak voor de zomer. </w:t>
                              </w:r>
                            </w:p>
                            <w:p w:rsidR="002318A8" w:rsidP="004C398A" w:rsidRDefault="002318A8" w14:paraId="0503C7EE" w14:textId="77777777">
                              <w:pPr>
                                <w:ind w:left="284" w:hanging="284"/>
                              </w:pPr>
                            </w:p>
                            <w:p w:rsidRPr="00797CDF" w:rsidR="002318A8" w:rsidP="004C398A" w:rsidRDefault="002318A8" w14:paraId="7D19BAFE" w14:textId="77777777">
                              <w:pPr>
                                <w:pStyle w:val="Lijstalinea"/>
                                <w:numPr>
                                  <w:ilvl w:val="0"/>
                                  <w:numId w:val="8"/>
                                </w:numPr>
                                <w:ind w:left="284" w:hanging="284"/>
                              </w:pPr>
                              <w:r>
                                <w:rPr>
                                  <w:i/>
                                  <w:iCs/>
                                </w:rPr>
                                <w:t xml:space="preserve">Raadsconclusies (januari – maart jaar t): </w:t>
                              </w:r>
                            </w:p>
                            <w:p w:rsidR="002318A8" w:rsidP="004C398A" w:rsidRDefault="002318A8" w14:paraId="5F2791B1" w14:textId="77777777">
                              <w:pPr>
                                <w:pStyle w:val="Lijstalinea"/>
                                <w:ind w:left="284"/>
                              </w:pPr>
                              <w:r>
                                <w:t xml:space="preserve">De documenten van het najaarspakket worden toegezonden aan het Europees Parlement en de Raad. De Raad bespreekt deze en neemt hierover conclusies aan. De Commissie biedt richtsnoeren voor het begrotingsbeleid aan als basis voor de opstelling van de nationale begrotingsplannen. </w:t>
                              </w:r>
                            </w:p>
                            <w:p w:rsidR="002318A8" w:rsidP="004C398A" w:rsidRDefault="002318A8" w14:paraId="0C0D110A" w14:textId="77777777">
                              <w:pPr>
                                <w:ind w:left="284" w:hanging="284"/>
                              </w:pPr>
                            </w:p>
                            <w:p w:rsidRPr="006B2134" w:rsidR="002318A8" w:rsidP="004C398A" w:rsidRDefault="002318A8" w14:paraId="6C536906" w14:textId="77777777">
                              <w:pPr>
                                <w:pStyle w:val="Lijstalinea"/>
                                <w:numPr>
                                  <w:ilvl w:val="0"/>
                                  <w:numId w:val="8"/>
                                </w:numPr>
                                <w:ind w:left="284" w:hanging="284"/>
                                <w:rPr>
                                  <w:lang w:val="fr-FR"/>
                                </w:rPr>
                              </w:pPr>
                              <w:r w:rsidRPr="006B2134">
                                <w:rPr>
                                  <w:i/>
                                  <w:iCs/>
                                  <w:lang w:val="fr-FR"/>
                                </w:rPr>
                                <w:t xml:space="preserve">Nationale cyclus (april jaar t): </w:t>
                              </w:r>
                            </w:p>
                            <w:p w:rsidR="002318A8" w:rsidP="004C398A" w:rsidRDefault="002318A8" w14:paraId="56F0F474" w14:textId="77777777">
                              <w:pPr>
                                <w:ind w:left="284"/>
                              </w:pPr>
                              <w:r>
                                <w:t xml:space="preserve">Elke vier tot zeven jaar dient elke lidstaat uiterlijk 30 april een nationaal </w:t>
                              </w:r>
                              <w:r w:rsidRPr="009753E1">
                                <w:rPr>
                                  <w:i/>
                                  <w:iCs/>
                                </w:rPr>
                                <w:t>budgettair-structureel plan voor de middellange termijn</w:t>
                              </w:r>
                              <w:r>
                                <w:t xml:space="preserve"> in bij de Commissie. Dit plan bevat het uitgavenpad en hervormingen en investeringen die bijdragen aan duurzame en geleidelijke schuldreductie en economische groei. Jaarlijks rapporteren de lidstaten in april aan de Commissie over de voortgang van het uitgavenpad en de hervormingen en investeringen uit het plan in de </w:t>
                              </w:r>
                              <w:r w:rsidRPr="009753E1">
                                <w:rPr>
                                  <w:i/>
                                  <w:iCs/>
                                </w:rPr>
                                <w:t>Voortgangsrapportage.</w:t>
                              </w:r>
                              <w:r>
                                <w:t xml:space="preserve"> De Voortgangsrapportage vervangt het Stabiliteit- en Hervormingsprogramma. </w:t>
                              </w:r>
                            </w:p>
                            <w:p w:rsidRPr="00310138" w:rsidR="002318A8" w:rsidP="004C398A" w:rsidRDefault="002318A8" w14:paraId="74DEE7EB" w14:textId="77777777">
                              <w:pPr>
                                <w:ind w:left="284" w:hanging="284"/>
                              </w:pPr>
                            </w:p>
                            <w:p w:rsidRPr="001B61DB" w:rsidR="002318A8" w:rsidP="004C398A" w:rsidRDefault="002318A8" w14:paraId="26742426" w14:textId="77777777">
                              <w:pPr>
                                <w:pStyle w:val="Lijstalinea"/>
                                <w:numPr>
                                  <w:ilvl w:val="0"/>
                                  <w:numId w:val="8"/>
                                </w:numPr>
                                <w:ind w:left="284" w:hanging="284"/>
                                <w:rPr>
                                  <w:lang w:val="en-US"/>
                                </w:rPr>
                              </w:pPr>
                              <w:r>
                                <w:rPr>
                                  <w:i/>
                                  <w:iCs/>
                                  <w:lang w:val="en-US"/>
                                </w:rPr>
                                <w:t xml:space="preserve">Voorjaarspakket (mei jaar t): </w:t>
                              </w:r>
                            </w:p>
                            <w:p w:rsidRPr="001B61DB" w:rsidR="002318A8" w:rsidP="004C398A" w:rsidRDefault="002318A8" w14:paraId="509B905C" w14:textId="77777777">
                              <w:pPr>
                                <w:pStyle w:val="Lijstalinea"/>
                                <w:ind w:left="284"/>
                              </w:pPr>
                              <w:r w:rsidRPr="001B61DB">
                                <w:t xml:space="preserve">Het </w:t>
                              </w:r>
                              <w:r>
                                <w:t>voorjaars</w:t>
                              </w:r>
                              <w:r w:rsidRPr="001B61DB">
                                <w:t>pakket b</w:t>
                              </w:r>
                              <w:r>
                                <w:t>ouwt voort op de bredere prioriteiten uit het najaar en bevat onder andere landspecifieke aanbevelingen voor het sociaal-economische en budgettaire beleid van de lidstaten. Deze zijn gebaseerd op de evaluatie van de plannen die lidstaten in april hebben ingediend, en richten zich op wat in de volgende 12 tot 18 maanden haalbaar is. De EU-prioriteiten die zijn vastgesteld in de jaarlijkse groeianalyse worden aangepast aan het nationale niveau, ook voor de eurozone. Tevens verschijnen de evaluaties onder de MEOP.</w:t>
                              </w:r>
                            </w:p>
                            <w:p w:rsidRPr="001B61DB" w:rsidR="002318A8" w:rsidP="004C398A" w:rsidRDefault="002318A8" w14:paraId="7AFDE8FE" w14:textId="77777777">
                              <w:pPr>
                                <w:ind w:left="284" w:hanging="284"/>
                              </w:pPr>
                            </w:p>
                            <w:p w:rsidRPr="00122510" w:rsidR="002318A8" w:rsidP="004C398A" w:rsidRDefault="002318A8" w14:paraId="79E054BA" w14:textId="77777777">
                              <w:pPr>
                                <w:pStyle w:val="Lijstalinea"/>
                                <w:numPr>
                                  <w:ilvl w:val="0"/>
                                  <w:numId w:val="8"/>
                                </w:numPr>
                                <w:ind w:left="284" w:hanging="284"/>
                              </w:pPr>
                              <w:r w:rsidRPr="00797CDF">
                                <w:rPr>
                                  <w:i/>
                                  <w:iCs/>
                                </w:rPr>
                                <w:t>Raadsconclusies (juni – juli jaar t</w:t>
                              </w:r>
                              <w:r>
                                <w:rPr>
                                  <w:i/>
                                  <w:iCs/>
                                </w:rPr>
                                <w:t xml:space="preserve">): </w:t>
                              </w:r>
                            </w:p>
                            <w:p w:rsidR="002318A8" w:rsidP="004C398A" w:rsidRDefault="002318A8" w14:paraId="2E1F5889" w14:textId="77777777">
                              <w:pPr>
                                <w:pStyle w:val="Lijstalinea"/>
                                <w:ind w:left="284"/>
                              </w:pPr>
                              <w:r>
                                <w:t xml:space="preserve">De Raad bespreekt de landspecifieke aanbevelingen. Dit is ook het moment waarop lidstaten opmerkingen kunnen maken over hun budgettair-structureel plan voor de middellange termijn. Na goedkeuring neemt de Raad de aanbevelingen in juli officieel aan. </w:t>
                              </w:r>
                            </w:p>
                            <w:p w:rsidRPr="00122510" w:rsidR="002318A8" w:rsidP="004C398A" w:rsidRDefault="002318A8" w14:paraId="03944814" w14:textId="77777777">
                              <w:pPr>
                                <w:pStyle w:val="Lijstalinea"/>
                                <w:ind w:left="284" w:hanging="284"/>
                              </w:pPr>
                            </w:p>
                            <w:p w:rsidRPr="00AE0A78" w:rsidR="002318A8" w:rsidP="004C398A" w:rsidRDefault="002318A8" w14:paraId="6A9DE59B" w14:textId="77777777">
                              <w:pPr>
                                <w:pStyle w:val="Lijstalinea"/>
                                <w:numPr>
                                  <w:ilvl w:val="0"/>
                                  <w:numId w:val="8"/>
                                </w:numPr>
                                <w:ind w:left="284" w:hanging="284"/>
                              </w:pPr>
                              <w:r>
                                <w:rPr>
                                  <w:i/>
                                  <w:iCs/>
                                </w:rPr>
                                <w:t xml:space="preserve">Aanbevelingen omzetten in nationale praktijk (augustus – oktober jaar t): </w:t>
                              </w:r>
                            </w:p>
                            <w:p w:rsidRPr="00797CDF" w:rsidR="002318A8" w:rsidP="004C398A" w:rsidRDefault="002318A8" w14:paraId="467E49F1" w14:textId="77777777">
                              <w:pPr>
                                <w:pStyle w:val="Lijstalinea"/>
                                <w:ind w:left="284"/>
                              </w:pPr>
                              <w:r>
                                <w:t>L</w:t>
                              </w:r>
                              <w:r w:rsidRPr="00AE0A78">
                                <w:t>idstaten word</w:t>
                              </w:r>
                              <w:r>
                                <w:t>en</w:t>
                              </w:r>
                              <w:r w:rsidRPr="00AE0A78">
                                <w:t xml:space="preserve"> verzocht de landspecifieke aanbevelingen </w:t>
                              </w:r>
                              <w:r>
                                <w:t xml:space="preserve">te verwerken </w:t>
                              </w:r>
                              <w:r w:rsidRPr="00AE0A78">
                                <w:t xml:space="preserve">in de hervormingen, overheidsinvesteringen en nationale begrotingsplannen voor het volgende jaar. </w:t>
                              </w:r>
                              <w:r>
                                <w:t>In</w:t>
                              </w:r>
                              <w:r w:rsidRPr="00AE0A78">
                                <w:t xml:space="preserve"> oktober delen </w:t>
                              </w:r>
                              <w:r>
                                <w:t>eurolanden</w:t>
                              </w:r>
                              <w:r w:rsidRPr="00AE0A78">
                                <w:t xml:space="preserve"> hun ontwerpbegrotingen met de Commissie, </w:t>
                              </w:r>
                              <w:r>
                                <w:t xml:space="preserve">die deze toetst aan het Stabiliteit- en Groeipact, het uitgavenpad en de landspecifieke aanbevelingen, </w:t>
                              </w:r>
                              <w:r w:rsidRPr="00AE0A78">
                                <w:t xml:space="preserve">voorafgaand aan het volgende najaarspakket. </w:t>
                              </w:r>
                            </w:p>
                          </w:txbxContent>
                        </v:textbox>
                        <w10:wrap type="tight" anchorx="margin"/>
                      </v:shape>
                    </w:pict>
                  </mc:Fallback>
                </mc:AlternateContent>
              </w:r>
              <w:r>
                <w:br w:type="page"/>
              </w:r>
            </w:p>
            <w:p w:rsidR="002318A8" w:rsidP="002318A8" w:rsidRDefault="002318A8" w14:paraId="6BFF80A6" w14:textId="77777777">
              <w:pPr>
                <w:tabs>
                  <w:tab w:val="left" w:pos="1335"/>
                </w:tabs>
                <w:rPr>
                  <w:i/>
                  <w:iCs/>
                </w:rPr>
              </w:pPr>
              <w:r>
                <w:rPr>
                  <w:u w:val="single"/>
                </w:rPr>
                <w:lastRenderedPageBreak/>
                <w:t>Toetsing aan de normen voor de correctieve arm</w:t>
              </w:r>
            </w:p>
            <w:p w:rsidR="002318A8" w:rsidP="002318A8" w:rsidRDefault="002318A8" w14:paraId="43F74FF3" w14:textId="77777777">
              <w:pPr>
                <w:tabs>
                  <w:tab w:val="left" w:pos="1335"/>
                </w:tabs>
                <w:rPr>
                  <w:b/>
                  <w:bCs/>
                </w:rPr>
              </w:pPr>
            </w:p>
            <w:p w:rsidR="002318A8" w:rsidP="002318A8" w:rsidRDefault="002318A8" w14:paraId="01C2E9A2" w14:textId="77777777">
              <w:pPr>
                <w:tabs>
                  <w:tab w:val="left" w:pos="1335"/>
                </w:tabs>
              </w:pPr>
              <w:r>
                <w:t xml:space="preserve">In de hervormde correctieve arm blijven de referentiewaarden voor het begrotingstekort (EMU-saldo van maximaal 3% bbp) en de overheidsschuld (EMU-schuld van maximaal 60% bbp) belangrijke indicatoren. Dit omdat een </w:t>
              </w:r>
              <w:proofErr w:type="spellStart"/>
              <w:r>
                <w:t>buitensporigtekortprocedure</w:t>
              </w:r>
              <w:proofErr w:type="spellEnd"/>
              <w:r>
                <w:t xml:space="preserve"> geopend kan worden door de Raad, op aanbeveling van de Europese Commissie, als lidstaten de 3%-referentiewaarde overschrijden of als lidstaten met een schuld boven de 60% bbp afwijken van het </w:t>
              </w:r>
              <w:proofErr w:type="spellStart"/>
              <w:r>
                <w:t>uitgavenpad</w:t>
              </w:r>
              <w:proofErr w:type="spellEnd"/>
              <w:r>
                <w:t xml:space="preserve"> boven de jaarlijkse en cumulatieve drempelwaarden. </w:t>
              </w:r>
            </w:p>
            <w:p w:rsidR="002318A8" w:rsidP="002318A8" w:rsidRDefault="002318A8" w14:paraId="2D89A2DA" w14:textId="77777777">
              <w:pPr>
                <w:tabs>
                  <w:tab w:val="left" w:pos="1335"/>
                </w:tabs>
              </w:pPr>
            </w:p>
            <w:p w:rsidR="002318A8" w:rsidP="002318A8" w:rsidRDefault="002318A8" w14:paraId="1439451D" w14:textId="77777777">
              <w:pPr>
                <w:tabs>
                  <w:tab w:val="left" w:pos="1335"/>
                </w:tabs>
              </w:pPr>
              <w:r w:rsidRPr="000C76C4">
                <w:t>Op basis van de doorrekening van het CPB van de voorjaarsbesluitvorming</w:t>
              </w:r>
              <w:r>
                <w:t xml:space="preserve"> blijkt dat Nederland zowel in 2024, als naar verwachting in 2025 voldoet aan de vereisten van de correctieve arm (zie tabel 5). </w:t>
              </w:r>
            </w:p>
            <w:p w:rsidR="002318A8" w:rsidP="002318A8" w:rsidRDefault="002318A8" w14:paraId="741D31B0" w14:textId="77777777">
              <w:pPr>
                <w:tabs>
                  <w:tab w:val="left" w:pos="1335"/>
                </w:tabs>
              </w:pPr>
            </w:p>
            <w:tbl>
              <w:tblPr>
                <w:tblW w:w="5000" w:type="pct"/>
                <w:tblCellMar>
                  <w:left w:w="70" w:type="dxa"/>
                  <w:right w:w="70" w:type="dxa"/>
                </w:tblCellMar>
                <w:tblLook w:val="04A0" w:firstRow="1" w:lastRow="0" w:firstColumn="1" w:lastColumn="0" w:noHBand="0" w:noVBand="1"/>
              </w:tblPr>
              <w:tblGrid>
                <w:gridCol w:w="3311"/>
                <w:gridCol w:w="785"/>
                <w:gridCol w:w="721"/>
                <w:gridCol w:w="761"/>
                <w:gridCol w:w="761"/>
                <w:gridCol w:w="761"/>
                <w:gridCol w:w="761"/>
                <w:gridCol w:w="642"/>
              </w:tblGrid>
              <w:tr w:rsidRPr="0059190E" w:rsidR="002318A8" w:rsidTr="00754102" w14:paraId="44C0DA22" w14:textId="77777777">
                <w:trPr>
                  <w:trHeight w:val="276"/>
                </w:trPr>
                <w:tc>
                  <w:tcPr>
                    <w:tcW w:w="2624" w:type="pct"/>
                    <w:gridSpan w:val="3"/>
                    <w:tcBorders>
                      <w:top w:val="nil"/>
                      <w:left w:val="nil"/>
                      <w:bottom w:val="single" w:color="auto" w:sz="12" w:space="0"/>
                      <w:right w:val="nil"/>
                    </w:tcBorders>
                    <w:shd w:val="clear" w:color="auto" w:fill="auto"/>
                    <w:noWrap/>
                    <w:vAlign w:val="bottom"/>
                    <w:hideMark/>
                  </w:tcPr>
                  <w:p w:rsidRPr="0059190E" w:rsidR="002318A8" w:rsidRDefault="002318A8" w14:paraId="1F082A12" w14:textId="77777777">
                    <w:pPr>
                      <w:rPr>
                        <w:rFonts w:cs="Arial"/>
                        <w:b/>
                        <w:bCs/>
                        <w:sz w:val="18"/>
                        <w:szCs w:val="18"/>
                      </w:rPr>
                    </w:pPr>
                    <w:r w:rsidRPr="0059190E">
                      <w:rPr>
                        <w:rFonts w:cs="Arial"/>
                        <w:b/>
                        <w:bCs/>
                        <w:sz w:val="18"/>
                        <w:szCs w:val="18"/>
                      </w:rPr>
                      <w:t>Tabel 5: Gegevens voor de correctieve arm 2024 - 2029</w:t>
                    </w:r>
                  </w:p>
                </w:tc>
                <w:tc>
                  <w:tcPr>
                    <w:tcW w:w="475" w:type="pct"/>
                    <w:tcBorders>
                      <w:top w:val="nil"/>
                      <w:left w:val="nil"/>
                      <w:bottom w:val="single" w:color="auto" w:sz="12" w:space="0"/>
                      <w:right w:val="nil"/>
                    </w:tcBorders>
                    <w:shd w:val="clear" w:color="auto" w:fill="auto"/>
                    <w:noWrap/>
                    <w:vAlign w:val="bottom"/>
                    <w:hideMark/>
                  </w:tcPr>
                  <w:p w:rsidRPr="0059190E" w:rsidR="002318A8" w:rsidRDefault="002318A8" w14:paraId="1742B534" w14:textId="77777777">
                    <w:pPr>
                      <w:rPr>
                        <w:rFonts w:cs="Arial"/>
                        <w:sz w:val="18"/>
                        <w:szCs w:val="18"/>
                      </w:rPr>
                    </w:pPr>
                    <w:r w:rsidRPr="0059190E">
                      <w:rPr>
                        <w:rFonts w:cs="Arial"/>
                        <w:sz w:val="18"/>
                        <w:szCs w:val="18"/>
                      </w:rPr>
                      <w:t> </w:t>
                    </w:r>
                  </w:p>
                </w:tc>
                <w:tc>
                  <w:tcPr>
                    <w:tcW w:w="475" w:type="pct"/>
                    <w:tcBorders>
                      <w:top w:val="nil"/>
                      <w:left w:val="nil"/>
                      <w:bottom w:val="single" w:color="auto" w:sz="12" w:space="0"/>
                      <w:right w:val="nil"/>
                    </w:tcBorders>
                    <w:shd w:val="clear" w:color="auto" w:fill="auto"/>
                    <w:noWrap/>
                    <w:vAlign w:val="bottom"/>
                    <w:hideMark/>
                  </w:tcPr>
                  <w:p w:rsidRPr="0059190E" w:rsidR="002318A8" w:rsidRDefault="002318A8" w14:paraId="752E5C5C" w14:textId="77777777">
                    <w:pPr>
                      <w:rPr>
                        <w:rFonts w:cs="Arial"/>
                        <w:sz w:val="18"/>
                        <w:szCs w:val="18"/>
                      </w:rPr>
                    </w:pPr>
                    <w:r w:rsidRPr="0059190E">
                      <w:rPr>
                        <w:rFonts w:cs="Arial"/>
                        <w:sz w:val="18"/>
                        <w:szCs w:val="18"/>
                      </w:rPr>
                      <w:t> </w:t>
                    </w:r>
                  </w:p>
                </w:tc>
                <w:tc>
                  <w:tcPr>
                    <w:tcW w:w="475" w:type="pct"/>
                    <w:tcBorders>
                      <w:top w:val="nil"/>
                      <w:left w:val="nil"/>
                      <w:bottom w:val="single" w:color="auto" w:sz="12" w:space="0"/>
                      <w:right w:val="nil"/>
                    </w:tcBorders>
                    <w:shd w:val="clear" w:color="auto" w:fill="auto"/>
                    <w:noWrap/>
                    <w:vAlign w:val="bottom"/>
                    <w:hideMark/>
                  </w:tcPr>
                  <w:p w:rsidRPr="0059190E" w:rsidR="002318A8" w:rsidRDefault="002318A8" w14:paraId="0E9A38C6" w14:textId="77777777">
                    <w:pPr>
                      <w:rPr>
                        <w:rFonts w:cs="Arial"/>
                        <w:sz w:val="18"/>
                        <w:szCs w:val="18"/>
                      </w:rPr>
                    </w:pPr>
                    <w:r w:rsidRPr="0059190E">
                      <w:rPr>
                        <w:rFonts w:cs="Arial"/>
                        <w:sz w:val="18"/>
                        <w:szCs w:val="18"/>
                      </w:rPr>
                      <w:t> </w:t>
                    </w:r>
                  </w:p>
                </w:tc>
                <w:tc>
                  <w:tcPr>
                    <w:tcW w:w="475" w:type="pct"/>
                    <w:tcBorders>
                      <w:top w:val="nil"/>
                      <w:left w:val="nil"/>
                      <w:bottom w:val="single" w:color="auto" w:sz="12" w:space="0"/>
                      <w:right w:val="nil"/>
                    </w:tcBorders>
                    <w:shd w:val="clear" w:color="auto" w:fill="auto"/>
                    <w:noWrap/>
                    <w:vAlign w:val="bottom"/>
                    <w:hideMark/>
                  </w:tcPr>
                  <w:p w:rsidRPr="0059190E" w:rsidR="002318A8" w:rsidRDefault="002318A8" w14:paraId="4D80C771"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607006C7"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4CC30747" w14:textId="77777777">
                <w:trPr>
                  <w:trHeight w:val="264"/>
                </w:trPr>
                <w:tc>
                  <w:tcPr>
                    <w:tcW w:w="1805" w:type="pct"/>
                    <w:tcBorders>
                      <w:top w:val="single" w:color="auto" w:sz="12" w:space="0"/>
                      <w:left w:val="nil"/>
                      <w:bottom w:val="nil"/>
                      <w:right w:val="nil"/>
                    </w:tcBorders>
                    <w:shd w:val="clear" w:color="000000" w:fill="FFFFFF"/>
                    <w:noWrap/>
                    <w:vAlign w:val="bottom"/>
                    <w:hideMark/>
                  </w:tcPr>
                  <w:p w:rsidRPr="0059190E" w:rsidR="002318A8" w:rsidRDefault="002318A8" w14:paraId="357D1C06" w14:textId="77777777">
                    <w:pPr>
                      <w:rPr>
                        <w:rFonts w:cs="Arial"/>
                        <w:sz w:val="18"/>
                        <w:szCs w:val="18"/>
                      </w:rPr>
                    </w:pPr>
                    <w:r w:rsidRPr="0059190E">
                      <w:rPr>
                        <w:rFonts w:cs="Arial"/>
                        <w:sz w:val="18"/>
                        <w:szCs w:val="18"/>
                      </w:rPr>
                      <w:t> </w:t>
                    </w:r>
                  </w:p>
                </w:tc>
                <w:tc>
                  <w:tcPr>
                    <w:tcW w:w="428" w:type="pct"/>
                    <w:tcBorders>
                      <w:top w:val="single" w:color="auto" w:sz="12" w:space="0"/>
                      <w:left w:val="nil"/>
                      <w:bottom w:val="nil"/>
                      <w:right w:val="nil"/>
                    </w:tcBorders>
                    <w:shd w:val="clear" w:color="000000" w:fill="FFFFFF"/>
                    <w:noWrap/>
                    <w:vAlign w:val="bottom"/>
                    <w:hideMark/>
                  </w:tcPr>
                  <w:p w:rsidRPr="0059190E" w:rsidR="002318A8" w:rsidRDefault="002318A8" w14:paraId="1BA8EB92" w14:textId="77777777">
                    <w:pPr>
                      <w:jc w:val="right"/>
                      <w:rPr>
                        <w:rFonts w:cs="Arial"/>
                        <w:b/>
                        <w:bCs/>
                        <w:sz w:val="18"/>
                        <w:szCs w:val="18"/>
                      </w:rPr>
                    </w:pPr>
                    <w:r w:rsidRPr="0059190E">
                      <w:rPr>
                        <w:rFonts w:cs="Arial"/>
                        <w:b/>
                        <w:bCs/>
                        <w:sz w:val="18"/>
                        <w:szCs w:val="18"/>
                      </w:rPr>
                      <w:t>2024</w:t>
                    </w:r>
                  </w:p>
                </w:tc>
                <w:tc>
                  <w:tcPr>
                    <w:tcW w:w="391" w:type="pct"/>
                    <w:tcBorders>
                      <w:top w:val="single" w:color="auto" w:sz="12" w:space="0"/>
                      <w:left w:val="nil"/>
                      <w:bottom w:val="nil"/>
                      <w:right w:val="nil"/>
                    </w:tcBorders>
                    <w:shd w:val="clear" w:color="000000" w:fill="FFFFFF"/>
                    <w:noWrap/>
                    <w:vAlign w:val="bottom"/>
                    <w:hideMark/>
                  </w:tcPr>
                  <w:p w:rsidRPr="0059190E" w:rsidR="002318A8" w:rsidRDefault="002318A8" w14:paraId="3A620E44" w14:textId="77777777">
                    <w:pPr>
                      <w:jc w:val="right"/>
                      <w:rPr>
                        <w:rFonts w:cs="Arial"/>
                        <w:b/>
                        <w:bCs/>
                        <w:sz w:val="18"/>
                        <w:szCs w:val="18"/>
                      </w:rPr>
                    </w:pPr>
                    <w:r w:rsidRPr="0059190E">
                      <w:rPr>
                        <w:rFonts w:cs="Arial"/>
                        <w:b/>
                        <w:bCs/>
                        <w:sz w:val="18"/>
                        <w:szCs w:val="18"/>
                      </w:rPr>
                      <w:t>2025</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5ECA1274" w14:textId="77777777">
                    <w:pPr>
                      <w:jc w:val="right"/>
                      <w:rPr>
                        <w:rFonts w:cs="Arial"/>
                        <w:b/>
                        <w:bCs/>
                        <w:sz w:val="18"/>
                        <w:szCs w:val="18"/>
                      </w:rPr>
                    </w:pPr>
                    <w:r w:rsidRPr="0059190E">
                      <w:rPr>
                        <w:rFonts w:cs="Arial"/>
                        <w:b/>
                        <w:bCs/>
                        <w:sz w:val="18"/>
                        <w:szCs w:val="18"/>
                      </w:rPr>
                      <w:t>2026</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0932DE7C" w14:textId="77777777">
                    <w:pPr>
                      <w:jc w:val="right"/>
                      <w:rPr>
                        <w:rFonts w:cs="Arial"/>
                        <w:b/>
                        <w:bCs/>
                        <w:sz w:val="18"/>
                        <w:szCs w:val="18"/>
                      </w:rPr>
                    </w:pPr>
                    <w:r w:rsidRPr="0059190E">
                      <w:rPr>
                        <w:rFonts w:cs="Arial"/>
                        <w:b/>
                        <w:bCs/>
                        <w:sz w:val="18"/>
                        <w:szCs w:val="18"/>
                      </w:rPr>
                      <w:t>2027</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7F8DF590" w14:textId="77777777">
                    <w:pPr>
                      <w:jc w:val="right"/>
                      <w:rPr>
                        <w:rFonts w:cs="Arial"/>
                        <w:b/>
                        <w:bCs/>
                        <w:sz w:val="18"/>
                        <w:szCs w:val="18"/>
                      </w:rPr>
                    </w:pPr>
                    <w:r w:rsidRPr="0059190E">
                      <w:rPr>
                        <w:rFonts w:cs="Arial"/>
                        <w:b/>
                        <w:bCs/>
                        <w:sz w:val="18"/>
                        <w:szCs w:val="18"/>
                      </w:rPr>
                      <w:t>2028</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04129033" w14:textId="77777777">
                    <w:pPr>
                      <w:jc w:val="right"/>
                      <w:rPr>
                        <w:rFonts w:cs="Arial"/>
                        <w:b/>
                        <w:bCs/>
                        <w:sz w:val="18"/>
                        <w:szCs w:val="18"/>
                      </w:rPr>
                    </w:pPr>
                    <w:r w:rsidRPr="0059190E">
                      <w:rPr>
                        <w:rFonts w:cs="Arial"/>
                        <w:b/>
                        <w:bCs/>
                        <w:sz w:val="18"/>
                        <w:szCs w:val="18"/>
                      </w:rPr>
                      <w:t>2029</w:t>
                    </w:r>
                  </w:p>
                </w:tc>
                <w:tc>
                  <w:tcPr>
                    <w:tcW w:w="475" w:type="pct"/>
                    <w:tcBorders>
                      <w:top w:val="nil"/>
                      <w:left w:val="nil"/>
                      <w:bottom w:val="nil"/>
                      <w:right w:val="nil"/>
                    </w:tcBorders>
                    <w:shd w:val="clear" w:color="000000" w:fill="FFFFFF"/>
                    <w:noWrap/>
                    <w:vAlign w:val="bottom"/>
                    <w:hideMark/>
                  </w:tcPr>
                  <w:p w:rsidRPr="0059190E" w:rsidR="002318A8" w:rsidRDefault="002318A8" w14:paraId="5732A3CE"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1C679513" w14:textId="77777777">
                <w:trPr>
                  <w:trHeight w:val="276"/>
                </w:trPr>
                <w:tc>
                  <w:tcPr>
                    <w:tcW w:w="1805" w:type="pct"/>
                    <w:tcBorders>
                      <w:top w:val="nil"/>
                      <w:left w:val="nil"/>
                      <w:bottom w:val="single" w:color="auto" w:sz="12" w:space="0"/>
                      <w:right w:val="nil"/>
                    </w:tcBorders>
                    <w:shd w:val="clear" w:color="000000" w:fill="FFFFFF"/>
                    <w:noWrap/>
                    <w:vAlign w:val="bottom"/>
                    <w:hideMark/>
                  </w:tcPr>
                  <w:p w:rsidRPr="0059190E" w:rsidR="002318A8" w:rsidRDefault="002318A8" w14:paraId="70FB08C7" w14:textId="77777777">
                    <w:pPr>
                      <w:rPr>
                        <w:rFonts w:cs="Arial"/>
                        <w:sz w:val="18"/>
                        <w:szCs w:val="18"/>
                      </w:rPr>
                    </w:pPr>
                    <w:r w:rsidRPr="0059190E">
                      <w:rPr>
                        <w:rFonts w:cs="Arial"/>
                        <w:sz w:val="18"/>
                        <w:szCs w:val="18"/>
                      </w:rPr>
                      <w:t> </w:t>
                    </w:r>
                  </w:p>
                </w:tc>
                <w:tc>
                  <w:tcPr>
                    <w:tcW w:w="428" w:type="pct"/>
                    <w:tcBorders>
                      <w:top w:val="nil"/>
                      <w:left w:val="nil"/>
                      <w:bottom w:val="single" w:color="auto" w:sz="12" w:space="0"/>
                      <w:right w:val="nil"/>
                    </w:tcBorders>
                    <w:shd w:val="clear" w:color="000000" w:fill="FFFFFF"/>
                    <w:noWrap/>
                    <w:vAlign w:val="bottom"/>
                    <w:hideMark/>
                  </w:tcPr>
                  <w:p w:rsidRPr="0059190E" w:rsidR="002318A8" w:rsidRDefault="002318A8" w14:paraId="698CC043" w14:textId="77777777">
                    <w:pPr>
                      <w:jc w:val="right"/>
                      <w:rPr>
                        <w:rFonts w:cs="Arial"/>
                        <w:i/>
                        <w:iCs/>
                        <w:sz w:val="18"/>
                        <w:szCs w:val="18"/>
                      </w:rPr>
                    </w:pPr>
                    <w:r w:rsidRPr="0059190E">
                      <w:rPr>
                        <w:rFonts w:cs="Arial"/>
                        <w:i/>
                        <w:iCs/>
                        <w:sz w:val="18"/>
                        <w:szCs w:val="18"/>
                      </w:rPr>
                      <w:t>ex post</w:t>
                    </w:r>
                  </w:p>
                </w:tc>
                <w:tc>
                  <w:tcPr>
                    <w:tcW w:w="391" w:type="pct"/>
                    <w:tcBorders>
                      <w:top w:val="nil"/>
                      <w:left w:val="nil"/>
                      <w:bottom w:val="single" w:color="auto" w:sz="12" w:space="0"/>
                      <w:right w:val="nil"/>
                    </w:tcBorders>
                    <w:shd w:val="clear" w:color="000000" w:fill="FFFFFF"/>
                    <w:noWrap/>
                    <w:vAlign w:val="bottom"/>
                    <w:hideMark/>
                  </w:tcPr>
                  <w:p w:rsidRPr="0059190E" w:rsidR="002318A8" w:rsidRDefault="002318A8" w14:paraId="57B8C1D9" w14:textId="77777777">
                    <w:pPr>
                      <w:jc w:val="right"/>
                      <w:rPr>
                        <w:rFonts w:cs="Arial"/>
                        <w:i/>
                        <w:iCs/>
                        <w:sz w:val="18"/>
                        <w:szCs w:val="18"/>
                      </w:rPr>
                    </w:pPr>
                    <w:r w:rsidRPr="0059190E">
                      <w:rPr>
                        <w:rFonts w:cs="Arial"/>
                        <w:i/>
                        <w:iCs/>
                        <w:sz w:val="18"/>
                        <w:szCs w:val="18"/>
                      </w:rPr>
                      <w:t xml:space="preserve">in </w:t>
                    </w:r>
                    <w:proofErr w:type="spellStart"/>
                    <w:r w:rsidRPr="0059190E">
                      <w:rPr>
                        <w:rFonts w:cs="Arial"/>
                        <w:i/>
                        <w:iCs/>
                        <w:sz w:val="18"/>
                        <w:szCs w:val="18"/>
                      </w:rPr>
                      <w:t>year</w:t>
                    </w:r>
                    <w:proofErr w:type="spellEnd"/>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65F1972B" w14:textId="77777777">
                    <w:pPr>
                      <w:jc w:val="right"/>
                      <w:rPr>
                        <w:rFonts w:cs="Arial"/>
                        <w:i/>
                        <w:iCs/>
                        <w:sz w:val="18"/>
                        <w:szCs w:val="18"/>
                      </w:rPr>
                    </w:pPr>
                    <w:r w:rsidRPr="0059190E">
                      <w:rPr>
                        <w:rFonts w:cs="Arial"/>
                        <w:i/>
                        <w:iCs/>
                        <w:sz w:val="18"/>
                        <w:szCs w:val="18"/>
                      </w:rPr>
                      <w:t>ex ante</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004137B3" w14:textId="77777777">
                    <w:pPr>
                      <w:jc w:val="right"/>
                      <w:rPr>
                        <w:rFonts w:cs="Arial"/>
                        <w:i/>
                        <w:iCs/>
                        <w:sz w:val="18"/>
                        <w:szCs w:val="18"/>
                      </w:rPr>
                    </w:pPr>
                    <w:r w:rsidRPr="0059190E">
                      <w:rPr>
                        <w:rFonts w:cs="Arial"/>
                        <w:i/>
                        <w:iCs/>
                        <w:sz w:val="18"/>
                        <w:szCs w:val="18"/>
                      </w:rPr>
                      <w:t>ex ante</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610270CB" w14:textId="77777777">
                    <w:pPr>
                      <w:jc w:val="right"/>
                      <w:rPr>
                        <w:rFonts w:cs="Arial"/>
                        <w:i/>
                        <w:iCs/>
                        <w:sz w:val="18"/>
                        <w:szCs w:val="18"/>
                      </w:rPr>
                    </w:pPr>
                    <w:r w:rsidRPr="0059190E">
                      <w:rPr>
                        <w:rFonts w:cs="Arial"/>
                        <w:i/>
                        <w:iCs/>
                        <w:sz w:val="18"/>
                        <w:szCs w:val="18"/>
                      </w:rPr>
                      <w:t>ex ante</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35AE0061" w14:textId="77777777">
                    <w:pPr>
                      <w:jc w:val="right"/>
                      <w:rPr>
                        <w:rFonts w:cs="Arial"/>
                        <w:i/>
                        <w:iCs/>
                        <w:sz w:val="18"/>
                        <w:szCs w:val="18"/>
                      </w:rPr>
                    </w:pPr>
                    <w:r w:rsidRPr="0059190E">
                      <w:rPr>
                        <w:rFonts w:cs="Arial"/>
                        <w:i/>
                        <w:iCs/>
                        <w:sz w:val="18"/>
                        <w:szCs w:val="18"/>
                      </w:rPr>
                      <w:t>ex ante</w:t>
                    </w:r>
                  </w:p>
                </w:tc>
                <w:tc>
                  <w:tcPr>
                    <w:tcW w:w="475" w:type="pct"/>
                    <w:tcBorders>
                      <w:top w:val="nil"/>
                      <w:left w:val="nil"/>
                      <w:bottom w:val="nil"/>
                      <w:right w:val="nil"/>
                    </w:tcBorders>
                    <w:shd w:val="clear" w:color="000000" w:fill="FFFFFF"/>
                    <w:noWrap/>
                    <w:vAlign w:val="bottom"/>
                    <w:hideMark/>
                  </w:tcPr>
                  <w:p w:rsidRPr="0059190E" w:rsidR="002318A8" w:rsidRDefault="002318A8" w14:paraId="6F5148ED"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1DDB77A3" w14:textId="77777777">
                <w:trPr>
                  <w:trHeight w:val="264"/>
                </w:trPr>
                <w:tc>
                  <w:tcPr>
                    <w:tcW w:w="1805" w:type="pct"/>
                    <w:tcBorders>
                      <w:top w:val="single" w:color="auto" w:sz="12" w:space="0"/>
                      <w:left w:val="nil"/>
                      <w:bottom w:val="nil"/>
                      <w:right w:val="nil"/>
                    </w:tcBorders>
                    <w:shd w:val="clear" w:color="000000" w:fill="FFFFFF"/>
                    <w:noWrap/>
                    <w:vAlign w:val="bottom"/>
                    <w:hideMark/>
                  </w:tcPr>
                  <w:p w:rsidRPr="0059190E" w:rsidR="002318A8" w:rsidRDefault="002318A8" w14:paraId="4CCEBFCF" w14:textId="77777777">
                    <w:pPr>
                      <w:rPr>
                        <w:rFonts w:cs="Arial"/>
                        <w:b/>
                        <w:bCs/>
                        <w:sz w:val="18"/>
                        <w:szCs w:val="18"/>
                      </w:rPr>
                    </w:pPr>
                    <w:r w:rsidRPr="0059190E">
                      <w:rPr>
                        <w:rFonts w:cs="Arial"/>
                        <w:b/>
                        <w:bCs/>
                        <w:sz w:val="18"/>
                        <w:szCs w:val="18"/>
                      </w:rPr>
                      <w:t>Tekortcriterium (% bbp)</w:t>
                    </w:r>
                  </w:p>
                </w:tc>
                <w:tc>
                  <w:tcPr>
                    <w:tcW w:w="428" w:type="pct"/>
                    <w:tcBorders>
                      <w:top w:val="single" w:color="auto" w:sz="12" w:space="0"/>
                      <w:left w:val="nil"/>
                      <w:bottom w:val="nil"/>
                      <w:right w:val="nil"/>
                    </w:tcBorders>
                    <w:shd w:val="clear" w:color="000000" w:fill="FFFFFF"/>
                    <w:noWrap/>
                    <w:vAlign w:val="bottom"/>
                    <w:hideMark/>
                  </w:tcPr>
                  <w:p w:rsidRPr="0059190E" w:rsidR="002318A8" w:rsidRDefault="002318A8" w14:paraId="32A15419" w14:textId="77777777">
                    <w:pPr>
                      <w:rPr>
                        <w:rFonts w:cs="Arial"/>
                        <w:sz w:val="18"/>
                        <w:szCs w:val="18"/>
                      </w:rPr>
                    </w:pPr>
                    <w:r w:rsidRPr="0059190E">
                      <w:rPr>
                        <w:rFonts w:cs="Arial"/>
                        <w:sz w:val="18"/>
                        <w:szCs w:val="18"/>
                      </w:rPr>
                      <w:t> </w:t>
                    </w:r>
                  </w:p>
                </w:tc>
                <w:tc>
                  <w:tcPr>
                    <w:tcW w:w="391" w:type="pct"/>
                    <w:tcBorders>
                      <w:top w:val="single" w:color="auto" w:sz="12" w:space="0"/>
                      <w:left w:val="nil"/>
                      <w:bottom w:val="nil"/>
                      <w:right w:val="nil"/>
                    </w:tcBorders>
                    <w:shd w:val="clear" w:color="000000" w:fill="FFFFFF"/>
                    <w:noWrap/>
                    <w:vAlign w:val="bottom"/>
                    <w:hideMark/>
                  </w:tcPr>
                  <w:p w:rsidRPr="0059190E" w:rsidR="002318A8" w:rsidRDefault="002318A8" w14:paraId="72240C22"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6BF2785F"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5000D6D0"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4B3DBE9B"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1AC6205F"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3DD48ABE"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1EAD412E"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07896F2D" w14:textId="77777777">
                    <w:pPr>
                      <w:rPr>
                        <w:rFonts w:cs="Arial"/>
                        <w:i/>
                        <w:iCs/>
                        <w:sz w:val="18"/>
                        <w:szCs w:val="18"/>
                      </w:rPr>
                    </w:pPr>
                    <w:r w:rsidRPr="0059190E">
                      <w:rPr>
                        <w:rFonts w:cs="Arial"/>
                        <w:i/>
                        <w:iCs/>
                        <w:sz w:val="18"/>
                        <w:szCs w:val="18"/>
                      </w:rPr>
                      <w:t>Maximaal feitelijk EMU-saldo</w:t>
                    </w:r>
                  </w:p>
                </w:tc>
                <w:tc>
                  <w:tcPr>
                    <w:tcW w:w="428" w:type="pct"/>
                    <w:tcBorders>
                      <w:top w:val="nil"/>
                      <w:left w:val="nil"/>
                      <w:bottom w:val="nil"/>
                      <w:right w:val="nil"/>
                    </w:tcBorders>
                    <w:shd w:val="clear" w:color="000000" w:fill="FFFFFF"/>
                    <w:noWrap/>
                    <w:vAlign w:val="bottom"/>
                    <w:hideMark/>
                  </w:tcPr>
                  <w:p w:rsidRPr="0059190E" w:rsidR="002318A8" w:rsidRDefault="002318A8" w14:paraId="3E7AC559" w14:textId="77777777">
                    <w:pPr>
                      <w:jc w:val="right"/>
                      <w:rPr>
                        <w:rFonts w:cs="Arial"/>
                        <w:i/>
                        <w:iCs/>
                        <w:sz w:val="18"/>
                        <w:szCs w:val="18"/>
                      </w:rPr>
                    </w:pPr>
                    <w:r w:rsidRPr="0059190E">
                      <w:rPr>
                        <w:rFonts w:cs="Arial"/>
                        <w:i/>
                        <w:iCs/>
                        <w:sz w:val="18"/>
                        <w:szCs w:val="18"/>
                      </w:rPr>
                      <w:t>-3,0</w:t>
                    </w:r>
                  </w:p>
                </w:tc>
                <w:tc>
                  <w:tcPr>
                    <w:tcW w:w="391" w:type="pct"/>
                    <w:tcBorders>
                      <w:top w:val="nil"/>
                      <w:left w:val="nil"/>
                      <w:bottom w:val="nil"/>
                      <w:right w:val="nil"/>
                    </w:tcBorders>
                    <w:shd w:val="clear" w:color="000000" w:fill="FFFFFF"/>
                    <w:noWrap/>
                    <w:vAlign w:val="bottom"/>
                    <w:hideMark/>
                  </w:tcPr>
                  <w:p w:rsidRPr="0059190E" w:rsidR="002318A8" w:rsidRDefault="002318A8" w14:paraId="06F1C36C" w14:textId="77777777">
                    <w:pPr>
                      <w:jc w:val="right"/>
                      <w:rPr>
                        <w:rFonts w:cs="Arial"/>
                        <w:i/>
                        <w:iCs/>
                        <w:sz w:val="18"/>
                        <w:szCs w:val="18"/>
                      </w:rPr>
                    </w:pPr>
                    <w:r w:rsidRPr="0059190E">
                      <w:rPr>
                        <w:rFonts w:cs="Arial"/>
                        <w:i/>
                        <w:iCs/>
                        <w:sz w:val="18"/>
                        <w:szCs w:val="18"/>
                      </w:rPr>
                      <w:t>-3,0</w:t>
                    </w:r>
                  </w:p>
                </w:tc>
                <w:tc>
                  <w:tcPr>
                    <w:tcW w:w="475" w:type="pct"/>
                    <w:tcBorders>
                      <w:top w:val="nil"/>
                      <w:left w:val="nil"/>
                      <w:bottom w:val="nil"/>
                      <w:right w:val="nil"/>
                    </w:tcBorders>
                    <w:shd w:val="clear" w:color="000000" w:fill="FFFFFF"/>
                    <w:noWrap/>
                    <w:vAlign w:val="bottom"/>
                    <w:hideMark/>
                  </w:tcPr>
                  <w:p w:rsidRPr="0059190E" w:rsidR="002318A8" w:rsidRDefault="002318A8" w14:paraId="03E2C2C8" w14:textId="77777777">
                    <w:pPr>
                      <w:jc w:val="right"/>
                      <w:rPr>
                        <w:rFonts w:cs="Arial"/>
                        <w:i/>
                        <w:iCs/>
                        <w:sz w:val="18"/>
                        <w:szCs w:val="18"/>
                      </w:rPr>
                    </w:pPr>
                    <w:r w:rsidRPr="0059190E">
                      <w:rPr>
                        <w:rFonts w:cs="Arial"/>
                        <w:i/>
                        <w:iCs/>
                        <w:sz w:val="18"/>
                        <w:szCs w:val="18"/>
                      </w:rPr>
                      <w:t>-3,0</w:t>
                    </w:r>
                  </w:p>
                </w:tc>
                <w:tc>
                  <w:tcPr>
                    <w:tcW w:w="475" w:type="pct"/>
                    <w:tcBorders>
                      <w:top w:val="nil"/>
                      <w:left w:val="nil"/>
                      <w:bottom w:val="nil"/>
                      <w:right w:val="nil"/>
                    </w:tcBorders>
                    <w:shd w:val="clear" w:color="000000" w:fill="FFFFFF"/>
                    <w:noWrap/>
                    <w:vAlign w:val="bottom"/>
                    <w:hideMark/>
                  </w:tcPr>
                  <w:p w:rsidRPr="0059190E" w:rsidR="002318A8" w:rsidRDefault="002318A8" w14:paraId="2D571D24" w14:textId="77777777">
                    <w:pPr>
                      <w:jc w:val="right"/>
                      <w:rPr>
                        <w:rFonts w:cs="Arial"/>
                        <w:i/>
                        <w:iCs/>
                        <w:sz w:val="18"/>
                        <w:szCs w:val="18"/>
                      </w:rPr>
                    </w:pPr>
                    <w:r w:rsidRPr="0059190E">
                      <w:rPr>
                        <w:rFonts w:cs="Arial"/>
                        <w:i/>
                        <w:iCs/>
                        <w:sz w:val="18"/>
                        <w:szCs w:val="18"/>
                      </w:rPr>
                      <w:t>-3,0</w:t>
                    </w:r>
                  </w:p>
                </w:tc>
                <w:tc>
                  <w:tcPr>
                    <w:tcW w:w="475" w:type="pct"/>
                    <w:tcBorders>
                      <w:top w:val="nil"/>
                      <w:left w:val="nil"/>
                      <w:bottom w:val="nil"/>
                      <w:right w:val="nil"/>
                    </w:tcBorders>
                    <w:shd w:val="clear" w:color="000000" w:fill="FFFFFF"/>
                    <w:noWrap/>
                    <w:vAlign w:val="bottom"/>
                    <w:hideMark/>
                  </w:tcPr>
                  <w:p w:rsidRPr="0059190E" w:rsidR="002318A8" w:rsidRDefault="002318A8" w14:paraId="0205C78C" w14:textId="77777777">
                    <w:pPr>
                      <w:jc w:val="right"/>
                      <w:rPr>
                        <w:rFonts w:cs="Arial"/>
                        <w:i/>
                        <w:iCs/>
                        <w:sz w:val="18"/>
                        <w:szCs w:val="18"/>
                      </w:rPr>
                    </w:pPr>
                    <w:r w:rsidRPr="0059190E">
                      <w:rPr>
                        <w:rFonts w:cs="Arial"/>
                        <w:i/>
                        <w:iCs/>
                        <w:sz w:val="18"/>
                        <w:szCs w:val="18"/>
                      </w:rPr>
                      <w:t>-3,0</w:t>
                    </w:r>
                  </w:p>
                </w:tc>
                <w:tc>
                  <w:tcPr>
                    <w:tcW w:w="475" w:type="pct"/>
                    <w:tcBorders>
                      <w:top w:val="nil"/>
                      <w:left w:val="nil"/>
                      <w:bottom w:val="nil"/>
                      <w:right w:val="nil"/>
                    </w:tcBorders>
                    <w:shd w:val="clear" w:color="000000" w:fill="FFFFFF"/>
                    <w:noWrap/>
                    <w:vAlign w:val="bottom"/>
                    <w:hideMark/>
                  </w:tcPr>
                  <w:p w:rsidRPr="0059190E" w:rsidR="002318A8" w:rsidRDefault="002318A8" w14:paraId="32C4F4B1" w14:textId="77777777">
                    <w:pPr>
                      <w:jc w:val="right"/>
                      <w:rPr>
                        <w:rFonts w:cs="Arial"/>
                        <w:i/>
                        <w:iCs/>
                        <w:sz w:val="18"/>
                        <w:szCs w:val="18"/>
                      </w:rPr>
                    </w:pPr>
                    <w:r w:rsidRPr="0059190E">
                      <w:rPr>
                        <w:rFonts w:cs="Arial"/>
                        <w:i/>
                        <w:iCs/>
                        <w:sz w:val="18"/>
                        <w:szCs w:val="18"/>
                      </w:rPr>
                      <w:t>-3,0</w:t>
                    </w:r>
                  </w:p>
                </w:tc>
                <w:tc>
                  <w:tcPr>
                    <w:tcW w:w="475" w:type="pct"/>
                    <w:tcBorders>
                      <w:top w:val="nil"/>
                      <w:left w:val="nil"/>
                      <w:bottom w:val="nil"/>
                      <w:right w:val="nil"/>
                    </w:tcBorders>
                    <w:shd w:val="clear" w:color="000000" w:fill="FFFFFF"/>
                    <w:noWrap/>
                    <w:vAlign w:val="bottom"/>
                    <w:hideMark/>
                  </w:tcPr>
                  <w:p w:rsidRPr="0059190E" w:rsidR="002318A8" w:rsidRDefault="002318A8" w14:paraId="48EBF1EF"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4997E30F"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77AA5601" w14:textId="77777777">
                    <w:pPr>
                      <w:rPr>
                        <w:rFonts w:cs="Arial"/>
                        <w:sz w:val="18"/>
                        <w:szCs w:val="18"/>
                      </w:rPr>
                    </w:pPr>
                    <w:r w:rsidRPr="0059190E">
                      <w:rPr>
                        <w:rFonts w:cs="Arial"/>
                        <w:sz w:val="18"/>
                        <w:szCs w:val="18"/>
                      </w:rPr>
                      <w:t>EMU-saldo feitelijk</w:t>
                    </w:r>
                  </w:p>
                </w:tc>
                <w:tc>
                  <w:tcPr>
                    <w:tcW w:w="428" w:type="pct"/>
                    <w:tcBorders>
                      <w:top w:val="nil"/>
                      <w:left w:val="nil"/>
                      <w:bottom w:val="nil"/>
                      <w:right w:val="nil"/>
                    </w:tcBorders>
                    <w:shd w:val="clear" w:color="000000" w:fill="FFFFFF"/>
                    <w:noWrap/>
                    <w:vAlign w:val="bottom"/>
                    <w:hideMark/>
                  </w:tcPr>
                  <w:p w:rsidRPr="0059190E" w:rsidR="002318A8" w:rsidRDefault="002318A8" w14:paraId="5CB24B77" w14:textId="77777777">
                    <w:pPr>
                      <w:jc w:val="right"/>
                      <w:rPr>
                        <w:rFonts w:cs="Arial"/>
                        <w:sz w:val="18"/>
                        <w:szCs w:val="18"/>
                      </w:rPr>
                    </w:pPr>
                    <w:r w:rsidRPr="0059190E">
                      <w:rPr>
                        <w:rFonts w:cs="Arial"/>
                        <w:sz w:val="18"/>
                        <w:szCs w:val="18"/>
                      </w:rPr>
                      <w:t>-0,9</w:t>
                    </w:r>
                  </w:p>
                </w:tc>
                <w:tc>
                  <w:tcPr>
                    <w:tcW w:w="391" w:type="pct"/>
                    <w:tcBorders>
                      <w:top w:val="nil"/>
                      <w:left w:val="nil"/>
                      <w:bottom w:val="nil"/>
                      <w:right w:val="nil"/>
                    </w:tcBorders>
                    <w:shd w:val="clear" w:color="000000" w:fill="FFFFFF"/>
                    <w:noWrap/>
                    <w:vAlign w:val="bottom"/>
                    <w:hideMark/>
                  </w:tcPr>
                  <w:p w:rsidRPr="0059190E" w:rsidR="002318A8" w:rsidRDefault="002318A8" w14:paraId="3F05EBAC" w14:textId="77777777">
                    <w:pPr>
                      <w:jc w:val="right"/>
                      <w:rPr>
                        <w:rFonts w:cs="Arial"/>
                        <w:sz w:val="18"/>
                        <w:szCs w:val="18"/>
                      </w:rPr>
                    </w:pPr>
                    <w:r w:rsidRPr="0059190E">
                      <w:rPr>
                        <w:rFonts w:cs="Arial"/>
                        <w:sz w:val="18"/>
                        <w:szCs w:val="18"/>
                      </w:rPr>
                      <w:t>-2,3</w:t>
                    </w:r>
                  </w:p>
                </w:tc>
                <w:tc>
                  <w:tcPr>
                    <w:tcW w:w="475" w:type="pct"/>
                    <w:tcBorders>
                      <w:top w:val="nil"/>
                      <w:left w:val="nil"/>
                      <w:bottom w:val="nil"/>
                      <w:right w:val="nil"/>
                    </w:tcBorders>
                    <w:shd w:val="clear" w:color="000000" w:fill="FFFFFF"/>
                    <w:noWrap/>
                    <w:vAlign w:val="bottom"/>
                    <w:hideMark/>
                  </w:tcPr>
                  <w:p w:rsidRPr="0059190E" w:rsidR="002318A8" w:rsidRDefault="002318A8" w14:paraId="612EFE59" w14:textId="77777777">
                    <w:pPr>
                      <w:jc w:val="right"/>
                      <w:rPr>
                        <w:rFonts w:cs="Arial"/>
                        <w:sz w:val="18"/>
                        <w:szCs w:val="18"/>
                      </w:rPr>
                    </w:pPr>
                    <w:r w:rsidRPr="0059190E">
                      <w:rPr>
                        <w:rFonts w:cs="Arial"/>
                        <w:sz w:val="18"/>
                        <w:szCs w:val="18"/>
                      </w:rPr>
                      <w:t>-2,8</w:t>
                    </w:r>
                  </w:p>
                </w:tc>
                <w:tc>
                  <w:tcPr>
                    <w:tcW w:w="475" w:type="pct"/>
                    <w:tcBorders>
                      <w:top w:val="nil"/>
                      <w:left w:val="nil"/>
                      <w:bottom w:val="nil"/>
                      <w:right w:val="nil"/>
                    </w:tcBorders>
                    <w:shd w:val="clear" w:color="000000" w:fill="FFFFFF"/>
                    <w:noWrap/>
                    <w:vAlign w:val="bottom"/>
                    <w:hideMark/>
                  </w:tcPr>
                  <w:p w:rsidRPr="0059190E" w:rsidR="002318A8" w:rsidRDefault="002318A8" w14:paraId="62E08681" w14:textId="77777777">
                    <w:pPr>
                      <w:jc w:val="right"/>
                      <w:rPr>
                        <w:rFonts w:cs="Arial"/>
                        <w:sz w:val="18"/>
                        <w:szCs w:val="18"/>
                      </w:rPr>
                    </w:pPr>
                    <w:r w:rsidRPr="0059190E">
                      <w:rPr>
                        <w:rFonts w:cs="Arial"/>
                        <w:sz w:val="18"/>
                        <w:szCs w:val="18"/>
                      </w:rPr>
                      <w:t>-2,0</w:t>
                    </w:r>
                  </w:p>
                </w:tc>
                <w:tc>
                  <w:tcPr>
                    <w:tcW w:w="475" w:type="pct"/>
                    <w:tcBorders>
                      <w:top w:val="nil"/>
                      <w:left w:val="nil"/>
                      <w:bottom w:val="nil"/>
                      <w:right w:val="nil"/>
                    </w:tcBorders>
                    <w:shd w:val="clear" w:color="000000" w:fill="FFFFFF"/>
                    <w:noWrap/>
                    <w:vAlign w:val="bottom"/>
                    <w:hideMark/>
                  </w:tcPr>
                  <w:p w:rsidRPr="0059190E" w:rsidR="002318A8" w:rsidRDefault="002318A8" w14:paraId="5A94EB76" w14:textId="77777777">
                    <w:pPr>
                      <w:jc w:val="right"/>
                      <w:rPr>
                        <w:rFonts w:cs="Arial"/>
                        <w:sz w:val="18"/>
                        <w:szCs w:val="18"/>
                      </w:rPr>
                    </w:pPr>
                    <w:r w:rsidRPr="0059190E">
                      <w:rPr>
                        <w:rFonts w:cs="Arial"/>
                        <w:sz w:val="18"/>
                        <w:szCs w:val="18"/>
                      </w:rPr>
                      <w:t>-2,2</w:t>
                    </w:r>
                  </w:p>
                </w:tc>
                <w:tc>
                  <w:tcPr>
                    <w:tcW w:w="475" w:type="pct"/>
                    <w:tcBorders>
                      <w:top w:val="nil"/>
                      <w:left w:val="nil"/>
                      <w:bottom w:val="nil"/>
                      <w:right w:val="nil"/>
                    </w:tcBorders>
                    <w:shd w:val="clear" w:color="000000" w:fill="FFFFFF"/>
                    <w:noWrap/>
                    <w:vAlign w:val="bottom"/>
                    <w:hideMark/>
                  </w:tcPr>
                  <w:p w:rsidRPr="0059190E" w:rsidR="002318A8" w:rsidRDefault="002318A8" w14:paraId="1E19FD96" w14:textId="77777777">
                    <w:pPr>
                      <w:jc w:val="right"/>
                      <w:rPr>
                        <w:rFonts w:cs="Arial"/>
                        <w:sz w:val="18"/>
                        <w:szCs w:val="18"/>
                      </w:rPr>
                    </w:pPr>
                    <w:r w:rsidRPr="0059190E">
                      <w:rPr>
                        <w:rFonts w:cs="Arial"/>
                        <w:sz w:val="18"/>
                        <w:szCs w:val="18"/>
                      </w:rPr>
                      <w:t>-2,5</w:t>
                    </w:r>
                  </w:p>
                </w:tc>
                <w:tc>
                  <w:tcPr>
                    <w:tcW w:w="475" w:type="pct"/>
                    <w:tcBorders>
                      <w:top w:val="nil"/>
                      <w:left w:val="nil"/>
                      <w:bottom w:val="nil"/>
                      <w:right w:val="nil"/>
                    </w:tcBorders>
                    <w:shd w:val="clear" w:color="000000" w:fill="FFFFFF"/>
                    <w:noWrap/>
                    <w:vAlign w:val="bottom"/>
                    <w:hideMark/>
                  </w:tcPr>
                  <w:p w:rsidRPr="0059190E" w:rsidR="002318A8" w:rsidRDefault="002318A8" w14:paraId="662236A9"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5E50B5F7" w14:textId="77777777">
                <w:trPr>
                  <w:trHeight w:val="264"/>
                </w:trPr>
                <w:tc>
                  <w:tcPr>
                    <w:tcW w:w="1805" w:type="pct"/>
                    <w:tcBorders>
                      <w:top w:val="nil"/>
                      <w:left w:val="nil"/>
                      <w:bottom w:val="nil"/>
                      <w:right w:val="nil"/>
                    </w:tcBorders>
                    <w:shd w:val="clear" w:color="000000" w:fill="FFFFFF"/>
                    <w:noWrap/>
                    <w:vAlign w:val="bottom"/>
                    <w:hideMark/>
                  </w:tcPr>
                  <w:p w:rsidRPr="00093B7D" w:rsidR="002318A8" w:rsidRDefault="002318A8" w14:paraId="62EEA557" w14:textId="77777777">
                    <w:pPr>
                      <w:rPr>
                        <w:rFonts w:cs="Arial"/>
                        <w:sz w:val="18"/>
                        <w:szCs w:val="18"/>
                        <w:lang w:val="sv-SE"/>
                      </w:rPr>
                    </w:pPr>
                    <w:r w:rsidRPr="00093B7D">
                      <w:rPr>
                        <w:rFonts w:cs="Arial"/>
                        <w:sz w:val="18"/>
                        <w:szCs w:val="18"/>
                        <w:lang w:val="sv-SE"/>
                      </w:rPr>
                      <w:t xml:space="preserve">w.v. EMU-saldo medeoverheden </w:t>
                    </w:r>
                  </w:p>
                </w:tc>
                <w:tc>
                  <w:tcPr>
                    <w:tcW w:w="428" w:type="pct"/>
                    <w:tcBorders>
                      <w:top w:val="nil"/>
                      <w:left w:val="nil"/>
                      <w:bottom w:val="nil"/>
                      <w:right w:val="nil"/>
                    </w:tcBorders>
                    <w:shd w:val="clear" w:color="000000" w:fill="FFFFFF"/>
                    <w:noWrap/>
                    <w:vAlign w:val="bottom"/>
                    <w:hideMark/>
                  </w:tcPr>
                  <w:p w:rsidRPr="0059190E" w:rsidR="002318A8" w:rsidRDefault="002318A8" w14:paraId="7849F436" w14:textId="77777777">
                    <w:pPr>
                      <w:jc w:val="right"/>
                      <w:rPr>
                        <w:rFonts w:cs="Arial"/>
                        <w:sz w:val="18"/>
                        <w:szCs w:val="18"/>
                      </w:rPr>
                    </w:pPr>
                    <w:r w:rsidRPr="0059190E">
                      <w:rPr>
                        <w:rFonts w:cs="Arial"/>
                        <w:sz w:val="18"/>
                        <w:szCs w:val="18"/>
                      </w:rPr>
                      <w:t>-0,3</w:t>
                    </w:r>
                  </w:p>
                </w:tc>
                <w:tc>
                  <w:tcPr>
                    <w:tcW w:w="391" w:type="pct"/>
                    <w:tcBorders>
                      <w:top w:val="nil"/>
                      <w:left w:val="nil"/>
                      <w:bottom w:val="nil"/>
                      <w:right w:val="nil"/>
                    </w:tcBorders>
                    <w:shd w:val="clear" w:color="000000" w:fill="FFFFFF"/>
                    <w:noWrap/>
                    <w:vAlign w:val="bottom"/>
                    <w:hideMark/>
                  </w:tcPr>
                  <w:p w:rsidRPr="0059190E" w:rsidR="002318A8" w:rsidRDefault="002318A8" w14:paraId="482AB440" w14:textId="77777777">
                    <w:pPr>
                      <w:jc w:val="right"/>
                      <w:rPr>
                        <w:rFonts w:cs="Arial"/>
                        <w:sz w:val="18"/>
                        <w:szCs w:val="18"/>
                      </w:rPr>
                    </w:pPr>
                    <w:r w:rsidRPr="0059190E">
                      <w:rPr>
                        <w:rFonts w:cs="Arial"/>
                        <w:sz w:val="18"/>
                        <w:szCs w:val="18"/>
                      </w:rPr>
                      <w:t>-0,2</w:t>
                    </w:r>
                  </w:p>
                </w:tc>
                <w:tc>
                  <w:tcPr>
                    <w:tcW w:w="475" w:type="pct"/>
                    <w:tcBorders>
                      <w:top w:val="nil"/>
                      <w:left w:val="nil"/>
                      <w:bottom w:val="nil"/>
                      <w:right w:val="nil"/>
                    </w:tcBorders>
                    <w:shd w:val="clear" w:color="000000" w:fill="FFFFFF"/>
                    <w:noWrap/>
                    <w:vAlign w:val="bottom"/>
                    <w:hideMark/>
                  </w:tcPr>
                  <w:p w:rsidRPr="0059190E" w:rsidR="002318A8" w:rsidRDefault="002318A8" w14:paraId="2951E62D" w14:textId="77777777">
                    <w:pPr>
                      <w:jc w:val="right"/>
                      <w:rPr>
                        <w:rFonts w:cs="Arial"/>
                        <w:sz w:val="18"/>
                        <w:szCs w:val="18"/>
                      </w:rPr>
                    </w:pPr>
                    <w:r w:rsidRPr="0059190E">
                      <w:rPr>
                        <w:rFonts w:cs="Arial"/>
                        <w:sz w:val="18"/>
                        <w:szCs w:val="18"/>
                      </w:rPr>
                      <w:t>-0,3</w:t>
                    </w:r>
                  </w:p>
                </w:tc>
                <w:tc>
                  <w:tcPr>
                    <w:tcW w:w="475" w:type="pct"/>
                    <w:tcBorders>
                      <w:top w:val="nil"/>
                      <w:left w:val="nil"/>
                      <w:bottom w:val="nil"/>
                      <w:right w:val="nil"/>
                    </w:tcBorders>
                    <w:shd w:val="clear" w:color="000000" w:fill="FFFFFF"/>
                    <w:noWrap/>
                    <w:vAlign w:val="bottom"/>
                    <w:hideMark/>
                  </w:tcPr>
                  <w:p w:rsidRPr="0059190E" w:rsidR="002318A8" w:rsidRDefault="002318A8" w14:paraId="45F8078A" w14:textId="77777777">
                    <w:pPr>
                      <w:jc w:val="right"/>
                      <w:rPr>
                        <w:rFonts w:cs="Arial"/>
                        <w:sz w:val="18"/>
                        <w:szCs w:val="18"/>
                      </w:rPr>
                    </w:pPr>
                    <w:r w:rsidRPr="0059190E">
                      <w:rPr>
                        <w:rFonts w:cs="Arial"/>
                        <w:sz w:val="18"/>
                        <w:szCs w:val="18"/>
                      </w:rPr>
                      <w:t>-0,2</w:t>
                    </w:r>
                  </w:p>
                </w:tc>
                <w:tc>
                  <w:tcPr>
                    <w:tcW w:w="475" w:type="pct"/>
                    <w:tcBorders>
                      <w:top w:val="nil"/>
                      <w:left w:val="nil"/>
                      <w:bottom w:val="nil"/>
                      <w:right w:val="nil"/>
                    </w:tcBorders>
                    <w:shd w:val="clear" w:color="000000" w:fill="FFFFFF"/>
                    <w:noWrap/>
                    <w:vAlign w:val="bottom"/>
                    <w:hideMark/>
                  </w:tcPr>
                  <w:p w:rsidRPr="0059190E" w:rsidR="002318A8" w:rsidRDefault="002318A8" w14:paraId="57462601" w14:textId="77777777">
                    <w:pPr>
                      <w:jc w:val="right"/>
                      <w:rPr>
                        <w:rFonts w:cs="Arial"/>
                        <w:sz w:val="18"/>
                        <w:szCs w:val="18"/>
                      </w:rPr>
                    </w:pPr>
                    <w:r w:rsidRPr="0059190E">
                      <w:rPr>
                        <w:rFonts w:cs="Arial"/>
                        <w:sz w:val="18"/>
                        <w:szCs w:val="18"/>
                      </w:rPr>
                      <w:t>-0,3</w:t>
                    </w:r>
                  </w:p>
                </w:tc>
                <w:tc>
                  <w:tcPr>
                    <w:tcW w:w="475" w:type="pct"/>
                    <w:tcBorders>
                      <w:top w:val="nil"/>
                      <w:left w:val="nil"/>
                      <w:bottom w:val="nil"/>
                      <w:right w:val="nil"/>
                    </w:tcBorders>
                    <w:shd w:val="clear" w:color="000000" w:fill="FFFFFF"/>
                    <w:noWrap/>
                    <w:vAlign w:val="bottom"/>
                    <w:hideMark/>
                  </w:tcPr>
                  <w:p w:rsidRPr="0059190E" w:rsidR="002318A8" w:rsidRDefault="002318A8" w14:paraId="392CCB48" w14:textId="77777777">
                    <w:pPr>
                      <w:jc w:val="right"/>
                      <w:rPr>
                        <w:rFonts w:cs="Arial"/>
                        <w:sz w:val="18"/>
                        <w:szCs w:val="18"/>
                      </w:rPr>
                    </w:pPr>
                    <w:r w:rsidRPr="0059190E">
                      <w:rPr>
                        <w:rFonts w:cs="Arial"/>
                        <w:sz w:val="18"/>
                        <w:szCs w:val="18"/>
                      </w:rPr>
                      <w:t>-0,3</w:t>
                    </w:r>
                  </w:p>
                </w:tc>
                <w:tc>
                  <w:tcPr>
                    <w:tcW w:w="475" w:type="pct"/>
                    <w:tcBorders>
                      <w:top w:val="nil"/>
                      <w:left w:val="nil"/>
                      <w:bottom w:val="nil"/>
                      <w:right w:val="nil"/>
                    </w:tcBorders>
                    <w:shd w:val="clear" w:color="000000" w:fill="FFFFFF"/>
                    <w:noWrap/>
                    <w:vAlign w:val="bottom"/>
                    <w:hideMark/>
                  </w:tcPr>
                  <w:p w:rsidRPr="0059190E" w:rsidR="002318A8" w:rsidRDefault="002318A8" w14:paraId="067F579C"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3F1269B2"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5961AAB5" w14:textId="77777777">
                    <w:pPr>
                      <w:rPr>
                        <w:rFonts w:cs="Arial"/>
                        <w:sz w:val="18"/>
                        <w:szCs w:val="18"/>
                      </w:rPr>
                    </w:pPr>
                    <w:r w:rsidRPr="0059190E">
                      <w:rPr>
                        <w:rFonts w:cs="Arial"/>
                        <w:sz w:val="18"/>
                        <w:szCs w:val="18"/>
                      </w:rPr>
                      <w:t> </w:t>
                    </w:r>
                  </w:p>
                </w:tc>
                <w:tc>
                  <w:tcPr>
                    <w:tcW w:w="428" w:type="pct"/>
                    <w:tcBorders>
                      <w:top w:val="nil"/>
                      <w:left w:val="nil"/>
                      <w:bottom w:val="nil"/>
                      <w:right w:val="nil"/>
                    </w:tcBorders>
                    <w:shd w:val="clear" w:color="000000" w:fill="FFFFFF"/>
                    <w:noWrap/>
                    <w:vAlign w:val="bottom"/>
                    <w:hideMark/>
                  </w:tcPr>
                  <w:p w:rsidRPr="0059190E" w:rsidR="002318A8" w:rsidRDefault="002318A8" w14:paraId="12DEC3C3" w14:textId="77777777">
                    <w:pPr>
                      <w:rPr>
                        <w:rFonts w:cs="Arial"/>
                        <w:sz w:val="18"/>
                        <w:szCs w:val="18"/>
                      </w:rPr>
                    </w:pPr>
                    <w:r w:rsidRPr="0059190E">
                      <w:rPr>
                        <w:rFonts w:cs="Arial"/>
                        <w:sz w:val="18"/>
                        <w:szCs w:val="18"/>
                      </w:rPr>
                      <w:t> </w:t>
                    </w:r>
                  </w:p>
                </w:tc>
                <w:tc>
                  <w:tcPr>
                    <w:tcW w:w="391" w:type="pct"/>
                    <w:tcBorders>
                      <w:top w:val="nil"/>
                      <w:left w:val="nil"/>
                      <w:bottom w:val="nil"/>
                      <w:right w:val="nil"/>
                    </w:tcBorders>
                    <w:shd w:val="clear" w:color="000000" w:fill="FFFFFF"/>
                    <w:noWrap/>
                    <w:vAlign w:val="bottom"/>
                    <w:hideMark/>
                  </w:tcPr>
                  <w:p w:rsidRPr="0059190E" w:rsidR="002318A8" w:rsidRDefault="002318A8" w14:paraId="0708D9CC"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7998254C"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5CDBCBAB"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77215115"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54309D65"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681314D0"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585B94DF"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406DAE5A" w14:textId="77777777">
                    <w:pPr>
                      <w:rPr>
                        <w:rFonts w:cs="Arial"/>
                        <w:sz w:val="18"/>
                        <w:szCs w:val="18"/>
                      </w:rPr>
                    </w:pPr>
                    <w:r w:rsidRPr="0059190E">
                      <w:rPr>
                        <w:rFonts w:cs="Arial"/>
                        <w:sz w:val="18"/>
                        <w:szCs w:val="18"/>
                      </w:rPr>
                      <w:t>EMU-saldo structureel</w:t>
                    </w:r>
                  </w:p>
                </w:tc>
                <w:tc>
                  <w:tcPr>
                    <w:tcW w:w="428" w:type="pct"/>
                    <w:tcBorders>
                      <w:top w:val="nil"/>
                      <w:left w:val="nil"/>
                      <w:bottom w:val="nil"/>
                      <w:right w:val="nil"/>
                    </w:tcBorders>
                    <w:shd w:val="clear" w:color="000000" w:fill="FFFFFF"/>
                    <w:noWrap/>
                    <w:vAlign w:val="bottom"/>
                    <w:hideMark/>
                  </w:tcPr>
                  <w:p w:rsidRPr="0059190E" w:rsidR="002318A8" w:rsidRDefault="002318A8" w14:paraId="4AC6809F" w14:textId="77777777">
                    <w:pPr>
                      <w:jc w:val="right"/>
                      <w:rPr>
                        <w:rFonts w:cs="Arial"/>
                        <w:sz w:val="18"/>
                        <w:szCs w:val="18"/>
                      </w:rPr>
                    </w:pPr>
                    <w:r w:rsidRPr="0059190E">
                      <w:rPr>
                        <w:rFonts w:cs="Arial"/>
                        <w:sz w:val="18"/>
                        <w:szCs w:val="18"/>
                      </w:rPr>
                      <w:t>-0,3</w:t>
                    </w:r>
                  </w:p>
                </w:tc>
                <w:tc>
                  <w:tcPr>
                    <w:tcW w:w="391" w:type="pct"/>
                    <w:tcBorders>
                      <w:top w:val="nil"/>
                      <w:left w:val="nil"/>
                      <w:bottom w:val="nil"/>
                      <w:right w:val="nil"/>
                    </w:tcBorders>
                    <w:shd w:val="clear" w:color="000000" w:fill="FFFFFF"/>
                    <w:noWrap/>
                    <w:vAlign w:val="bottom"/>
                    <w:hideMark/>
                  </w:tcPr>
                  <w:p w:rsidRPr="0059190E" w:rsidR="002318A8" w:rsidRDefault="002318A8" w14:paraId="3C412A01" w14:textId="77777777">
                    <w:pPr>
                      <w:jc w:val="right"/>
                      <w:rPr>
                        <w:rFonts w:cs="Arial"/>
                        <w:sz w:val="18"/>
                        <w:szCs w:val="18"/>
                      </w:rPr>
                    </w:pPr>
                    <w:r w:rsidRPr="0059190E">
                      <w:rPr>
                        <w:rFonts w:cs="Arial"/>
                        <w:sz w:val="18"/>
                        <w:szCs w:val="18"/>
                      </w:rPr>
                      <w:t>-1,9</w:t>
                    </w:r>
                  </w:p>
                </w:tc>
                <w:tc>
                  <w:tcPr>
                    <w:tcW w:w="475" w:type="pct"/>
                    <w:tcBorders>
                      <w:top w:val="nil"/>
                      <w:left w:val="nil"/>
                      <w:bottom w:val="nil"/>
                      <w:right w:val="nil"/>
                    </w:tcBorders>
                    <w:shd w:val="clear" w:color="000000" w:fill="FFFFFF"/>
                    <w:noWrap/>
                    <w:vAlign w:val="bottom"/>
                    <w:hideMark/>
                  </w:tcPr>
                  <w:p w:rsidRPr="0059190E" w:rsidR="002318A8" w:rsidRDefault="002318A8" w14:paraId="2AF544D4" w14:textId="77777777">
                    <w:pPr>
                      <w:jc w:val="right"/>
                      <w:rPr>
                        <w:rFonts w:cs="Arial"/>
                        <w:sz w:val="18"/>
                        <w:szCs w:val="18"/>
                      </w:rPr>
                    </w:pPr>
                    <w:r w:rsidRPr="0059190E">
                      <w:rPr>
                        <w:rFonts w:cs="Arial"/>
                        <w:sz w:val="18"/>
                        <w:szCs w:val="18"/>
                      </w:rPr>
                      <w:t>-1,6</w:t>
                    </w:r>
                  </w:p>
                </w:tc>
                <w:tc>
                  <w:tcPr>
                    <w:tcW w:w="475" w:type="pct"/>
                    <w:tcBorders>
                      <w:top w:val="nil"/>
                      <w:left w:val="nil"/>
                      <w:bottom w:val="nil"/>
                      <w:right w:val="nil"/>
                    </w:tcBorders>
                    <w:shd w:val="clear" w:color="000000" w:fill="FFFFFF"/>
                    <w:noWrap/>
                    <w:vAlign w:val="bottom"/>
                    <w:hideMark/>
                  </w:tcPr>
                  <w:p w:rsidRPr="0059190E" w:rsidR="002318A8" w:rsidRDefault="002318A8" w14:paraId="1E5E320A" w14:textId="77777777">
                    <w:pPr>
                      <w:jc w:val="right"/>
                      <w:rPr>
                        <w:rFonts w:cs="Arial"/>
                        <w:sz w:val="18"/>
                        <w:szCs w:val="18"/>
                      </w:rPr>
                    </w:pPr>
                    <w:r w:rsidRPr="0059190E">
                      <w:rPr>
                        <w:rFonts w:cs="Arial"/>
                        <w:sz w:val="18"/>
                        <w:szCs w:val="18"/>
                      </w:rPr>
                      <w:t>-1,5</w:t>
                    </w:r>
                  </w:p>
                </w:tc>
                <w:tc>
                  <w:tcPr>
                    <w:tcW w:w="475" w:type="pct"/>
                    <w:tcBorders>
                      <w:top w:val="nil"/>
                      <w:left w:val="nil"/>
                      <w:bottom w:val="nil"/>
                      <w:right w:val="nil"/>
                    </w:tcBorders>
                    <w:shd w:val="clear" w:color="000000" w:fill="FFFFFF"/>
                    <w:noWrap/>
                    <w:vAlign w:val="bottom"/>
                    <w:hideMark/>
                  </w:tcPr>
                  <w:p w:rsidRPr="0059190E" w:rsidR="002318A8" w:rsidRDefault="002318A8" w14:paraId="1EB265E1" w14:textId="77777777">
                    <w:pPr>
                      <w:jc w:val="right"/>
                      <w:rPr>
                        <w:rFonts w:cs="Arial"/>
                        <w:sz w:val="18"/>
                        <w:szCs w:val="18"/>
                      </w:rPr>
                    </w:pPr>
                    <w:r w:rsidRPr="0059190E">
                      <w:rPr>
                        <w:rFonts w:cs="Arial"/>
                        <w:sz w:val="18"/>
                        <w:szCs w:val="18"/>
                      </w:rPr>
                      <w:t>-1,6</w:t>
                    </w:r>
                  </w:p>
                </w:tc>
                <w:tc>
                  <w:tcPr>
                    <w:tcW w:w="475" w:type="pct"/>
                    <w:tcBorders>
                      <w:top w:val="nil"/>
                      <w:left w:val="nil"/>
                      <w:bottom w:val="nil"/>
                      <w:right w:val="nil"/>
                    </w:tcBorders>
                    <w:shd w:val="clear" w:color="000000" w:fill="FFFFFF"/>
                    <w:noWrap/>
                    <w:vAlign w:val="bottom"/>
                    <w:hideMark/>
                  </w:tcPr>
                  <w:p w:rsidRPr="0059190E" w:rsidR="002318A8" w:rsidRDefault="002318A8" w14:paraId="3CFB1DB7" w14:textId="77777777">
                    <w:pPr>
                      <w:jc w:val="right"/>
                      <w:rPr>
                        <w:rFonts w:cs="Arial"/>
                        <w:sz w:val="18"/>
                        <w:szCs w:val="18"/>
                      </w:rPr>
                    </w:pPr>
                    <w:r w:rsidRPr="0059190E">
                      <w:rPr>
                        <w:rFonts w:cs="Arial"/>
                        <w:sz w:val="18"/>
                        <w:szCs w:val="18"/>
                      </w:rPr>
                      <w:t>-2,0</w:t>
                    </w:r>
                  </w:p>
                </w:tc>
                <w:tc>
                  <w:tcPr>
                    <w:tcW w:w="475" w:type="pct"/>
                    <w:tcBorders>
                      <w:top w:val="nil"/>
                      <w:left w:val="nil"/>
                      <w:bottom w:val="nil"/>
                      <w:right w:val="nil"/>
                    </w:tcBorders>
                    <w:shd w:val="clear" w:color="000000" w:fill="FFFFFF"/>
                    <w:noWrap/>
                    <w:vAlign w:val="bottom"/>
                    <w:hideMark/>
                  </w:tcPr>
                  <w:p w:rsidRPr="0059190E" w:rsidR="002318A8" w:rsidRDefault="002318A8" w14:paraId="08AFB912"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0AA7E6B9"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4C6B04BB" w14:textId="77777777">
                    <w:pPr>
                      <w:rPr>
                        <w:rFonts w:cs="Arial"/>
                        <w:sz w:val="18"/>
                        <w:szCs w:val="18"/>
                      </w:rPr>
                    </w:pPr>
                    <w:r w:rsidRPr="0059190E">
                      <w:rPr>
                        <w:rFonts w:cs="Arial"/>
                        <w:sz w:val="18"/>
                        <w:szCs w:val="18"/>
                      </w:rPr>
                      <w:t> </w:t>
                    </w:r>
                  </w:p>
                </w:tc>
                <w:tc>
                  <w:tcPr>
                    <w:tcW w:w="428" w:type="pct"/>
                    <w:tcBorders>
                      <w:top w:val="nil"/>
                      <w:left w:val="nil"/>
                      <w:bottom w:val="nil"/>
                      <w:right w:val="nil"/>
                    </w:tcBorders>
                    <w:shd w:val="clear" w:color="000000" w:fill="FFFFFF"/>
                    <w:noWrap/>
                    <w:vAlign w:val="bottom"/>
                    <w:hideMark/>
                  </w:tcPr>
                  <w:p w:rsidRPr="0059190E" w:rsidR="002318A8" w:rsidRDefault="002318A8" w14:paraId="40A14BFB" w14:textId="77777777">
                    <w:pPr>
                      <w:rPr>
                        <w:rFonts w:cs="Arial"/>
                        <w:sz w:val="18"/>
                        <w:szCs w:val="18"/>
                      </w:rPr>
                    </w:pPr>
                    <w:r w:rsidRPr="0059190E">
                      <w:rPr>
                        <w:rFonts w:cs="Arial"/>
                        <w:sz w:val="18"/>
                        <w:szCs w:val="18"/>
                      </w:rPr>
                      <w:t> </w:t>
                    </w:r>
                  </w:p>
                </w:tc>
                <w:tc>
                  <w:tcPr>
                    <w:tcW w:w="391" w:type="pct"/>
                    <w:tcBorders>
                      <w:top w:val="nil"/>
                      <w:left w:val="nil"/>
                      <w:bottom w:val="nil"/>
                      <w:right w:val="nil"/>
                    </w:tcBorders>
                    <w:shd w:val="clear" w:color="000000" w:fill="FFFFFF"/>
                    <w:noWrap/>
                    <w:vAlign w:val="bottom"/>
                    <w:hideMark/>
                  </w:tcPr>
                  <w:p w:rsidRPr="0059190E" w:rsidR="002318A8" w:rsidRDefault="002318A8" w14:paraId="06ECB20E"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41777CB5"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1FF7F962"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0726DEF9"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7944BD09"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5D150684"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5B22BC45"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664B08D8" w14:textId="77777777">
                    <w:pPr>
                      <w:rPr>
                        <w:rFonts w:cs="Arial"/>
                        <w:b/>
                        <w:bCs/>
                        <w:sz w:val="18"/>
                        <w:szCs w:val="18"/>
                      </w:rPr>
                    </w:pPr>
                    <w:r w:rsidRPr="0059190E">
                      <w:rPr>
                        <w:rFonts w:cs="Arial"/>
                        <w:b/>
                        <w:bCs/>
                        <w:sz w:val="18"/>
                        <w:szCs w:val="18"/>
                      </w:rPr>
                      <w:t>Schuldcriterium (% bbp)</w:t>
                    </w:r>
                  </w:p>
                </w:tc>
                <w:tc>
                  <w:tcPr>
                    <w:tcW w:w="428" w:type="pct"/>
                    <w:tcBorders>
                      <w:top w:val="nil"/>
                      <w:left w:val="nil"/>
                      <w:bottom w:val="nil"/>
                      <w:right w:val="nil"/>
                    </w:tcBorders>
                    <w:shd w:val="clear" w:color="000000" w:fill="FFFFFF"/>
                    <w:noWrap/>
                    <w:vAlign w:val="bottom"/>
                    <w:hideMark/>
                  </w:tcPr>
                  <w:p w:rsidRPr="0059190E" w:rsidR="002318A8" w:rsidRDefault="002318A8" w14:paraId="679F24CD" w14:textId="77777777">
                    <w:pPr>
                      <w:rPr>
                        <w:rFonts w:cs="Arial"/>
                        <w:sz w:val="18"/>
                        <w:szCs w:val="18"/>
                      </w:rPr>
                    </w:pPr>
                    <w:r w:rsidRPr="0059190E">
                      <w:rPr>
                        <w:rFonts w:cs="Arial"/>
                        <w:sz w:val="18"/>
                        <w:szCs w:val="18"/>
                      </w:rPr>
                      <w:t> </w:t>
                    </w:r>
                  </w:p>
                </w:tc>
                <w:tc>
                  <w:tcPr>
                    <w:tcW w:w="391" w:type="pct"/>
                    <w:tcBorders>
                      <w:top w:val="nil"/>
                      <w:left w:val="nil"/>
                      <w:bottom w:val="nil"/>
                      <w:right w:val="nil"/>
                    </w:tcBorders>
                    <w:shd w:val="clear" w:color="000000" w:fill="FFFFFF"/>
                    <w:noWrap/>
                    <w:vAlign w:val="bottom"/>
                    <w:hideMark/>
                  </w:tcPr>
                  <w:p w:rsidRPr="0059190E" w:rsidR="002318A8" w:rsidRDefault="002318A8" w14:paraId="5F53C09C"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2B110F58"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4886614F"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664FF255"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24109088"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2A85693B"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41EE5BE3" w14:textId="77777777">
                <w:trPr>
                  <w:trHeight w:val="264"/>
                </w:trPr>
                <w:tc>
                  <w:tcPr>
                    <w:tcW w:w="1805" w:type="pct"/>
                    <w:tcBorders>
                      <w:top w:val="nil"/>
                      <w:left w:val="nil"/>
                      <w:bottom w:val="nil"/>
                      <w:right w:val="nil"/>
                    </w:tcBorders>
                    <w:shd w:val="clear" w:color="000000" w:fill="FFFFFF"/>
                    <w:noWrap/>
                    <w:vAlign w:val="bottom"/>
                    <w:hideMark/>
                  </w:tcPr>
                  <w:p w:rsidRPr="0059190E" w:rsidR="002318A8" w:rsidRDefault="002318A8" w14:paraId="5E9D99FA" w14:textId="77777777">
                    <w:pPr>
                      <w:rPr>
                        <w:rFonts w:cs="Arial"/>
                        <w:i/>
                        <w:iCs/>
                        <w:sz w:val="18"/>
                        <w:szCs w:val="18"/>
                      </w:rPr>
                    </w:pPr>
                    <w:r w:rsidRPr="0059190E">
                      <w:rPr>
                        <w:rFonts w:cs="Arial"/>
                        <w:i/>
                        <w:iCs/>
                        <w:sz w:val="18"/>
                        <w:szCs w:val="18"/>
                      </w:rPr>
                      <w:t>Maximale EMU-schuld</w:t>
                    </w:r>
                  </w:p>
                </w:tc>
                <w:tc>
                  <w:tcPr>
                    <w:tcW w:w="428" w:type="pct"/>
                    <w:tcBorders>
                      <w:top w:val="nil"/>
                      <w:left w:val="nil"/>
                      <w:bottom w:val="nil"/>
                      <w:right w:val="nil"/>
                    </w:tcBorders>
                    <w:shd w:val="clear" w:color="000000" w:fill="FFFFFF"/>
                    <w:noWrap/>
                    <w:vAlign w:val="bottom"/>
                    <w:hideMark/>
                  </w:tcPr>
                  <w:p w:rsidRPr="0059190E" w:rsidR="002318A8" w:rsidRDefault="002318A8" w14:paraId="5F28EFC6" w14:textId="77777777">
                    <w:pPr>
                      <w:jc w:val="right"/>
                      <w:rPr>
                        <w:rFonts w:cs="Arial"/>
                        <w:i/>
                        <w:iCs/>
                        <w:sz w:val="18"/>
                        <w:szCs w:val="18"/>
                      </w:rPr>
                    </w:pPr>
                    <w:r w:rsidRPr="0059190E">
                      <w:rPr>
                        <w:rFonts w:cs="Arial"/>
                        <w:i/>
                        <w:iCs/>
                        <w:sz w:val="18"/>
                        <w:szCs w:val="18"/>
                      </w:rPr>
                      <w:t>60,0</w:t>
                    </w:r>
                  </w:p>
                </w:tc>
                <w:tc>
                  <w:tcPr>
                    <w:tcW w:w="391" w:type="pct"/>
                    <w:tcBorders>
                      <w:top w:val="nil"/>
                      <w:left w:val="nil"/>
                      <w:bottom w:val="nil"/>
                      <w:right w:val="nil"/>
                    </w:tcBorders>
                    <w:shd w:val="clear" w:color="000000" w:fill="FFFFFF"/>
                    <w:noWrap/>
                    <w:vAlign w:val="bottom"/>
                    <w:hideMark/>
                  </w:tcPr>
                  <w:p w:rsidRPr="0059190E" w:rsidR="002318A8" w:rsidRDefault="002318A8" w14:paraId="4083649C" w14:textId="77777777">
                    <w:pPr>
                      <w:jc w:val="right"/>
                      <w:rPr>
                        <w:rFonts w:cs="Arial"/>
                        <w:i/>
                        <w:iCs/>
                        <w:sz w:val="18"/>
                        <w:szCs w:val="18"/>
                      </w:rPr>
                    </w:pPr>
                    <w:r w:rsidRPr="0059190E">
                      <w:rPr>
                        <w:rFonts w:cs="Arial"/>
                        <w:i/>
                        <w:iCs/>
                        <w:sz w:val="18"/>
                        <w:szCs w:val="18"/>
                      </w:rPr>
                      <w:t>60,0</w:t>
                    </w:r>
                  </w:p>
                </w:tc>
                <w:tc>
                  <w:tcPr>
                    <w:tcW w:w="475" w:type="pct"/>
                    <w:tcBorders>
                      <w:top w:val="nil"/>
                      <w:left w:val="nil"/>
                      <w:bottom w:val="nil"/>
                      <w:right w:val="nil"/>
                    </w:tcBorders>
                    <w:shd w:val="clear" w:color="000000" w:fill="FFFFFF"/>
                    <w:noWrap/>
                    <w:vAlign w:val="bottom"/>
                    <w:hideMark/>
                  </w:tcPr>
                  <w:p w:rsidRPr="0059190E" w:rsidR="002318A8" w:rsidRDefault="002318A8" w14:paraId="0BB77ACF" w14:textId="77777777">
                    <w:pPr>
                      <w:jc w:val="right"/>
                      <w:rPr>
                        <w:rFonts w:cs="Arial"/>
                        <w:i/>
                        <w:iCs/>
                        <w:sz w:val="18"/>
                        <w:szCs w:val="18"/>
                      </w:rPr>
                    </w:pPr>
                    <w:r w:rsidRPr="0059190E">
                      <w:rPr>
                        <w:rFonts w:cs="Arial"/>
                        <w:i/>
                        <w:iCs/>
                        <w:sz w:val="18"/>
                        <w:szCs w:val="18"/>
                      </w:rPr>
                      <w:t>60,0</w:t>
                    </w:r>
                  </w:p>
                </w:tc>
                <w:tc>
                  <w:tcPr>
                    <w:tcW w:w="475" w:type="pct"/>
                    <w:tcBorders>
                      <w:top w:val="nil"/>
                      <w:left w:val="nil"/>
                      <w:bottom w:val="nil"/>
                      <w:right w:val="nil"/>
                    </w:tcBorders>
                    <w:shd w:val="clear" w:color="000000" w:fill="FFFFFF"/>
                    <w:noWrap/>
                    <w:vAlign w:val="bottom"/>
                    <w:hideMark/>
                  </w:tcPr>
                  <w:p w:rsidRPr="0059190E" w:rsidR="002318A8" w:rsidRDefault="002318A8" w14:paraId="18EF0B47" w14:textId="77777777">
                    <w:pPr>
                      <w:jc w:val="right"/>
                      <w:rPr>
                        <w:rFonts w:cs="Arial"/>
                        <w:i/>
                        <w:iCs/>
                        <w:sz w:val="18"/>
                        <w:szCs w:val="18"/>
                      </w:rPr>
                    </w:pPr>
                    <w:r w:rsidRPr="0059190E">
                      <w:rPr>
                        <w:rFonts w:cs="Arial"/>
                        <w:i/>
                        <w:iCs/>
                        <w:sz w:val="18"/>
                        <w:szCs w:val="18"/>
                      </w:rPr>
                      <w:t>60,0</w:t>
                    </w:r>
                  </w:p>
                </w:tc>
                <w:tc>
                  <w:tcPr>
                    <w:tcW w:w="475" w:type="pct"/>
                    <w:tcBorders>
                      <w:top w:val="nil"/>
                      <w:left w:val="nil"/>
                      <w:bottom w:val="nil"/>
                      <w:right w:val="nil"/>
                    </w:tcBorders>
                    <w:shd w:val="clear" w:color="000000" w:fill="FFFFFF"/>
                    <w:noWrap/>
                    <w:vAlign w:val="bottom"/>
                    <w:hideMark/>
                  </w:tcPr>
                  <w:p w:rsidRPr="0059190E" w:rsidR="002318A8" w:rsidRDefault="002318A8" w14:paraId="25905F7D" w14:textId="77777777">
                    <w:pPr>
                      <w:jc w:val="right"/>
                      <w:rPr>
                        <w:rFonts w:cs="Arial"/>
                        <w:i/>
                        <w:iCs/>
                        <w:sz w:val="18"/>
                        <w:szCs w:val="18"/>
                      </w:rPr>
                    </w:pPr>
                    <w:r w:rsidRPr="0059190E">
                      <w:rPr>
                        <w:rFonts w:cs="Arial"/>
                        <w:i/>
                        <w:iCs/>
                        <w:sz w:val="18"/>
                        <w:szCs w:val="18"/>
                      </w:rPr>
                      <w:t>60,0</w:t>
                    </w:r>
                  </w:p>
                </w:tc>
                <w:tc>
                  <w:tcPr>
                    <w:tcW w:w="475" w:type="pct"/>
                    <w:tcBorders>
                      <w:top w:val="nil"/>
                      <w:left w:val="nil"/>
                      <w:bottom w:val="nil"/>
                      <w:right w:val="nil"/>
                    </w:tcBorders>
                    <w:shd w:val="clear" w:color="000000" w:fill="FFFFFF"/>
                    <w:noWrap/>
                    <w:vAlign w:val="bottom"/>
                    <w:hideMark/>
                  </w:tcPr>
                  <w:p w:rsidRPr="0059190E" w:rsidR="002318A8" w:rsidRDefault="002318A8" w14:paraId="2EABF6D5" w14:textId="77777777">
                    <w:pPr>
                      <w:jc w:val="right"/>
                      <w:rPr>
                        <w:rFonts w:cs="Arial"/>
                        <w:i/>
                        <w:iCs/>
                        <w:sz w:val="18"/>
                        <w:szCs w:val="18"/>
                      </w:rPr>
                    </w:pPr>
                    <w:r w:rsidRPr="0059190E">
                      <w:rPr>
                        <w:rFonts w:cs="Arial"/>
                        <w:i/>
                        <w:iCs/>
                        <w:sz w:val="18"/>
                        <w:szCs w:val="18"/>
                      </w:rPr>
                      <w:t>60,0</w:t>
                    </w:r>
                  </w:p>
                </w:tc>
                <w:tc>
                  <w:tcPr>
                    <w:tcW w:w="475" w:type="pct"/>
                    <w:tcBorders>
                      <w:top w:val="nil"/>
                      <w:left w:val="nil"/>
                      <w:bottom w:val="nil"/>
                      <w:right w:val="nil"/>
                    </w:tcBorders>
                    <w:shd w:val="clear" w:color="000000" w:fill="FFFFFF"/>
                    <w:noWrap/>
                    <w:vAlign w:val="bottom"/>
                    <w:hideMark/>
                  </w:tcPr>
                  <w:p w:rsidRPr="0059190E" w:rsidR="002318A8" w:rsidRDefault="002318A8" w14:paraId="16291A9B"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5034A941" w14:textId="77777777">
                <w:trPr>
                  <w:trHeight w:val="276"/>
                </w:trPr>
                <w:tc>
                  <w:tcPr>
                    <w:tcW w:w="1805" w:type="pct"/>
                    <w:tcBorders>
                      <w:top w:val="nil"/>
                      <w:left w:val="nil"/>
                      <w:bottom w:val="single" w:color="auto" w:sz="12" w:space="0"/>
                      <w:right w:val="nil"/>
                    </w:tcBorders>
                    <w:shd w:val="clear" w:color="000000" w:fill="FFFFFF"/>
                    <w:noWrap/>
                    <w:vAlign w:val="bottom"/>
                    <w:hideMark/>
                  </w:tcPr>
                  <w:p w:rsidRPr="0059190E" w:rsidR="002318A8" w:rsidRDefault="002318A8" w14:paraId="7047FA6A" w14:textId="77777777">
                    <w:pPr>
                      <w:rPr>
                        <w:rFonts w:cs="Arial"/>
                        <w:sz w:val="18"/>
                        <w:szCs w:val="18"/>
                      </w:rPr>
                    </w:pPr>
                    <w:r w:rsidRPr="0059190E">
                      <w:rPr>
                        <w:rFonts w:cs="Arial"/>
                        <w:sz w:val="18"/>
                        <w:szCs w:val="18"/>
                      </w:rPr>
                      <w:t>EMU-schuld</w:t>
                    </w:r>
                  </w:p>
                </w:tc>
                <w:tc>
                  <w:tcPr>
                    <w:tcW w:w="428" w:type="pct"/>
                    <w:tcBorders>
                      <w:top w:val="nil"/>
                      <w:left w:val="nil"/>
                      <w:bottom w:val="single" w:color="auto" w:sz="12" w:space="0"/>
                      <w:right w:val="nil"/>
                    </w:tcBorders>
                    <w:shd w:val="clear" w:color="000000" w:fill="FFFFFF"/>
                    <w:noWrap/>
                    <w:vAlign w:val="bottom"/>
                    <w:hideMark/>
                  </w:tcPr>
                  <w:p w:rsidRPr="0059190E" w:rsidR="002318A8" w:rsidRDefault="002318A8" w14:paraId="145EA461" w14:textId="77777777">
                    <w:pPr>
                      <w:jc w:val="right"/>
                      <w:rPr>
                        <w:rFonts w:cs="Arial"/>
                        <w:sz w:val="18"/>
                        <w:szCs w:val="18"/>
                      </w:rPr>
                    </w:pPr>
                    <w:r w:rsidRPr="0059190E">
                      <w:rPr>
                        <w:rFonts w:cs="Arial"/>
                        <w:sz w:val="18"/>
                        <w:szCs w:val="18"/>
                      </w:rPr>
                      <w:t>43,4</w:t>
                    </w:r>
                  </w:p>
                </w:tc>
                <w:tc>
                  <w:tcPr>
                    <w:tcW w:w="391" w:type="pct"/>
                    <w:tcBorders>
                      <w:top w:val="nil"/>
                      <w:left w:val="nil"/>
                      <w:bottom w:val="single" w:color="auto" w:sz="12" w:space="0"/>
                      <w:right w:val="nil"/>
                    </w:tcBorders>
                    <w:shd w:val="clear" w:color="000000" w:fill="FFFFFF"/>
                    <w:noWrap/>
                    <w:vAlign w:val="bottom"/>
                    <w:hideMark/>
                  </w:tcPr>
                  <w:p w:rsidRPr="0059190E" w:rsidR="002318A8" w:rsidRDefault="002318A8" w14:paraId="0DD4D80F" w14:textId="77777777">
                    <w:pPr>
                      <w:jc w:val="right"/>
                      <w:rPr>
                        <w:rFonts w:cs="Arial"/>
                        <w:sz w:val="18"/>
                        <w:szCs w:val="18"/>
                      </w:rPr>
                    </w:pPr>
                    <w:r w:rsidRPr="0059190E">
                      <w:rPr>
                        <w:rFonts w:cs="Arial"/>
                        <w:sz w:val="18"/>
                        <w:szCs w:val="18"/>
                      </w:rPr>
                      <w:t>45,0</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3971817B" w14:textId="77777777">
                    <w:pPr>
                      <w:jc w:val="right"/>
                      <w:rPr>
                        <w:rFonts w:cs="Arial"/>
                        <w:sz w:val="18"/>
                        <w:szCs w:val="18"/>
                      </w:rPr>
                    </w:pPr>
                    <w:r w:rsidRPr="0059190E">
                      <w:rPr>
                        <w:rFonts w:cs="Arial"/>
                        <w:sz w:val="18"/>
                        <w:szCs w:val="18"/>
                      </w:rPr>
                      <w:t>47,8</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528110D7" w14:textId="77777777">
                    <w:pPr>
                      <w:jc w:val="right"/>
                      <w:rPr>
                        <w:rFonts w:cs="Arial"/>
                        <w:sz w:val="18"/>
                        <w:szCs w:val="18"/>
                      </w:rPr>
                    </w:pPr>
                    <w:r w:rsidRPr="0059190E">
                      <w:rPr>
                        <w:rFonts w:cs="Arial"/>
                        <w:sz w:val="18"/>
                        <w:szCs w:val="18"/>
                      </w:rPr>
                      <w:t>48,5</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3C6FFB0C" w14:textId="77777777">
                    <w:pPr>
                      <w:jc w:val="right"/>
                      <w:rPr>
                        <w:rFonts w:cs="Arial"/>
                        <w:sz w:val="18"/>
                        <w:szCs w:val="18"/>
                      </w:rPr>
                    </w:pPr>
                    <w:r w:rsidRPr="0059190E">
                      <w:rPr>
                        <w:rFonts w:cs="Arial"/>
                        <w:sz w:val="18"/>
                        <w:szCs w:val="18"/>
                      </w:rPr>
                      <w:t>49,2</w:t>
                    </w:r>
                  </w:p>
                </w:tc>
                <w:tc>
                  <w:tcPr>
                    <w:tcW w:w="475" w:type="pct"/>
                    <w:tcBorders>
                      <w:top w:val="nil"/>
                      <w:left w:val="nil"/>
                      <w:bottom w:val="single" w:color="auto" w:sz="12" w:space="0"/>
                      <w:right w:val="nil"/>
                    </w:tcBorders>
                    <w:shd w:val="clear" w:color="000000" w:fill="FFFFFF"/>
                    <w:noWrap/>
                    <w:vAlign w:val="bottom"/>
                    <w:hideMark/>
                  </w:tcPr>
                  <w:p w:rsidRPr="0059190E" w:rsidR="002318A8" w:rsidRDefault="002318A8" w14:paraId="2EFEC743" w14:textId="77777777">
                    <w:pPr>
                      <w:jc w:val="right"/>
                      <w:rPr>
                        <w:rFonts w:cs="Arial"/>
                        <w:sz w:val="18"/>
                        <w:szCs w:val="18"/>
                      </w:rPr>
                    </w:pPr>
                    <w:r w:rsidRPr="0059190E">
                      <w:rPr>
                        <w:rFonts w:cs="Arial"/>
                        <w:sz w:val="18"/>
                        <w:szCs w:val="18"/>
                      </w:rPr>
                      <w:t>50,2</w:t>
                    </w:r>
                  </w:p>
                </w:tc>
                <w:tc>
                  <w:tcPr>
                    <w:tcW w:w="475" w:type="pct"/>
                    <w:tcBorders>
                      <w:top w:val="nil"/>
                      <w:left w:val="nil"/>
                      <w:bottom w:val="nil"/>
                      <w:right w:val="nil"/>
                    </w:tcBorders>
                    <w:shd w:val="clear" w:color="000000" w:fill="FFFFFF"/>
                    <w:noWrap/>
                    <w:vAlign w:val="bottom"/>
                    <w:hideMark/>
                  </w:tcPr>
                  <w:p w:rsidRPr="0059190E" w:rsidR="002318A8" w:rsidRDefault="002318A8" w14:paraId="7F2F2F40" w14:textId="77777777">
                    <w:pPr>
                      <w:rPr>
                        <w:rFonts w:ascii="Arial" w:hAnsi="Arial" w:cs="Arial"/>
                        <w:sz w:val="20"/>
                        <w:szCs w:val="20"/>
                      </w:rPr>
                    </w:pPr>
                    <w:r w:rsidRPr="0059190E">
                      <w:rPr>
                        <w:rFonts w:ascii="Arial" w:hAnsi="Arial" w:cs="Arial"/>
                        <w:sz w:val="20"/>
                        <w:szCs w:val="20"/>
                      </w:rPr>
                      <w:t> </w:t>
                    </w:r>
                  </w:p>
                </w:tc>
              </w:tr>
              <w:tr w:rsidRPr="0059190E" w:rsidR="002318A8" w:rsidTr="00754102" w14:paraId="60D42E02" w14:textId="77777777">
                <w:trPr>
                  <w:trHeight w:val="264"/>
                </w:trPr>
                <w:tc>
                  <w:tcPr>
                    <w:tcW w:w="3099" w:type="pct"/>
                    <w:gridSpan w:val="4"/>
                    <w:tcBorders>
                      <w:top w:val="single" w:color="auto" w:sz="12" w:space="0"/>
                      <w:left w:val="nil"/>
                      <w:bottom w:val="nil"/>
                      <w:right w:val="nil"/>
                    </w:tcBorders>
                    <w:shd w:val="clear" w:color="000000" w:fill="FFFFFF"/>
                    <w:noWrap/>
                    <w:vAlign w:val="bottom"/>
                    <w:hideMark/>
                  </w:tcPr>
                  <w:p w:rsidRPr="0059190E" w:rsidR="002318A8" w:rsidRDefault="002318A8" w14:paraId="0F4DF7F6" w14:textId="77777777">
                    <w:pPr>
                      <w:rPr>
                        <w:rFonts w:cs="Arial"/>
                        <w:i/>
                        <w:iCs/>
                        <w:sz w:val="18"/>
                        <w:szCs w:val="18"/>
                      </w:rPr>
                    </w:pPr>
                    <w:r w:rsidRPr="0059190E">
                      <w:rPr>
                        <w:rFonts w:cs="Arial"/>
                        <w:i/>
                        <w:iCs/>
                        <w:sz w:val="18"/>
                        <w:szCs w:val="18"/>
                      </w:rPr>
                      <w:t>Bron: CPB (Budgettaire Analyse Voorjaarsbesluitvorming 2025)</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3D2E4793"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337C9683" w14:textId="77777777">
                    <w:pPr>
                      <w:rPr>
                        <w:rFonts w:cs="Arial"/>
                        <w:sz w:val="18"/>
                        <w:szCs w:val="18"/>
                      </w:rPr>
                    </w:pPr>
                    <w:r w:rsidRPr="0059190E">
                      <w:rPr>
                        <w:rFonts w:cs="Arial"/>
                        <w:sz w:val="18"/>
                        <w:szCs w:val="18"/>
                      </w:rPr>
                      <w:t> </w:t>
                    </w:r>
                  </w:p>
                </w:tc>
                <w:tc>
                  <w:tcPr>
                    <w:tcW w:w="475" w:type="pct"/>
                    <w:tcBorders>
                      <w:top w:val="single" w:color="auto" w:sz="12" w:space="0"/>
                      <w:left w:val="nil"/>
                      <w:bottom w:val="nil"/>
                      <w:right w:val="nil"/>
                    </w:tcBorders>
                    <w:shd w:val="clear" w:color="000000" w:fill="FFFFFF"/>
                    <w:noWrap/>
                    <w:vAlign w:val="bottom"/>
                    <w:hideMark/>
                  </w:tcPr>
                  <w:p w:rsidRPr="0059190E" w:rsidR="002318A8" w:rsidRDefault="002318A8" w14:paraId="4DA6FDB3" w14:textId="77777777">
                    <w:pPr>
                      <w:rPr>
                        <w:rFonts w:cs="Arial"/>
                        <w:sz w:val="18"/>
                        <w:szCs w:val="18"/>
                      </w:rPr>
                    </w:pPr>
                    <w:r w:rsidRPr="0059190E">
                      <w:rPr>
                        <w:rFonts w:cs="Arial"/>
                        <w:sz w:val="18"/>
                        <w:szCs w:val="18"/>
                      </w:rPr>
                      <w:t> </w:t>
                    </w:r>
                  </w:p>
                </w:tc>
                <w:tc>
                  <w:tcPr>
                    <w:tcW w:w="475" w:type="pct"/>
                    <w:tcBorders>
                      <w:top w:val="nil"/>
                      <w:left w:val="nil"/>
                      <w:bottom w:val="nil"/>
                      <w:right w:val="nil"/>
                    </w:tcBorders>
                    <w:shd w:val="clear" w:color="000000" w:fill="FFFFFF"/>
                    <w:noWrap/>
                    <w:vAlign w:val="bottom"/>
                    <w:hideMark/>
                  </w:tcPr>
                  <w:p w:rsidRPr="0059190E" w:rsidR="002318A8" w:rsidRDefault="002318A8" w14:paraId="1A5F9B44" w14:textId="77777777">
                    <w:pPr>
                      <w:rPr>
                        <w:rFonts w:ascii="Arial" w:hAnsi="Arial" w:cs="Arial"/>
                        <w:sz w:val="20"/>
                        <w:szCs w:val="20"/>
                      </w:rPr>
                    </w:pPr>
                    <w:r w:rsidRPr="0059190E">
                      <w:rPr>
                        <w:rFonts w:ascii="Arial" w:hAnsi="Arial" w:cs="Arial"/>
                        <w:sz w:val="20"/>
                        <w:szCs w:val="20"/>
                      </w:rPr>
                      <w:t> </w:t>
                    </w:r>
                  </w:p>
                </w:tc>
              </w:tr>
            </w:tbl>
            <w:p w:rsidR="002318A8" w:rsidP="002318A8" w:rsidRDefault="002318A8" w14:paraId="46F5E64E" w14:textId="77777777">
              <w:pPr>
                <w:tabs>
                  <w:tab w:val="left" w:pos="1335"/>
                </w:tabs>
                <w:rPr>
                  <w:b/>
                  <w:bCs/>
                </w:rPr>
              </w:pPr>
            </w:p>
            <w:p w:rsidR="002318A8" w:rsidP="002318A8" w:rsidRDefault="002318A8" w14:paraId="62912789" w14:textId="77777777">
              <w:pPr>
                <w:tabs>
                  <w:tab w:val="left" w:pos="1335"/>
                </w:tabs>
              </w:pPr>
              <w:r>
                <w:t>Met een EMU-saldo van -0,9</w:t>
              </w:r>
              <w:r w:rsidRPr="001266F1">
                <w:t>% bbp in 2024</w:t>
              </w:r>
              <w:r>
                <w:t xml:space="preserve"> en -2,3% bbp in 2025 behoudt Nederland voldoende afstand tot de referentiewaarden voor het begrotingstekort en zal er op basis van deze cijfers voor het tekortcriterium geen </w:t>
              </w:r>
              <w:proofErr w:type="spellStart"/>
              <w:r>
                <w:t>buitensporigtekortprocedure</w:t>
              </w:r>
              <w:proofErr w:type="spellEnd"/>
              <w:r>
                <w:t xml:space="preserve"> voor Nederland worden geopend. Ook de overheidsschuld blijft op afstand van de referentiewaarden voor de EMU-schuld: met een EMU-schuld van 43,4% bbp in 2024 en 45,0% bbp in 2025 zal er geen </w:t>
              </w:r>
              <w:proofErr w:type="spellStart"/>
              <w:r>
                <w:t>buitensporigtekortprocedure</w:t>
              </w:r>
              <w:proofErr w:type="spellEnd"/>
              <w:r>
                <w:t xml:space="preserve"> voor Nederland worden geopend op basis van het schuldcriterium. Nederland voldoet daarmee voor de jaren 2024 en 2025 aan de vereisten van de correctieve arm. </w:t>
              </w:r>
            </w:p>
            <w:p w:rsidR="002318A8" w:rsidP="002318A8" w:rsidRDefault="002318A8" w14:paraId="75A68D81" w14:textId="77777777">
              <w:pPr>
                <w:tabs>
                  <w:tab w:val="left" w:pos="1335"/>
                </w:tabs>
              </w:pPr>
            </w:p>
            <w:p w:rsidR="002318A8" w:rsidP="002318A8" w:rsidRDefault="002318A8" w14:paraId="118F8CCC" w14:textId="77777777">
              <w:pPr>
                <w:tabs>
                  <w:tab w:val="left" w:pos="1335"/>
                </w:tabs>
              </w:pPr>
              <w:r>
                <w:t>Op basis van de doorrekening van het CPB van de voorjaarbesluitvorming blijkt wel dat het begrotingstekort in 2026 oploopt tot -2,8% bbp.</w:t>
              </w:r>
              <w:r>
                <w:rPr>
                  <w:rStyle w:val="Voetnootmarkering"/>
                </w:rPr>
                <w:footnoteReference w:id="46"/>
              </w:r>
              <w:r>
                <w:t xml:space="preserve"> Hoewel Nederland daarmee de grenswaarde niet overschrijdt, beweegt het wel toe naar de budgettaire grenzen zoals deze zijn toegestaan onder het SGP. In alle </w:t>
              </w:r>
              <w:r>
                <w:lastRenderedPageBreak/>
                <w:t xml:space="preserve">ramingsjaren houdt Nederland wel ruim voldoende afstand tot het schuldcriterium. </w:t>
              </w:r>
            </w:p>
            <w:p w:rsidRPr="00F02CEA" w:rsidR="002318A8" w:rsidP="002318A8" w:rsidRDefault="002318A8" w14:paraId="4B191632" w14:textId="77777777">
              <w:pPr>
                <w:tabs>
                  <w:tab w:val="left" w:pos="1335"/>
                </w:tabs>
                <w:rPr>
                  <w:i/>
                  <w:iCs/>
                </w:rPr>
              </w:pPr>
            </w:p>
            <w:p w:rsidR="002318A8" w:rsidP="002318A8" w:rsidRDefault="002318A8" w14:paraId="1C755CD3" w14:textId="77777777">
              <w:pPr>
                <w:tabs>
                  <w:tab w:val="left" w:pos="1335"/>
                </w:tabs>
              </w:pPr>
              <w:r w:rsidRPr="00427965">
                <w:t xml:space="preserve">De Commissie onderzoekt in de </w:t>
              </w:r>
              <w:r>
                <w:t xml:space="preserve">loop van </w:t>
              </w:r>
              <w:r w:rsidRPr="00427965">
                <w:t>2025 opnieuw of er in het voorgaande jaar (ex-post) op basis van de begrotingsrealisaties is voldaan aan de referentiewaarden, of dat er in dat jaar (in-</w:t>
              </w:r>
              <w:proofErr w:type="spellStart"/>
              <w:r w:rsidRPr="00427965">
                <w:t>year</w:t>
              </w:r>
              <w:proofErr w:type="spellEnd"/>
              <w:r w:rsidRPr="00427965">
                <w:t xml:space="preserve">) sprake is van een geplande overschrijding van de referentiewaarden. Op basis van dat onderzoek zal de Commissie weer een aanbeveling aan de Raad doen over het openen van een buitensporig tekort, of het opleggen van een corrigerend </w:t>
              </w:r>
              <w:proofErr w:type="spellStart"/>
              <w:r w:rsidRPr="00427965">
                <w:t>uitgavenpad</w:t>
              </w:r>
              <w:proofErr w:type="spellEnd"/>
              <w:r w:rsidRPr="00427965">
                <w:t xml:space="preserve">. </w:t>
              </w:r>
            </w:p>
            <w:p w:rsidR="002318A8" w:rsidP="002318A8" w:rsidRDefault="002318A8" w14:paraId="5D76CA44" w14:textId="77777777">
              <w:pPr>
                <w:tabs>
                  <w:tab w:val="left" w:pos="1335"/>
                </w:tabs>
              </w:pPr>
            </w:p>
            <w:p w:rsidR="002318A8" w:rsidP="002318A8" w:rsidRDefault="002318A8" w14:paraId="313A74B6" w14:textId="77777777">
              <w:pPr>
                <w:tabs>
                  <w:tab w:val="left" w:pos="1335"/>
                </w:tabs>
              </w:pPr>
              <w:r>
                <w:t xml:space="preserve">Vanaf het voorjaar van 2026 beoordelen de Commissie en de Raad op aanbeveling van de Commissie voor eerst of de afwijkingen van het </w:t>
              </w:r>
              <w:proofErr w:type="spellStart"/>
              <w:r>
                <w:t>uitgavenpad</w:t>
              </w:r>
              <w:proofErr w:type="spellEnd"/>
              <w:r>
                <w:t xml:space="preserve"> de jaarlijkse drempelwaarde van 0,3% bbp en cumulatieve drempelwaarde van 0,6% bbp overschrijden bij lidstaten met een schuld boven de 60% bbp. Wanneer dat het geval is, of wanneer het tekort de referentiewaarde van 3% bbp overschrijdt, dan kan de Commissie volgens artikel 126(3) VWEU een onderzoek starten of er sprake is van een buitensporig tekort. </w:t>
              </w:r>
            </w:p>
            <w:p w:rsidR="002318A8" w:rsidP="002318A8" w:rsidRDefault="002318A8" w14:paraId="2A9C3413" w14:textId="77777777">
              <w:pPr>
                <w:tabs>
                  <w:tab w:val="left" w:pos="1335"/>
                </w:tabs>
                <w:rPr>
                  <w:b/>
                  <w:bCs/>
                </w:rPr>
              </w:pPr>
            </w:p>
            <w:p w:rsidRPr="008C0EA6" w:rsidR="002318A8" w:rsidP="002318A8" w:rsidRDefault="002318A8" w14:paraId="45867B18" w14:textId="77777777">
              <w:pPr>
                <w:tabs>
                  <w:tab w:val="left" w:pos="1335"/>
                </w:tabs>
                <w:rPr>
                  <w:u w:val="single"/>
                </w:rPr>
              </w:pPr>
              <w:r w:rsidRPr="008C0EA6">
                <w:rPr>
                  <w:u w:val="single"/>
                </w:rPr>
                <w:t>Toets</w:t>
              </w:r>
              <w:r>
                <w:rPr>
                  <w:u w:val="single"/>
                </w:rPr>
                <w:t xml:space="preserve">ing aan de norm uit de preventieve arm </w:t>
              </w:r>
            </w:p>
            <w:p w:rsidR="002318A8" w:rsidP="002318A8" w:rsidRDefault="002318A8" w14:paraId="532D186A" w14:textId="77777777">
              <w:pPr>
                <w:rPr>
                  <w:b/>
                  <w:bCs/>
                </w:rPr>
              </w:pPr>
            </w:p>
            <w:p w:rsidR="002318A8" w:rsidP="002318A8" w:rsidRDefault="002318A8" w14:paraId="040E8C67" w14:textId="77777777">
              <w:r w:rsidRPr="00F02CEA">
                <w:t>Het doel van de preventieve arm, in zowel het oude als nieuwe raamwerk, is om te voorkomen dat lidstaten worden geconfronteerd met te hoge tekorten. Om dit te bewerkstelligen zit in de nieuwe sturingsvariabele van het raamwerk (</w:t>
              </w:r>
              <w:proofErr w:type="spellStart"/>
              <w:r w:rsidRPr="00F02CEA">
                <w:t>uitgavenpad</w:t>
              </w:r>
              <w:proofErr w:type="spellEnd"/>
              <w:r w:rsidRPr="00F02CEA">
                <w:t>) een buffer ten opzichte van de normen voor het maximale begrotingstekort (3% bbp) en maximale overheidsschuld (60% bbp) ingebouwd, zodat lidstaten stabiliserend begrotingsbeleid kunnen voeren.</w:t>
              </w:r>
              <w:r>
                <w:rPr>
                  <w:rStyle w:val="Voetnootmarkering"/>
                </w:rPr>
                <w:footnoteReference w:id="47"/>
              </w:r>
              <w:r w:rsidRPr="00F02CEA">
                <w:t xml:space="preserve"> Sturing op het </w:t>
              </w:r>
              <w:proofErr w:type="spellStart"/>
              <w:r w:rsidRPr="00F02CEA">
                <w:t>uitgavenpad</w:t>
              </w:r>
              <w:proofErr w:type="spellEnd"/>
              <w:r w:rsidRPr="00F02CEA">
                <w:t xml:space="preserve"> dient ervoor te zorgen dat de geraamde schuld en tekort op de middellange termijn onder deze referentiewaarden blijven, op basis van verschillende scenario’s, zodat houdbare overheidsfinanciën worden geborgd. </w:t>
              </w:r>
              <w:r w:rsidRPr="00B67145">
                <w:t xml:space="preserve">Omdat het kabinet heeft gekozen voor een tijdshorizon van vier jaar voor het </w:t>
              </w:r>
              <w:proofErr w:type="spellStart"/>
              <w:r>
                <w:t>uitgavenpad</w:t>
              </w:r>
              <w:proofErr w:type="spellEnd"/>
              <w:r>
                <w:t xml:space="preserve"> </w:t>
              </w:r>
              <w:r w:rsidRPr="00B67145">
                <w:t>wordt met de middellange termijn een periode van tien jaar na d</w:t>
              </w:r>
              <w:r>
                <w:t xml:space="preserve">ie </w:t>
              </w:r>
              <w:r w:rsidRPr="00B67145">
                <w:t>periode bedoeld</w:t>
              </w:r>
              <w:r>
                <w:t xml:space="preserve">. </w:t>
              </w:r>
            </w:p>
            <w:p w:rsidR="002318A8" w:rsidP="002318A8" w:rsidRDefault="002318A8" w14:paraId="3D2D027E" w14:textId="77777777"/>
            <w:p w:rsidR="002318A8" w:rsidP="002318A8" w:rsidRDefault="002318A8" w14:paraId="02C562A9" w14:textId="77777777">
              <w:r w:rsidRPr="00B67145">
                <w:t>Het doel van de toetsing</w:t>
              </w:r>
              <w:r>
                <w:t xml:space="preserve"> in deze Voorjaarsrapportage</w:t>
              </w:r>
              <w:r w:rsidRPr="00B67145">
                <w:t xml:space="preserve"> is om te beoordelen </w:t>
              </w:r>
              <w:r>
                <w:t>hoe</w:t>
              </w:r>
              <w:r w:rsidRPr="00B67145">
                <w:t xml:space="preserve"> </w:t>
              </w:r>
              <w:r>
                <w:t xml:space="preserve">de ontwikkeling van het </w:t>
              </w:r>
              <w:proofErr w:type="spellStart"/>
              <w:r>
                <w:t>uitgavenpad</w:t>
              </w:r>
              <w:proofErr w:type="spellEnd"/>
              <w:r>
                <w:t xml:space="preserve"> (de netto-primaire gefinancierde uitgaven van de overheid) zich verhoudt tot de genormeerde maximale jaarlijkse groei van de netto-primaire uitgaven. De genormeerde maximale jaarlijkse groei van de uitgaven is zodanig berekend dat het ervoor zorgt dat </w:t>
              </w:r>
              <w:r w:rsidRPr="00B67145">
                <w:t xml:space="preserve">de overheidsschuld uiterlijk aan het einde van de aanpassingsperiode op een plausibel neerwaarts pad zit of </w:t>
              </w:r>
              <w:r w:rsidRPr="00B67145">
                <w:lastRenderedPageBreak/>
                <w:t xml:space="preserve">op de middellange termijn op een prudent niveau onder de 60% bbp blijft en het begrotingstekort op de middellange termijn onder de 3% bbp wordt gebracht of blijft. </w:t>
              </w:r>
            </w:p>
            <w:p w:rsidR="002318A8" w:rsidP="002318A8" w:rsidRDefault="002318A8" w14:paraId="69669A6D" w14:textId="77777777"/>
            <w:p w:rsidR="002318A8" w:rsidP="002318A8" w:rsidRDefault="002318A8" w14:paraId="203F27CF" w14:textId="77777777">
              <w:r>
                <w:t xml:space="preserve">De Raad heeft een maximum voor de uitgavengroei voor Nederland voor de periode van 2025 – 2028 aanbevolen. Volgens het aanbevolen </w:t>
              </w:r>
              <w:proofErr w:type="spellStart"/>
              <w:r>
                <w:t>uitgavenpad</w:t>
              </w:r>
              <w:proofErr w:type="spellEnd"/>
              <w:r>
                <w:t xml:space="preserve"> kan Nederland, om te voldoen aan de eisen van het Stabiliteit- en Groeipact, de netto primaire uitgaven jaarlijks met gemiddeld 3,2% laten groeien in de periode 2025 – 2028. De specifieke maximale uitgavengroei per jaar staat toegelicht in tabel 6. </w:t>
              </w:r>
            </w:p>
            <w:p w:rsidR="002318A8" w:rsidP="002318A8" w:rsidRDefault="002318A8" w14:paraId="31E7035F" w14:textId="77777777"/>
            <w:p w:rsidR="002318A8" w:rsidP="002318A8" w:rsidRDefault="002318A8" w14:paraId="06791ED2" w14:textId="77777777">
              <w:r>
                <w:t xml:space="preserve">De cijfers uit de Voortgangsrapportage laten zien dat de netto primaire uitgaven met gemiddeld 4,9% groeien over de jaren 2025 tot en met 2028. De cijfers uit de Voortgangsrapportage zijn gebaseerd op de doorrekening van de Voorjaarsnota van het CPB. De budgettaire effecten van de voorjaarsbesluitvorming zoals gepresenteerd in de Voorjaarsnota 2025 zijn dan ook in de cijfers van de Voortgangsrapportage verwerkt. </w:t>
              </w:r>
            </w:p>
            <w:p w:rsidR="002318A8" w:rsidP="002318A8" w:rsidRDefault="002318A8" w14:paraId="6FA00074" w14:textId="77777777"/>
            <w:tbl>
              <w:tblPr>
                <w:tblW w:w="5000" w:type="pct"/>
                <w:tblCellMar>
                  <w:left w:w="70" w:type="dxa"/>
                  <w:right w:w="70" w:type="dxa"/>
                </w:tblCellMar>
                <w:tblLook w:val="04A0" w:firstRow="1" w:lastRow="0" w:firstColumn="1" w:lastColumn="0" w:noHBand="0" w:noVBand="1"/>
              </w:tblPr>
              <w:tblGrid>
                <w:gridCol w:w="4605"/>
                <w:gridCol w:w="127"/>
                <w:gridCol w:w="485"/>
                <w:gridCol w:w="245"/>
                <w:gridCol w:w="802"/>
                <w:gridCol w:w="747"/>
                <w:gridCol w:w="747"/>
                <w:gridCol w:w="745"/>
              </w:tblGrid>
              <w:tr w:rsidRPr="00BE3AE7" w:rsidR="002318A8" w:rsidTr="00754102" w14:paraId="2914C20C" w14:textId="77777777">
                <w:trPr>
                  <w:trHeight w:val="276"/>
                </w:trPr>
                <w:tc>
                  <w:tcPr>
                    <w:tcW w:w="2710" w:type="pct"/>
                    <w:tcBorders>
                      <w:top w:val="nil"/>
                      <w:left w:val="nil"/>
                      <w:bottom w:val="single" w:color="auto" w:sz="12" w:space="0"/>
                      <w:right w:val="nil"/>
                    </w:tcBorders>
                    <w:shd w:val="clear" w:color="000000" w:fill="FFFFFF"/>
                    <w:noWrap/>
                    <w:vAlign w:val="bottom"/>
                    <w:hideMark/>
                  </w:tcPr>
                  <w:p w:rsidRPr="00BE3AE7" w:rsidR="002318A8" w:rsidRDefault="002318A8" w14:paraId="683E5BBF" w14:textId="77777777">
                    <w:pPr>
                      <w:rPr>
                        <w:rFonts w:cs="Arial"/>
                        <w:b/>
                        <w:bCs/>
                        <w:sz w:val="18"/>
                        <w:szCs w:val="18"/>
                      </w:rPr>
                    </w:pPr>
                    <w:r w:rsidRPr="00BE3AE7">
                      <w:rPr>
                        <w:rFonts w:cs="Arial"/>
                        <w:b/>
                        <w:bCs/>
                        <w:sz w:val="18"/>
                        <w:szCs w:val="18"/>
                      </w:rPr>
                      <w:t>Tabel 6: Gegevens voor de preventieve arm 202</w:t>
                    </w:r>
                    <w:r>
                      <w:rPr>
                        <w:rFonts w:cs="Arial"/>
                        <w:b/>
                        <w:bCs/>
                        <w:sz w:val="18"/>
                        <w:szCs w:val="18"/>
                      </w:rPr>
                      <w:t>5</w:t>
                    </w:r>
                    <w:r w:rsidRPr="00BE3AE7">
                      <w:rPr>
                        <w:rFonts w:cs="Arial"/>
                        <w:b/>
                        <w:bCs/>
                        <w:sz w:val="18"/>
                        <w:szCs w:val="18"/>
                      </w:rPr>
                      <w:t xml:space="preserve"> - 2028 </w:t>
                    </w:r>
                  </w:p>
                </w:tc>
                <w:tc>
                  <w:tcPr>
                    <w:tcW w:w="458" w:type="pct"/>
                    <w:gridSpan w:val="3"/>
                    <w:tcBorders>
                      <w:top w:val="nil"/>
                      <w:left w:val="nil"/>
                      <w:bottom w:val="single" w:color="auto" w:sz="12" w:space="0"/>
                      <w:right w:val="nil"/>
                    </w:tcBorders>
                    <w:shd w:val="clear" w:color="000000" w:fill="FFFFFF"/>
                    <w:noWrap/>
                    <w:vAlign w:val="bottom"/>
                    <w:hideMark/>
                  </w:tcPr>
                  <w:p w:rsidRPr="00BE3AE7" w:rsidR="002318A8" w:rsidRDefault="002318A8" w14:paraId="3B52A719" w14:textId="77777777">
                    <w:pPr>
                      <w:rPr>
                        <w:rFonts w:cs="Arial"/>
                        <w:sz w:val="18"/>
                        <w:szCs w:val="18"/>
                      </w:rPr>
                    </w:pPr>
                    <w:r w:rsidRPr="00BE3AE7">
                      <w:rPr>
                        <w:rFonts w:cs="Arial"/>
                        <w:sz w:val="18"/>
                        <w:szCs w:val="18"/>
                      </w:rPr>
                      <w:t> </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6CE13575" w14:textId="77777777">
                    <w:pPr>
                      <w:rPr>
                        <w:rFonts w:cs="Arial"/>
                        <w:sz w:val="18"/>
                        <w:szCs w:val="18"/>
                      </w:rPr>
                    </w:pPr>
                    <w:r w:rsidRPr="00BE3AE7">
                      <w:rPr>
                        <w:rFonts w:cs="Arial"/>
                        <w:sz w:val="18"/>
                        <w:szCs w:val="18"/>
                      </w:rPr>
                      <w:t> </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16CCBF5E" w14:textId="77777777">
                    <w:pPr>
                      <w:rPr>
                        <w:rFonts w:cs="Arial"/>
                        <w:sz w:val="18"/>
                        <w:szCs w:val="18"/>
                      </w:rPr>
                    </w:pPr>
                    <w:r w:rsidRPr="00BE3AE7">
                      <w:rPr>
                        <w:rFonts w:cs="Arial"/>
                        <w:sz w:val="18"/>
                        <w:szCs w:val="18"/>
                      </w:rPr>
                      <w:t> </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47D64859" w14:textId="77777777">
                    <w:pPr>
                      <w:rPr>
                        <w:rFonts w:cs="Arial"/>
                        <w:sz w:val="18"/>
                        <w:szCs w:val="18"/>
                      </w:rPr>
                    </w:pPr>
                    <w:r w:rsidRPr="00BE3AE7">
                      <w:rPr>
                        <w:rFonts w:cs="Arial"/>
                        <w:sz w:val="18"/>
                        <w:szCs w:val="18"/>
                      </w:rPr>
                      <w:t> </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02A257F3" w14:textId="77777777">
                    <w:pPr>
                      <w:rPr>
                        <w:rFonts w:cs="Arial"/>
                        <w:sz w:val="18"/>
                        <w:szCs w:val="18"/>
                      </w:rPr>
                    </w:pPr>
                    <w:r w:rsidRPr="00BE3AE7">
                      <w:rPr>
                        <w:rFonts w:cs="Arial"/>
                        <w:sz w:val="18"/>
                        <w:szCs w:val="18"/>
                      </w:rPr>
                      <w:t> </w:t>
                    </w:r>
                  </w:p>
                </w:tc>
              </w:tr>
              <w:tr w:rsidRPr="00BE3AE7" w:rsidR="002318A8" w:rsidTr="00754102" w14:paraId="1560E2FC" w14:textId="77777777">
                <w:trPr>
                  <w:trHeight w:val="276"/>
                </w:trPr>
                <w:tc>
                  <w:tcPr>
                    <w:tcW w:w="2768" w:type="pct"/>
                    <w:gridSpan w:val="2"/>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1C6505C1" w14:textId="77777777">
                    <w:pPr>
                      <w:rPr>
                        <w:rFonts w:cs="Arial"/>
                        <w:b/>
                        <w:bCs/>
                        <w:sz w:val="18"/>
                        <w:szCs w:val="18"/>
                      </w:rPr>
                    </w:pPr>
                    <w:r w:rsidRPr="00BE3AE7">
                      <w:rPr>
                        <w:rFonts w:cs="Arial"/>
                        <w:b/>
                        <w:bCs/>
                        <w:sz w:val="18"/>
                        <w:szCs w:val="18"/>
                      </w:rPr>
                      <w:t> </w:t>
                    </w:r>
                  </w:p>
                </w:tc>
                <w:tc>
                  <w:tcPr>
                    <w:tcW w:w="271" w:type="pct"/>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6A9A7ADA" w14:textId="77777777">
                    <w:pPr>
                      <w:jc w:val="right"/>
                      <w:rPr>
                        <w:rFonts w:cs="Arial"/>
                        <w:b/>
                        <w:bCs/>
                        <w:sz w:val="18"/>
                        <w:szCs w:val="18"/>
                      </w:rPr>
                    </w:pPr>
                  </w:p>
                </w:tc>
                <w:tc>
                  <w:tcPr>
                    <w:tcW w:w="588" w:type="pct"/>
                    <w:gridSpan w:val="2"/>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4367F0CF" w14:textId="77777777">
                    <w:pPr>
                      <w:jc w:val="right"/>
                      <w:rPr>
                        <w:rFonts w:cs="Arial"/>
                        <w:b/>
                        <w:bCs/>
                        <w:sz w:val="18"/>
                        <w:szCs w:val="18"/>
                      </w:rPr>
                    </w:pPr>
                    <w:r w:rsidRPr="00BE3AE7">
                      <w:rPr>
                        <w:rFonts w:cs="Arial"/>
                        <w:b/>
                        <w:bCs/>
                        <w:sz w:val="18"/>
                        <w:szCs w:val="18"/>
                      </w:rPr>
                      <w:t>2025</w:t>
                    </w:r>
                  </w:p>
                </w:tc>
                <w:tc>
                  <w:tcPr>
                    <w:tcW w:w="458" w:type="pct"/>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058E1975" w14:textId="77777777">
                    <w:pPr>
                      <w:jc w:val="right"/>
                      <w:rPr>
                        <w:rFonts w:cs="Arial"/>
                        <w:b/>
                        <w:bCs/>
                        <w:sz w:val="18"/>
                        <w:szCs w:val="18"/>
                      </w:rPr>
                    </w:pPr>
                    <w:r w:rsidRPr="00BE3AE7">
                      <w:rPr>
                        <w:rFonts w:cs="Arial"/>
                        <w:b/>
                        <w:bCs/>
                        <w:sz w:val="18"/>
                        <w:szCs w:val="18"/>
                      </w:rPr>
                      <w:t>2026</w:t>
                    </w:r>
                  </w:p>
                </w:tc>
                <w:tc>
                  <w:tcPr>
                    <w:tcW w:w="458" w:type="pct"/>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37735254" w14:textId="77777777">
                    <w:pPr>
                      <w:jc w:val="right"/>
                      <w:rPr>
                        <w:rFonts w:cs="Arial"/>
                        <w:b/>
                        <w:bCs/>
                        <w:sz w:val="18"/>
                        <w:szCs w:val="18"/>
                      </w:rPr>
                    </w:pPr>
                    <w:r w:rsidRPr="00BE3AE7">
                      <w:rPr>
                        <w:rFonts w:cs="Arial"/>
                        <w:b/>
                        <w:bCs/>
                        <w:sz w:val="18"/>
                        <w:szCs w:val="18"/>
                      </w:rPr>
                      <w:t>2027</w:t>
                    </w:r>
                  </w:p>
                </w:tc>
                <w:tc>
                  <w:tcPr>
                    <w:tcW w:w="458" w:type="pct"/>
                    <w:tcBorders>
                      <w:top w:val="single" w:color="auto" w:sz="12" w:space="0"/>
                      <w:left w:val="nil"/>
                      <w:bottom w:val="single" w:color="auto" w:sz="12" w:space="0"/>
                      <w:right w:val="nil"/>
                    </w:tcBorders>
                    <w:shd w:val="clear" w:color="000000" w:fill="FFFFFF"/>
                    <w:noWrap/>
                    <w:vAlign w:val="bottom"/>
                    <w:hideMark/>
                  </w:tcPr>
                  <w:p w:rsidRPr="00BE3AE7" w:rsidR="002318A8" w:rsidRDefault="002318A8" w14:paraId="5E2A3C87" w14:textId="77777777">
                    <w:pPr>
                      <w:jc w:val="right"/>
                      <w:rPr>
                        <w:rFonts w:cs="Arial"/>
                        <w:b/>
                        <w:bCs/>
                        <w:sz w:val="18"/>
                        <w:szCs w:val="18"/>
                      </w:rPr>
                    </w:pPr>
                    <w:r w:rsidRPr="00BE3AE7">
                      <w:rPr>
                        <w:rFonts w:cs="Arial"/>
                        <w:b/>
                        <w:bCs/>
                        <w:sz w:val="18"/>
                        <w:szCs w:val="18"/>
                      </w:rPr>
                      <w:t>2028</w:t>
                    </w:r>
                  </w:p>
                </w:tc>
              </w:tr>
              <w:tr w:rsidRPr="00BE3AE7" w:rsidR="002318A8" w:rsidTr="00754102" w14:paraId="58FF47DE" w14:textId="77777777">
                <w:trPr>
                  <w:trHeight w:val="264"/>
                </w:trPr>
                <w:tc>
                  <w:tcPr>
                    <w:tcW w:w="2768" w:type="pct"/>
                    <w:gridSpan w:val="2"/>
                    <w:tcBorders>
                      <w:top w:val="single" w:color="auto" w:sz="12" w:space="0"/>
                      <w:left w:val="nil"/>
                      <w:bottom w:val="nil"/>
                      <w:right w:val="nil"/>
                    </w:tcBorders>
                    <w:shd w:val="clear" w:color="000000" w:fill="FFFFFF"/>
                    <w:noWrap/>
                    <w:vAlign w:val="bottom"/>
                    <w:hideMark/>
                  </w:tcPr>
                  <w:p w:rsidRPr="00BE3AE7" w:rsidR="002318A8" w:rsidRDefault="002318A8" w14:paraId="40F08C27" w14:textId="77777777">
                    <w:pPr>
                      <w:rPr>
                        <w:rFonts w:cs="Arial"/>
                        <w:b/>
                        <w:bCs/>
                        <w:sz w:val="18"/>
                        <w:szCs w:val="18"/>
                      </w:rPr>
                    </w:pPr>
                    <w:r w:rsidRPr="00BE3AE7">
                      <w:rPr>
                        <w:rFonts w:cs="Arial"/>
                        <w:b/>
                        <w:bCs/>
                        <w:sz w:val="18"/>
                        <w:szCs w:val="18"/>
                      </w:rPr>
                      <w:t> </w:t>
                    </w:r>
                  </w:p>
                </w:tc>
                <w:tc>
                  <w:tcPr>
                    <w:tcW w:w="271" w:type="pct"/>
                    <w:tcBorders>
                      <w:top w:val="single" w:color="auto" w:sz="12" w:space="0"/>
                      <w:left w:val="nil"/>
                      <w:bottom w:val="nil"/>
                      <w:right w:val="nil"/>
                    </w:tcBorders>
                    <w:shd w:val="clear" w:color="000000" w:fill="FFFFFF"/>
                    <w:noWrap/>
                    <w:vAlign w:val="bottom"/>
                    <w:hideMark/>
                  </w:tcPr>
                  <w:p w:rsidRPr="00BE3AE7" w:rsidR="002318A8" w:rsidRDefault="002318A8" w14:paraId="673D8D41" w14:textId="77777777">
                    <w:pPr>
                      <w:rPr>
                        <w:rFonts w:cs="Arial"/>
                        <w:b/>
                        <w:bCs/>
                        <w:sz w:val="18"/>
                        <w:szCs w:val="18"/>
                      </w:rPr>
                    </w:pPr>
                    <w:r w:rsidRPr="00BE3AE7">
                      <w:rPr>
                        <w:rFonts w:cs="Arial"/>
                        <w:b/>
                        <w:bCs/>
                        <w:sz w:val="18"/>
                        <w:szCs w:val="18"/>
                      </w:rPr>
                      <w:t> </w:t>
                    </w:r>
                  </w:p>
                </w:tc>
                <w:tc>
                  <w:tcPr>
                    <w:tcW w:w="588" w:type="pct"/>
                    <w:gridSpan w:val="2"/>
                    <w:tcBorders>
                      <w:top w:val="single" w:color="auto" w:sz="12" w:space="0"/>
                      <w:left w:val="nil"/>
                      <w:bottom w:val="nil"/>
                      <w:right w:val="nil"/>
                    </w:tcBorders>
                    <w:shd w:val="clear" w:color="000000" w:fill="FFFFFF"/>
                    <w:noWrap/>
                    <w:vAlign w:val="bottom"/>
                    <w:hideMark/>
                  </w:tcPr>
                  <w:p w:rsidRPr="00BE3AE7" w:rsidR="002318A8" w:rsidRDefault="002318A8" w14:paraId="3F60F5B1" w14:textId="77777777">
                    <w:pPr>
                      <w:rPr>
                        <w:rFonts w:cs="Arial"/>
                        <w:b/>
                        <w:bCs/>
                        <w:sz w:val="18"/>
                        <w:szCs w:val="18"/>
                      </w:rPr>
                    </w:pPr>
                    <w:r w:rsidRPr="00BE3AE7">
                      <w:rPr>
                        <w:rFonts w:cs="Arial"/>
                        <w:b/>
                        <w:bCs/>
                        <w:sz w:val="18"/>
                        <w:szCs w:val="18"/>
                      </w:rPr>
                      <w:t> </w:t>
                    </w:r>
                  </w:p>
                </w:tc>
                <w:tc>
                  <w:tcPr>
                    <w:tcW w:w="458" w:type="pct"/>
                    <w:tcBorders>
                      <w:top w:val="single" w:color="auto" w:sz="12" w:space="0"/>
                      <w:left w:val="nil"/>
                      <w:bottom w:val="nil"/>
                      <w:right w:val="nil"/>
                    </w:tcBorders>
                    <w:shd w:val="clear" w:color="000000" w:fill="FFFFFF"/>
                    <w:noWrap/>
                    <w:vAlign w:val="bottom"/>
                    <w:hideMark/>
                  </w:tcPr>
                  <w:p w:rsidRPr="00BE3AE7" w:rsidR="002318A8" w:rsidRDefault="002318A8" w14:paraId="05BE638B" w14:textId="77777777">
                    <w:pPr>
                      <w:rPr>
                        <w:rFonts w:cs="Arial"/>
                        <w:b/>
                        <w:bCs/>
                        <w:sz w:val="18"/>
                        <w:szCs w:val="18"/>
                      </w:rPr>
                    </w:pPr>
                    <w:r w:rsidRPr="00BE3AE7">
                      <w:rPr>
                        <w:rFonts w:cs="Arial"/>
                        <w:b/>
                        <w:bCs/>
                        <w:sz w:val="18"/>
                        <w:szCs w:val="18"/>
                      </w:rPr>
                      <w:t> </w:t>
                    </w:r>
                  </w:p>
                </w:tc>
                <w:tc>
                  <w:tcPr>
                    <w:tcW w:w="458" w:type="pct"/>
                    <w:tcBorders>
                      <w:top w:val="single" w:color="auto" w:sz="12" w:space="0"/>
                      <w:left w:val="nil"/>
                      <w:bottom w:val="nil"/>
                      <w:right w:val="nil"/>
                    </w:tcBorders>
                    <w:shd w:val="clear" w:color="000000" w:fill="FFFFFF"/>
                    <w:noWrap/>
                    <w:vAlign w:val="bottom"/>
                    <w:hideMark/>
                  </w:tcPr>
                  <w:p w:rsidRPr="00BE3AE7" w:rsidR="002318A8" w:rsidRDefault="002318A8" w14:paraId="73FD6F9C" w14:textId="77777777">
                    <w:pPr>
                      <w:rPr>
                        <w:rFonts w:cs="Arial"/>
                        <w:b/>
                        <w:bCs/>
                        <w:sz w:val="18"/>
                        <w:szCs w:val="18"/>
                      </w:rPr>
                    </w:pPr>
                    <w:r w:rsidRPr="00BE3AE7">
                      <w:rPr>
                        <w:rFonts w:cs="Arial"/>
                        <w:b/>
                        <w:bCs/>
                        <w:sz w:val="18"/>
                        <w:szCs w:val="18"/>
                      </w:rPr>
                      <w:t> </w:t>
                    </w:r>
                  </w:p>
                </w:tc>
                <w:tc>
                  <w:tcPr>
                    <w:tcW w:w="458" w:type="pct"/>
                    <w:tcBorders>
                      <w:top w:val="single" w:color="auto" w:sz="12" w:space="0"/>
                      <w:left w:val="nil"/>
                      <w:bottom w:val="nil"/>
                      <w:right w:val="nil"/>
                    </w:tcBorders>
                    <w:shd w:val="clear" w:color="000000" w:fill="FFFFFF"/>
                    <w:noWrap/>
                    <w:vAlign w:val="bottom"/>
                    <w:hideMark/>
                  </w:tcPr>
                  <w:p w:rsidRPr="00BE3AE7" w:rsidR="002318A8" w:rsidRDefault="002318A8" w14:paraId="5CAFA2A4" w14:textId="77777777">
                    <w:pPr>
                      <w:rPr>
                        <w:rFonts w:cs="Arial"/>
                        <w:b/>
                        <w:bCs/>
                        <w:sz w:val="18"/>
                        <w:szCs w:val="18"/>
                      </w:rPr>
                    </w:pPr>
                    <w:r w:rsidRPr="00BE3AE7">
                      <w:rPr>
                        <w:rFonts w:cs="Arial"/>
                        <w:b/>
                        <w:bCs/>
                        <w:sz w:val="18"/>
                        <w:szCs w:val="18"/>
                      </w:rPr>
                      <w:t> </w:t>
                    </w:r>
                  </w:p>
                </w:tc>
              </w:tr>
              <w:tr w:rsidRPr="00BE3AE7" w:rsidR="002318A8" w:rsidTr="00754102" w14:paraId="770F859C"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5474E4C4" w14:textId="77777777">
                    <w:pPr>
                      <w:rPr>
                        <w:rFonts w:cs="Arial"/>
                        <w:b/>
                        <w:bCs/>
                        <w:sz w:val="18"/>
                        <w:szCs w:val="18"/>
                      </w:rPr>
                    </w:pPr>
                    <w:proofErr w:type="spellStart"/>
                    <w:r w:rsidRPr="00BE3AE7">
                      <w:rPr>
                        <w:rFonts w:cs="Arial"/>
                        <w:b/>
                        <w:bCs/>
                        <w:sz w:val="18"/>
                        <w:szCs w:val="18"/>
                      </w:rPr>
                      <w:t>Uitgavenpad</w:t>
                    </w:r>
                    <w:proofErr w:type="spellEnd"/>
                    <w:r w:rsidRPr="00BE3AE7">
                      <w:rPr>
                        <w:rFonts w:cs="Arial"/>
                        <w:b/>
                        <w:bCs/>
                        <w:sz w:val="18"/>
                        <w:szCs w:val="18"/>
                      </w:rPr>
                      <w:t xml:space="preserve"> </w:t>
                    </w:r>
                  </w:p>
                </w:tc>
                <w:tc>
                  <w:tcPr>
                    <w:tcW w:w="271" w:type="pct"/>
                    <w:tcBorders>
                      <w:top w:val="nil"/>
                      <w:left w:val="nil"/>
                      <w:bottom w:val="nil"/>
                      <w:right w:val="nil"/>
                    </w:tcBorders>
                    <w:shd w:val="clear" w:color="000000" w:fill="FFFFFF"/>
                    <w:noWrap/>
                    <w:vAlign w:val="bottom"/>
                    <w:hideMark/>
                  </w:tcPr>
                  <w:p w:rsidRPr="00BE3AE7" w:rsidR="002318A8" w:rsidRDefault="002318A8" w14:paraId="23791A3B" w14:textId="77777777">
                    <w:pPr>
                      <w:rPr>
                        <w:rFonts w:cs="Arial"/>
                        <w:sz w:val="18"/>
                        <w:szCs w:val="18"/>
                      </w:rPr>
                    </w:pPr>
                    <w:r w:rsidRPr="00BE3AE7">
                      <w:rPr>
                        <w:rFonts w:cs="Arial"/>
                        <w:sz w:val="18"/>
                        <w:szCs w:val="18"/>
                      </w:rPr>
                      <w:t> </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77F019E7"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511EB644"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22433894"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07DE527F" w14:textId="77777777">
                    <w:pPr>
                      <w:rPr>
                        <w:rFonts w:cs="Arial"/>
                        <w:sz w:val="18"/>
                        <w:szCs w:val="18"/>
                      </w:rPr>
                    </w:pPr>
                    <w:r w:rsidRPr="00BE3AE7">
                      <w:rPr>
                        <w:rFonts w:cs="Arial"/>
                        <w:sz w:val="18"/>
                        <w:szCs w:val="18"/>
                      </w:rPr>
                      <w:t> </w:t>
                    </w:r>
                  </w:p>
                </w:tc>
              </w:tr>
              <w:tr w:rsidRPr="00BE3AE7" w:rsidR="002318A8" w:rsidTr="00754102" w14:paraId="7CB95350" w14:textId="77777777">
                <w:trPr>
                  <w:trHeight w:val="264"/>
                </w:trPr>
                <w:tc>
                  <w:tcPr>
                    <w:tcW w:w="3038" w:type="pct"/>
                    <w:gridSpan w:val="3"/>
                    <w:tcBorders>
                      <w:top w:val="nil"/>
                      <w:left w:val="nil"/>
                      <w:bottom w:val="nil"/>
                      <w:right w:val="nil"/>
                    </w:tcBorders>
                    <w:shd w:val="clear" w:color="000000" w:fill="FFFFFF"/>
                    <w:noWrap/>
                    <w:vAlign w:val="bottom"/>
                    <w:hideMark/>
                  </w:tcPr>
                  <w:p w:rsidRPr="00BE3AE7" w:rsidR="002318A8" w:rsidRDefault="002318A8" w14:paraId="2985A9B5" w14:textId="77777777">
                    <w:pPr>
                      <w:rPr>
                        <w:rFonts w:cs="Arial"/>
                        <w:i/>
                        <w:iCs/>
                        <w:sz w:val="18"/>
                        <w:szCs w:val="18"/>
                      </w:rPr>
                    </w:pPr>
                    <w:r w:rsidRPr="00BE3AE7">
                      <w:rPr>
                        <w:rFonts w:cs="Arial"/>
                        <w:i/>
                        <w:iCs/>
                        <w:sz w:val="18"/>
                        <w:szCs w:val="18"/>
                      </w:rPr>
                      <w:t>Gemiddelde norm netto primaire gefinancierde uitgavengroei (in%)*</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07CC5E4C" w14:textId="77777777">
                    <w:pPr>
                      <w:jc w:val="right"/>
                      <w:rPr>
                        <w:rFonts w:cs="Arial"/>
                        <w:i/>
                        <w:iCs/>
                        <w:sz w:val="18"/>
                        <w:szCs w:val="18"/>
                      </w:rPr>
                    </w:pPr>
                    <w:r w:rsidRPr="00BE3AE7">
                      <w:rPr>
                        <w:rFonts w:cs="Arial"/>
                        <w:i/>
                        <w:iCs/>
                        <w:sz w:val="18"/>
                        <w:szCs w:val="18"/>
                      </w:rPr>
                      <w:t>3,2</w:t>
                    </w:r>
                  </w:p>
                </w:tc>
                <w:tc>
                  <w:tcPr>
                    <w:tcW w:w="458" w:type="pct"/>
                    <w:tcBorders>
                      <w:top w:val="nil"/>
                      <w:left w:val="nil"/>
                      <w:bottom w:val="nil"/>
                      <w:right w:val="nil"/>
                    </w:tcBorders>
                    <w:shd w:val="clear" w:color="000000" w:fill="FFFFFF"/>
                    <w:noWrap/>
                    <w:vAlign w:val="bottom"/>
                    <w:hideMark/>
                  </w:tcPr>
                  <w:p w:rsidRPr="00BE3AE7" w:rsidR="002318A8" w:rsidRDefault="002318A8" w14:paraId="464A3F68" w14:textId="77777777">
                    <w:pPr>
                      <w:jc w:val="right"/>
                      <w:rPr>
                        <w:rFonts w:cs="Arial"/>
                        <w:i/>
                        <w:iCs/>
                        <w:sz w:val="18"/>
                        <w:szCs w:val="18"/>
                      </w:rPr>
                    </w:pPr>
                    <w:r w:rsidRPr="00BE3AE7">
                      <w:rPr>
                        <w:rFonts w:cs="Arial"/>
                        <w:i/>
                        <w:iCs/>
                        <w:sz w:val="18"/>
                        <w:szCs w:val="18"/>
                      </w:rPr>
                      <w:t>3,2</w:t>
                    </w:r>
                  </w:p>
                </w:tc>
                <w:tc>
                  <w:tcPr>
                    <w:tcW w:w="458" w:type="pct"/>
                    <w:tcBorders>
                      <w:top w:val="nil"/>
                      <w:left w:val="nil"/>
                      <w:bottom w:val="nil"/>
                      <w:right w:val="nil"/>
                    </w:tcBorders>
                    <w:shd w:val="clear" w:color="000000" w:fill="FFFFFF"/>
                    <w:noWrap/>
                    <w:vAlign w:val="bottom"/>
                    <w:hideMark/>
                  </w:tcPr>
                  <w:p w:rsidRPr="00BE3AE7" w:rsidR="002318A8" w:rsidRDefault="002318A8" w14:paraId="296F62A8" w14:textId="77777777">
                    <w:pPr>
                      <w:jc w:val="right"/>
                      <w:rPr>
                        <w:rFonts w:cs="Arial"/>
                        <w:i/>
                        <w:iCs/>
                        <w:sz w:val="18"/>
                        <w:szCs w:val="18"/>
                      </w:rPr>
                    </w:pPr>
                    <w:r w:rsidRPr="00BE3AE7">
                      <w:rPr>
                        <w:rFonts w:cs="Arial"/>
                        <w:i/>
                        <w:iCs/>
                        <w:sz w:val="18"/>
                        <w:szCs w:val="18"/>
                      </w:rPr>
                      <w:t>3,2</w:t>
                    </w:r>
                  </w:p>
                </w:tc>
                <w:tc>
                  <w:tcPr>
                    <w:tcW w:w="458" w:type="pct"/>
                    <w:tcBorders>
                      <w:top w:val="nil"/>
                      <w:left w:val="nil"/>
                      <w:bottom w:val="nil"/>
                      <w:right w:val="nil"/>
                    </w:tcBorders>
                    <w:shd w:val="clear" w:color="000000" w:fill="FFFFFF"/>
                    <w:noWrap/>
                    <w:vAlign w:val="bottom"/>
                    <w:hideMark/>
                  </w:tcPr>
                  <w:p w:rsidRPr="00BE3AE7" w:rsidR="002318A8" w:rsidRDefault="002318A8" w14:paraId="312893C2" w14:textId="77777777">
                    <w:pPr>
                      <w:jc w:val="right"/>
                      <w:rPr>
                        <w:rFonts w:cs="Arial"/>
                        <w:i/>
                        <w:iCs/>
                        <w:sz w:val="18"/>
                        <w:szCs w:val="18"/>
                      </w:rPr>
                    </w:pPr>
                    <w:r w:rsidRPr="00BE3AE7">
                      <w:rPr>
                        <w:rFonts w:cs="Arial"/>
                        <w:i/>
                        <w:iCs/>
                        <w:sz w:val="18"/>
                        <w:szCs w:val="18"/>
                      </w:rPr>
                      <w:t>3,2</w:t>
                    </w:r>
                  </w:p>
                </w:tc>
              </w:tr>
              <w:tr w:rsidRPr="00BE3AE7" w:rsidR="002318A8" w:rsidTr="00754102" w14:paraId="7EC75F3B" w14:textId="77777777">
                <w:trPr>
                  <w:trHeight w:val="264"/>
                </w:trPr>
                <w:tc>
                  <w:tcPr>
                    <w:tcW w:w="2768" w:type="pct"/>
                    <w:gridSpan w:val="2"/>
                    <w:tcBorders>
                      <w:top w:val="nil"/>
                      <w:left w:val="nil"/>
                      <w:bottom w:val="nil"/>
                      <w:right w:val="nil"/>
                    </w:tcBorders>
                    <w:shd w:val="clear" w:color="000000" w:fill="FFFFFF"/>
                    <w:noWrap/>
                    <w:vAlign w:val="bottom"/>
                  </w:tcPr>
                  <w:p w:rsidRPr="00BE3AE7" w:rsidR="002318A8" w:rsidRDefault="002318A8" w14:paraId="6CBE1C18" w14:textId="77777777">
                    <w:pPr>
                      <w:rPr>
                        <w:rFonts w:cs="Arial"/>
                        <w:i/>
                        <w:iCs/>
                        <w:sz w:val="18"/>
                        <w:szCs w:val="18"/>
                      </w:rPr>
                    </w:pPr>
                  </w:p>
                </w:tc>
                <w:tc>
                  <w:tcPr>
                    <w:tcW w:w="271" w:type="pct"/>
                    <w:tcBorders>
                      <w:top w:val="nil"/>
                      <w:left w:val="nil"/>
                      <w:bottom w:val="nil"/>
                      <w:right w:val="nil"/>
                    </w:tcBorders>
                    <w:shd w:val="clear" w:color="000000" w:fill="FFFFFF"/>
                    <w:noWrap/>
                    <w:vAlign w:val="bottom"/>
                  </w:tcPr>
                  <w:p w:rsidRPr="00BE3AE7" w:rsidR="002318A8" w:rsidRDefault="002318A8" w14:paraId="5448C49F" w14:textId="77777777">
                    <w:pPr>
                      <w:rPr>
                        <w:rFonts w:cs="Arial"/>
                        <w:i/>
                        <w:iCs/>
                        <w:sz w:val="18"/>
                        <w:szCs w:val="18"/>
                      </w:rPr>
                    </w:pPr>
                  </w:p>
                </w:tc>
                <w:tc>
                  <w:tcPr>
                    <w:tcW w:w="588" w:type="pct"/>
                    <w:gridSpan w:val="2"/>
                    <w:tcBorders>
                      <w:top w:val="nil"/>
                      <w:left w:val="nil"/>
                      <w:bottom w:val="nil"/>
                      <w:right w:val="nil"/>
                    </w:tcBorders>
                    <w:shd w:val="clear" w:color="000000" w:fill="FFFFFF"/>
                    <w:noWrap/>
                    <w:vAlign w:val="bottom"/>
                  </w:tcPr>
                  <w:p w:rsidRPr="00BE3AE7" w:rsidR="002318A8" w:rsidRDefault="002318A8" w14:paraId="06ABE401" w14:textId="77777777">
                    <w:pPr>
                      <w:jc w:val="right"/>
                      <w:rPr>
                        <w:rFonts w:cs="Arial"/>
                        <w:i/>
                        <w:iCs/>
                        <w:sz w:val="18"/>
                        <w:szCs w:val="18"/>
                      </w:rPr>
                    </w:pPr>
                  </w:p>
                </w:tc>
                <w:tc>
                  <w:tcPr>
                    <w:tcW w:w="458" w:type="pct"/>
                    <w:tcBorders>
                      <w:top w:val="nil"/>
                      <w:left w:val="nil"/>
                      <w:bottom w:val="nil"/>
                      <w:right w:val="nil"/>
                    </w:tcBorders>
                    <w:shd w:val="clear" w:color="000000" w:fill="FFFFFF"/>
                    <w:noWrap/>
                    <w:vAlign w:val="bottom"/>
                  </w:tcPr>
                  <w:p w:rsidRPr="00BE3AE7" w:rsidR="002318A8" w:rsidRDefault="002318A8" w14:paraId="0B569E7B" w14:textId="77777777">
                    <w:pPr>
                      <w:jc w:val="right"/>
                      <w:rPr>
                        <w:rFonts w:cs="Arial"/>
                        <w:i/>
                        <w:iCs/>
                        <w:sz w:val="18"/>
                        <w:szCs w:val="18"/>
                      </w:rPr>
                    </w:pPr>
                  </w:p>
                </w:tc>
                <w:tc>
                  <w:tcPr>
                    <w:tcW w:w="458" w:type="pct"/>
                    <w:tcBorders>
                      <w:top w:val="nil"/>
                      <w:left w:val="nil"/>
                      <w:bottom w:val="nil"/>
                      <w:right w:val="nil"/>
                    </w:tcBorders>
                    <w:shd w:val="clear" w:color="000000" w:fill="FFFFFF"/>
                    <w:noWrap/>
                    <w:vAlign w:val="bottom"/>
                  </w:tcPr>
                  <w:p w:rsidRPr="00BE3AE7" w:rsidR="002318A8" w:rsidRDefault="002318A8" w14:paraId="150A9D4B" w14:textId="77777777">
                    <w:pPr>
                      <w:jc w:val="right"/>
                      <w:rPr>
                        <w:rFonts w:cs="Arial"/>
                        <w:i/>
                        <w:iCs/>
                        <w:sz w:val="18"/>
                        <w:szCs w:val="18"/>
                      </w:rPr>
                    </w:pPr>
                  </w:p>
                </w:tc>
                <w:tc>
                  <w:tcPr>
                    <w:tcW w:w="458" w:type="pct"/>
                    <w:tcBorders>
                      <w:top w:val="nil"/>
                      <w:left w:val="nil"/>
                      <w:bottom w:val="nil"/>
                      <w:right w:val="nil"/>
                    </w:tcBorders>
                    <w:shd w:val="clear" w:color="000000" w:fill="FFFFFF"/>
                    <w:noWrap/>
                    <w:vAlign w:val="bottom"/>
                  </w:tcPr>
                  <w:p w:rsidRPr="00BE3AE7" w:rsidR="002318A8" w:rsidRDefault="002318A8" w14:paraId="5340FA18" w14:textId="77777777">
                    <w:pPr>
                      <w:jc w:val="right"/>
                      <w:rPr>
                        <w:rFonts w:cs="Arial"/>
                        <w:i/>
                        <w:iCs/>
                        <w:sz w:val="18"/>
                        <w:szCs w:val="18"/>
                      </w:rPr>
                    </w:pPr>
                  </w:p>
                </w:tc>
              </w:tr>
              <w:tr w:rsidRPr="00BE3AE7" w:rsidR="002318A8" w:rsidTr="00754102" w14:paraId="5F89EC93"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419D4595" w14:textId="77777777">
                    <w:pPr>
                      <w:rPr>
                        <w:rFonts w:cs="Arial"/>
                        <w:i/>
                        <w:iCs/>
                        <w:sz w:val="18"/>
                        <w:szCs w:val="18"/>
                      </w:rPr>
                    </w:pPr>
                    <w:r w:rsidRPr="00BE3AE7">
                      <w:rPr>
                        <w:rFonts w:cs="Arial"/>
                        <w:i/>
                        <w:iCs/>
                        <w:sz w:val="18"/>
                        <w:szCs w:val="18"/>
                      </w:rPr>
                      <w:t>Jaarlijkse norm netto primaire gefinancierde uitgavengroei (in%)*</w:t>
                    </w:r>
                  </w:p>
                </w:tc>
                <w:tc>
                  <w:tcPr>
                    <w:tcW w:w="271" w:type="pct"/>
                    <w:tcBorders>
                      <w:top w:val="nil"/>
                      <w:left w:val="nil"/>
                      <w:bottom w:val="nil"/>
                      <w:right w:val="nil"/>
                    </w:tcBorders>
                    <w:shd w:val="clear" w:color="000000" w:fill="FFFFFF"/>
                    <w:noWrap/>
                    <w:vAlign w:val="bottom"/>
                    <w:hideMark/>
                  </w:tcPr>
                  <w:p w:rsidRPr="00BE3AE7" w:rsidR="002318A8" w:rsidRDefault="002318A8" w14:paraId="49833560" w14:textId="77777777">
                    <w:pPr>
                      <w:rPr>
                        <w:rFonts w:cs="Arial"/>
                        <w:i/>
                        <w:iCs/>
                        <w:sz w:val="18"/>
                        <w:szCs w:val="18"/>
                      </w:rPr>
                    </w:pPr>
                    <w:r w:rsidRPr="00BE3AE7">
                      <w:rPr>
                        <w:rFonts w:cs="Arial"/>
                        <w:i/>
                        <w:iCs/>
                        <w:sz w:val="18"/>
                        <w:szCs w:val="18"/>
                      </w:rPr>
                      <w:t> </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49A39252" w14:textId="77777777">
                    <w:pPr>
                      <w:jc w:val="right"/>
                      <w:rPr>
                        <w:rFonts w:cs="Arial"/>
                        <w:i/>
                        <w:iCs/>
                        <w:sz w:val="18"/>
                        <w:szCs w:val="18"/>
                      </w:rPr>
                    </w:pPr>
                    <w:r w:rsidRPr="00BE3AE7">
                      <w:rPr>
                        <w:rFonts w:cs="Arial"/>
                        <w:i/>
                        <w:iCs/>
                        <w:sz w:val="18"/>
                        <w:szCs w:val="18"/>
                      </w:rPr>
                      <w:t>3,5</w:t>
                    </w:r>
                  </w:p>
                </w:tc>
                <w:tc>
                  <w:tcPr>
                    <w:tcW w:w="458" w:type="pct"/>
                    <w:tcBorders>
                      <w:top w:val="nil"/>
                      <w:left w:val="nil"/>
                      <w:bottom w:val="nil"/>
                      <w:right w:val="nil"/>
                    </w:tcBorders>
                    <w:shd w:val="clear" w:color="000000" w:fill="FFFFFF"/>
                    <w:noWrap/>
                    <w:vAlign w:val="bottom"/>
                    <w:hideMark/>
                  </w:tcPr>
                  <w:p w:rsidRPr="00BE3AE7" w:rsidR="002318A8" w:rsidRDefault="002318A8" w14:paraId="23312397" w14:textId="77777777">
                    <w:pPr>
                      <w:jc w:val="right"/>
                      <w:rPr>
                        <w:rFonts w:cs="Arial"/>
                        <w:i/>
                        <w:iCs/>
                        <w:sz w:val="18"/>
                        <w:szCs w:val="18"/>
                      </w:rPr>
                    </w:pPr>
                    <w:r w:rsidRPr="00BE3AE7">
                      <w:rPr>
                        <w:rFonts w:cs="Arial"/>
                        <w:i/>
                        <w:iCs/>
                        <w:sz w:val="18"/>
                        <w:szCs w:val="18"/>
                      </w:rPr>
                      <w:t>3,3</w:t>
                    </w:r>
                  </w:p>
                </w:tc>
                <w:tc>
                  <w:tcPr>
                    <w:tcW w:w="458" w:type="pct"/>
                    <w:tcBorders>
                      <w:top w:val="nil"/>
                      <w:left w:val="nil"/>
                      <w:bottom w:val="nil"/>
                      <w:right w:val="nil"/>
                    </w:tcBorders>
                    <w:shd w:val="clear" w:color="000000" w:fill="FFFFFF"/>
                    <w:noWrap/>
                    <w:vAlign w:val="bottom"/>
                    <w:hideMark/>
                  </w:tcPr>
                  <w:p w:rsidRPr="00BE3AE7" w:rsidR="002318A8" w:rsidRDefault="002318A8" w14:paraId="2F2F1C7E" w14:textId="77777777">
                    <w:pPr>
                      <w:jc w:val="right"/>
                      <w:rPr>
                        <w:rFonts w:cs="Arial"/>
                        <w:i/>
                        <w:iCs/>
                        <w:sz w:val="18"/>
                        <w:szCs w:val="18"/>
                      </w:rPr>
                    </w:pPr>
                    <w:r w:rsidRPr="00BE3AE7">
                      <w:rPr>
                        <w:rFonts w:cs="Arial"/>
                        <w:i/>
                        <w:iCs/>
                        <w:sz w:val="18"/>
                        <w:szCs w:val="18"/>
                      </w:rPr>
                      <w:t>3,0</w:t>
                    </w:r>
                  </w:p>
                </w:tc>
                <w:tc>
                  <w:tcPr>
                    <w:tcW w:w="458" w:type="pct"/>
                    <w:tcBorders>
                      <w:top w:val="nil"/>
                      <w:left w:val="nil"/>
                      <w:bottom w:val="nil"/>
                      <w:right w:val="nil"/>
                    </w:tcBorders>
                    <w:shd w:val="clear" w:color="000000" w:fill="FFFFFF"/>
                    <w:noWrap/>
                    <w:vAlign w:val="bottom"/>
                    <w:hideMark/>
                  </w:tcPr>
                  <w:p w:rsidRPr="00BE3AE7" w:rsidR="002318A8" w:rsidRDefault="002318A8" w14:paraId="3D64CFF0" w14:textId="77777777">
                    <w:pPr>
                      <w:jc w:val="right"/>
                      <w:rPr>
                        <w:rFonts w:cs="Arial"/>
                        <w:i/>
                        <w:iCs/>
                        <w:sz w:val="18"/>
                        <w:szCs w:val="18"/>
                      </w:rPr>
                    </w:pPr>
                    <w:r w:rsidRPr="00BE3AE7">
                      <w:rPr>
                        <w:rFonts w:cs="Arial"/>
                        <w:i/>
                        <w:iCs/>
                        <w:sz w:val="18"/>
                        <w:szCs w:val="18"/>
                      </w:rPr>
                      <w:t>3,0</w:t>
                    </w:r>
                  </w:p>
                </w:tc>
              </w:tr>
              <w:tr w:rsidRPr="00BE3AE7" w:rsidR="002318A8" w:rsidTr="00754102" w14:paraId="23D63E0D"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49459AB2" w14:textId="77777777">
                    <w:pPr>
                      <w:rPr>
                        <w:rFonts w:cs="Arial"/>
                        <w:sz w:val="18"/>
                        <w:szCs w:val="18"/>
                      </w:rPr>
                    </w:pPr>
                    <w:r>
                      <w:rPr>
                        <w:rFonts w:cs="Arial"/>
                        <w:sz w:val="18"/>
                        <w:szCs w:val="18"/>
                      </w:rPr>
                      <w:t>Jaarlijkse g</w:t>
                    </w:r>
                    <w:r w:rsidRPr="00BE3AE7">
                      <w:rPr>
                        <w:rFonts w:cs="Arial"/>
                        <w:sz w:val="18"/>
                        <w:szCs w:val="18"/>
                      </w:rPr>
                      <w:t>roei van netto prima</w:t>
                    </w:r>
                    <w:r>
                      <w:rPr>
                        <w:rFonts w:cs="Arial"/>
                        <w:sz w:val="18"/>
                        <w:szCs w:val="18"/>
                      </w:rPr>
                      <w:t>i</w:t>
                    </w:r>
                    <w:r w:rsidRPr="00BE3AE7">
                      <w:rPr>
                        <w:rFonts w:cs="Arial"/>
                        <w:sz w:val="18"/>
                        <w:szCs w:val="18"/>
                      </w:rPr>
                      <w:t>re gefinancierde uitgaven (in %)**</w:t>
                    </w:r>
                  </w:p>
                </w:tc>
                <w:tc>
                  <w:tcPr>
                    <w:tcW w:w="271" w:type="pct"/>
                    <w:tcBorders>
                      <w:top w:val="nil"/>
                      <w:left w:val="nil"/>
                      <w:bottom w:val="nil"/>
                      <w:right w:val="nil"/>
                    </w:tcBorders>
                    <w:shd w:val="clear" w:color="000000" w:fill="FFFFFF"/>
                    <w:noWrap/>
                    <w:vAlign w:val="bottom"/>
                    <w:hideMark/>
                  </w:tcPr>
                  <w:p w:rsidRPr="00BE3AE7" w:rsidR="002318A8" w:rsidRDefault="002318A8" w14:paraId="0E4C6999" w14:textId="77777777">
                    <w:pPr>
                      <w:rPr>
                        <w:rFonts w:cs="Arial"/>
                        <w:sz w:val="18"/>
                        <w:szCs w:val="18"/>
                      </w:rPr>
                    </w:pP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247BB846" w14:textId="77777777">
                    <w:pPr>
                      <w:jc w:val="right"/>
                      <w:rPr>
                        <w:rFonts w:cs="Arial"/>
                        <w:sz w:val="18"/>
                        <w:szCs w:val="18"/>
                      </w:rPr>
                    </w:pPr>
                    <w:r w:rsidRPr="00BE3AE7">
                      <w:rPr>
                        <w:rFonts w:cs="Arial"/>
                        <w:sz w:val="18"/>
                        <w:szCs w:val="18"/>
                      </w:rPr>
                      <w:t>8,9</w:t>
                    </w:r>
                  </w:p>
                </w:tc>
                <w:tc>
                  <w:tcPr>
                    <w:tcW w:w="458" w:type="pct"/>
                    <w:tcBorders>
                      <w:top w:val="nil"/>
                      <w:left w:val="nil"/>
                      <w:bottom w:val="nil"/>
                      <w:right w:val="nil"/>
                    </w:tcBorders>
                    <w:shd w:val="clear" w:color="000000" w:fill="FFFFFF"/>
                    <w:noWrap/>
                    <w:vAlign w:val="bottom"/>
                    <w:hideMark/>
                  </w:tcPr>
                  <w:p w:rsidRPr="00BE3AE7" w:rsidR="002318A8" w:rsidRDefault="002318A8" w14:paraId="395916EB" w14:textId="77777777">
                    <w:pPr>
                      <w:jc w:val="right"/>
                      <w:rPr>
                        <w:rFonts w:cs="Arial"/>
                        <w:sz w:val="18"/>
                        <w:szCs w:val="18"/>
                      </w:rPr>
                    </w:pPr>
                    <w:r w:rsidRPr="00BE3AE7">
                      <w:rPr>
                        <w:rFonts w:cs="Arial"/>
                        <w:sz w:val="18"/>
                        <w:szCs w:val="18"/>
                      </w:rPr>
                      <w:t>3,5</w:t>
                    </w:r>
                  </w:p>
                </w:tc>
                <w:tc>
                  <w:tcPr>
                    <w:tcW w:w="458" w:type="pct"/>
                    <w:tcBorders>
                      <w:top w:val="nil"/>
                      <w:left w:val="nil"/>
                      <w:bottom w:val="nil"/>
                      <w:right w:val="nil"/>
                    </w:tcBorders>
                    <w:shd w:val="clear" w:color="000000" w:fill="FFFFFF"/>
                    <w:noWrap/>
                    <w:vAlign w:val="bottom"/>
                    <w:hideMark/>
                  </w:tcPr>
                  <w:p w:rsidRPr="00BE3AE7" w:rsidR="002318A8" w:rsidRDefault="002318A8" w14:paraId="29D105C5" w14:textId="77777777">
                    <w:pPr>
                      <w:jc w:val="right"/>
                      <w:rPr>
                        <w:rFonts w:cs="Arial"/>
                        <w:sz w:val="18"/>
                        <w:szCs w:val="18"/>
                      </w:rPr>
                    </w:pPr>
                    <w:r w:rsidRPr="00BE3AE7">
                      <w:rPr>
                        <w:rFonts w:cs="Arial"/>
                        <w:sz w:val="18"/>
                        <w:szCs w:val="18"/>
                      </w:rPr>
                      <w:t>3,2</w:t>
                    </w:r>
                  </w:p>
                </w:tc>
                <w:tc>
                  <w:tcPr>
                    <w:tcW w:w="458" w:type="pct"/>
                    <w:tcBorders>
                      <w:top w:val="nil"/>
                      <w:left w:val="nil"/>
                      <w:bottom w:val="nil"/>
                      <w:right w:val="nil"/>
                    </w:tcBorders>
                    <w:shd w:val="clear" w:color="000000" w:fill="FFFFFF"/>
                    <w:noWrap/>
                    <w:vAlign w:val="bottom"/>
                    <w:hideMark/>
                  </w:tcPr>
                  <w:p w:rsidRPr="00BE3AE7" w:rsidR="002318A8" w:rsidRDefault="002318A8" w14:paraId="52D72C95" w14:textId="77777777">
                    <w:pPr>
                      <w:jc w:val="right"/>
                      <w:rPr>
                        <w:rFonts w:cs="Arial"/>
                        <w:sz w:val="18"/>
                        <w:szCs w:val="18"/>
                      </w:rPr>
                    </w:pPr>
                    <w:r w:rsidRPr="00BE3AE7">
                      <w:rPr>
                        <w:rFonts w:cs="Arial"/>
                        <w:sz w:val="18"/>
                        <w:szCs w:val="18"/>
                      </w:rPr>
                      <w:t>4,2</w:t>
                    </w:r>
                  </w:p>
                </w:tc>
              </w:tr>
              <w:tr w:rsidRPr="00BE3AE7" w:rsidR="002318A8" w:rsidTr="00754102" w14:paraId="3081E562"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6D173E1B" w14:textId="77777777">
                    <w:pPr>
                      <w:rPr>
                        <w:rFonts w:cs="Arial"/>
                        <w:sz w:val="18"/>
                        <w:szCs w:val="18"/>
                      </w:rPr>
                    </w:pPr>
                    <w:r w:rsidRPr="00BE3AE7">
                      <w:rPr>
                        <w:rFonts w:cs="Arial"/>
                        <w:sz w:val="18"/>
                        <w:szCs w:val="18"/>
                      </w:rPr>
                      <w:t> </w:t>
                    </w:r>
                  </w:p>
                </w:tc>
                <w:tc>
                  <w:tcPr>
                    <w:tcW w:w="271" w:type="pct"/>
                    <w:tcBorders>
                      <w:top w:val="nil"/>
                      <w:left w:val="nil"/>
                      <w:bottom w:val="nil"/>
                      <w:right w:val="nil"/>
                    </w:tcBorders>
                    <w:shd w:val="clear" w:color="000000" w:fill="FFFFFF"/>
                    <w:noWrap/>
                    <w:vAlign w:val="bottom"/>
                    <w:hideMark/>
                  </w:tcPr>
                  <w:p w:rsidRPr="00BE3AE7" w:rsidR="002318A8" w:rsidRDefault="002318A8" w14:paraId="2FB6734B" w14:textId="77777777">
                    <w:pPr>
                      <w:rPr>
                        <w:rFonts w:cs="Arial"/>
                        <w:sz w:val="18"/>
                        <w:szCs w:val="18"/>
                      </w:rPr>
                    </w:pPr>
                    <w:r w:rsidRPr="00BE3AE7">
                      <w:rPr>
                        <w:rFonts w:cs="Arial"/>
                        <w:sz w:val="18"/>
                        <w:szCs w:val="18"/>
                      </w:rPr>
                      <w:t> </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0571C3DD"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7873B0ED"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0957646B"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78B41B22" w14:textId="77777777">
                    <w:pPr>
                      <w:rPr>
                        <w:rFonts w:cs="Arial"/>
                        <w:sz w:val="18"/>
                        <w:szCs w:val="18"/>
                      </w:rPr>
                    </w:pPr>
                    <w:r w:rsidRPr="00BE3AE7">
                      <w:rPr>
                        <w:rFonts w:cs="Arial"/>
                        <w:sz w:val="18"/>
                        <w:szCs w:val="18"/>
                      </w:rPr>
                      <w:t> </w:t>
                    </w:r>
                  </w:p>
                </w:tc>
              </w:tr>
              <w:tr w:rsidRPr="00BE3AE7" w:rsidR="002318A8" w:rsidTr="00754102" w14:paraId="59F415EB"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0249A82A" w14:textId="77777777">
                    <w:pPr>
                      <w:rPr>
                        <w:rFonts w:cs="Arial"/>
                        <w:b/>
                        <w:bCs/>
                        <w:sz w:val="18"/>
                        <w:szCs w:val="18"/>
                      </w:rPr>
                    </w:pPr>
                    <w:r w:rsidRPr="00BE3AE7">
                      <w:rPr>
                        <w:rFonts w:cs="Arial"/>
                        <w:b/>
                        <w:bCs/>
                        <w:sz w:val="18"/>
                        <w:szCs w:val="18"/>
                      </w:rPr>
                      <w:t>Cumulatief</w:t>
                    </w:r>
                  </w:p>
                </w:tc>
                <w:tc>
                  <w:tcPr>
                    <w:tcW w:w="271" w:type="pct"/>
                    <w:tcBorders>
                      <w:top w:val="nil"/>
                      <w:left w:val="nil"/>
                      <w:bottom w:val="nil"/>
                      <w:right w:val="nil"/>
                    </w:tcBorders>
                    <w:shd w:val="clear" w:color="000000" w:fill="FFFFFF"/>
                    <w:noWrap/>
                    <w:vAlign w:val="bottom"/>
                    <w:hideMark/>
                  </w:tcPr>
                  <w:p w:rsidRPr="00BE3AE7" w:rsidR="002318A8" w:rsidRDefault="002318A8" w14:paraId="5EC4F247" w14:textId="77777777">
                    <w:pPr>
                      <w:rPr>
                        <w:rFonts w:cs="Arial"/>
                        <w:sz w:val="18"/>
                        <w:szCs w:val="18"/>
                      </w:rPr>
                    </w:pPr>
                    <w:r w:rsidRPr="00BE3AE7">
                      <w:rPr>
                        <w:rFonts w:cs="Arial"/>
                        <w:sz w:val="18"/>
                        <w:szCs w:val="18"/>
                      </w:rPr>
                      <w:t> </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448F6F47"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4DACCD56"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794E2E36" w14:textId="77777777">
                    <w:pPr>
                      <w:rPr>
                        <w:rFonts w:cs="Arial"/>
                        <w:sz w:val="18"/>
                        <w:szCs w:val="18"/>
                      </w:rPr>
                    </w:pPr>
                    <w:r w:rsidRPr="00BE3AE7">
                      <w:rPr>
                        <w:rFonts w:cs="Arial"/>
                        <w:sz w:val="18"/>
                        <w:szCs w:val="18"/>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474FC2E1" w14:textId="77777777">
                    <w:pPr>
                      <w:rPr>
                        <w:rFonts w:cs="Arial"/>
                        <w:sz w:val="18"/>
                        <w:szCs w:val="18"/>
                      </w:rPr>
                    </w:pPr>
                    <w:r w:rsidRPr="00BE3AE7">
                      <w:rPr>
                        <w:rFonts w:cs="Arial"/>
                        <w:sz w:val="18"/>
                        <w:szCs w:val="18"/>
                      </w:rPr>
                      <w:t> </w:t>
                    </w:r>
                  </w:p>
                </w:tc>
              </w:tr>
              <w:tr w:rsidRPr="00BE3AE7" w:rsidR="002318A8" w:rsidTr="00754102" w14:paraId="02705C1B" w14:textId="77777777">
                <w:trPr>
                  <w:trHeight w:val="264"/>
                </w:trPr>
                <w:tc>
                  <w:tcPr>
                    <w:tcW w:w="2768" w:type="pct"/>
                    <w:gridSpan w:val="2"/>
                    <w:tcBorders>
                      <w:top w:val="nil"/>
                      <w:left w:val="nil"/>
                      <w:bottom w:val="nil"/>
                      <w:right w:val="nil"/>
                    </w:tcBorders>
                    <w:shd w:val="clear" w:color="000000" w:fill="FFFFFF"/>
                    <w:noWrap/>
                    <w:vAlign w:val="bottom"/>
                    <w:hideMark/>
                  </w:tcPr>
                  <w:p w:rsidRPr="00BE3AE7" w:rsidR="002318A8" w:rsidRDefault="002318A8" w14:paraId="03F9AC98" w14:textId="77777777">
                    <w:pPr>
                      <w:rPr>
                        <w:rFonts w:cs="Arial"/>
                        <w:i/>
                        <w:iCs/>
                        <w:sz w:val="18"/>
                        <w:szCs w:val="18"/>
                      </w:rPr>
                    </w:pPr>
                    <w:r w:rsidRPr="00BE3AE7">
                      <w:rPr>
                        <w:rFonts w:cs="Arial"/>
                        <w:i/>
                        <w:iCs/>
                        <w:sz w:val="18"/>
                        <w:szCs w:val="18"/>
                      </w:rPr>
                      <w:t>Norm netto primaire gefinancierde uitgavengroei (in%)*</w:t>
                    </w:r>
                  </w:p>
                </w:tc>
                <w:tc>
                  <w:tcPr>
                    <w:tcW w:w="271" w:type="pct"/>
                    <w:tcBorders>
                      <w:top w:val="nil"/>
                      <w:left w:val="nil"/>
                      <w:bottom w:val="nil"/>
                      <w:right w:val="nil"/>
                    </w:tcBorders>
                    <w:shd w:val="clear" w:color="000000" w:fill="FFFFFF"/>
                    <w:noWrap/>
                    <w:vAlign w:val="bottom"/>
                    <w:hideMark/>
                  </w:tcPr>
                  <w:p w:rsidRPr="00BE3AE7" w:rsidR="002318A8" w:rsidRDefault="002318A8" w14:paraId="1C5EFCFE" w14:textId="77777777">
                    <w:pPr>
                      <w:rPr>
                        <w:rFonts w:cs="Arial"/>
                        <w:i/>
                        <w:iCs/>
                        <w:sz w:val="18"/>
                        <w:szCs w:val="18"/>
                      </w:rPr>
                    </w:pPr>
                    <w:r w:rsidRPr="00BE3AE7">
                      <w:rPr>
                        <w:rFonts w:cs="Arial"/>
                        <w:i/>
                        <w:iCs/>
                        <w:sz w:val="18"/>
                        <w:szCs w:val="18"/>
                      </w:rPr>
                      <w:t> </w:t>
                    </w:r>
                  </w:p>
                </w:tc>
                <w:tc>
                  <w:tcPr>
                    <w:tcW w:w="588" w:type="pct"/>
                    <w:gridSpan w:val="2"/>
                    <w:tcBorders>
                      <w:top w:val="nil"/>
                      <w:left w:val="nil"/>
                      <w:bottom w:val="nil"/>
                      <w:right w:val="nil"/>
                    </w:tcBorders>
                    <w:shd w:val="clear" w:color="000000" w:fill="FFFFFF"/>
                    <w:noWrap/>
                    <w:vAlign w:val="bottom"/>
                    <w:hideMark/>
                  </w:tcPr>
                  <w:p w:rsidRPr="00BE3AE7" w:rsidR="002318A8" w:rsidRDefault="002318A8" w14:paraId="031C517A" w14:textId="77777777">
                    <w:pPr>
                      <w:jc w:val="right"/>
                      <w:rPr>
                        <w:rFonts w:cs="Arial"/>
                        <w:i/>
                        <w:iCs/>
                        <w:sz w:val="18"/>
                        <w:szCs w:val="18"/>
                      </w:rPr>
                    </w:pPr>
                    <w:r w:rsidRPr="00BE3AE7">
                      <w:rPr>
                        <w:rFonts w:cs="Arial"/>
                        <w:i/>
                        <w:iCs/>
                        <w:sz w:val="18"/>
                        <w:szCs w:val="18"/>
                      </w:rPr>
                      <w:t>10,4</w:t>
                    </w:r>
                  </w:p>
                </w:tc>
                <w:tc>
                  <w:tcPr>
                    <w:tcW w:w="458" w:type="pct"/>
                    <w:tcBorders>
                      <w:top w:val="nil"/>
                      <w:left w:val="nil"/>
                      <w:bottom w:val="nil"/>
                      <w:right w:val="nil"/>
                    </w:tcBorders>
                    <w:shd w:val="clear" w:color="000000" w:fill="FFFFFF"/>
                    <w:noWrap/>
                    <w:vAlign w:val="bottom"/>
                    <w:hideMark/>
                  </w:tcPr>
                  <w:p w:rsidRPr="00BE3AE7" w:rsidR="002318A8" w:rsidRDefault="002318A8" w14:paraId="706E6772" w14:textId="77777777">
                    <w:pPr>
                      <w:jc w:val="right"/>
                      <w:rPr>
                        <w:rFonts w:cs="Arial"/>
                        <w:i/>
                        <w:iCs/>
                        <w:sz w:val="18"/>
                        <w:szCs w:val="18"/>
                      </w:rPr>
                    </w:pPr>
                    <w:r w:rsidRPr="00BE3AE7">
                      <w:rPr>
                        <w:rFonts w:cs="Arial"/>
                        <w:i/>
                        <w:iCs/>
                        <w:sz w:val="18"/>
                        <w:szCs w:val="18"/>
                      </w:rPr>
                      <w:t>14,0</w:t>
                    </w:r>
                  </w:p>
                </w:tc>
                <w:tc>
                  <w:tcPr>
                    <w:tcW w:w="458" w:type="pct"/>
                    <w:tcBorders>
                      <w:top w:val="nil"/>
                      <w:left w:val="nil"/>
                      <w:bottom w:val="nil"/>
                      <w:right w:val="nil"/>
                    </w:tcBorders>
                    <w:shd w:val="clear" w:color="000000" w:fill="FFFFFF"/>
                    <w:noWrap/>
                    <w:vAlign w:val="bottom"/>
                    <w:hideMark/>
                  </w:tcPr>
                  <w:p w:rsidRPr="00BE3AE7" w:rsidR="002318A8" w:rsidRDefault="002318A8" w14:paraId="56836E1C" w14:textId="77777777">
                    <w:pPr>
                      <w:jc w:val="right"/>
                      <w:rPr>
                        <w:rFonts w:cs="Arial"/>
                        <w:i/>
                        <w:iCs/>
                        <w:sz w:val="18"/>
                        <w:szCs w:val="18"/>
                      </w:rPr>
                    </w:pPr>
                    <w:r w:rsidRPr="00BE3AE7">
                      <w:rPr>
                        <w:rFonts w:cs="Arial"/>
                        <w:i/>
                        <w:iCs/>
                        <w:sz w:val="18"/>
                        <w:szCs w:val="18"/>
                      </w:rPr>
                      <w:t>17,5</w:t>
                    </w:r>
                  </w:p>
                </w:tc>
                <w:tc>
                  <w:tcPr>
                    <w:tcW w:w="458" w:type="pct"/>
                    <w:tcBorders>
                      <w:top w:val="nil"/>
                      <w:left w:val="nil"/>
                      <w:bottom w:val="nil"/>
                      <w:right w:val="nil"/>
                    </w:tcBorders>
                    <w:shd w:val="clear" w:color="000000" w:fill="FFFFFF"/>
                    <w:noWrap/>
                    <w:vAlign w:val="bottom"/>
                    <w:hideMark/>
                  </w:tcPr>
                  <w:p w:rsidRPr="00BE3AE7" w:rsidR="002318A8" w:rsidRDefault="002318A8" w14:paraId="0B241618" w14:textId="77777777">
                    <w:pPr>
                      <w:jc w:val="right"/>
                      <w:rPr>
                        <w:rFonts w:cs="Arial"/>
                        <w:i/>
                        <w:iCs/>
                        <w:sz w:val="18"/>
                        <w:szCs w:val="18"/>
                      </w:rPr>
                    </w:pPr>
                    <w:r w:rsidRPr="00BE3AE7">
                      <w:rPr>
                        <w:rFonts w:cs="Arial"/>
                        <w:i/>
                        <w:iCs/>
                        <w:sz w:val="18"/>
                        <w:szCs w:val="18"/>
                      </w:rPr>
                      <w:t>21,0</w:t>
                    </w:r>
                  </w:p>
                </w:tc>
              </w:tr>
              <w:tr w:rsidRPr="00BE3AE7" w:rsidR="002318A8" w:rsidTr="00754102" w14:paraId="5C2908D1" w14:textId="77777777">
                <w:trPr>
                  <w:trHeight w:val="276"/>
                </w:trPr>
                <w:tc>
                  <w:tcPr>
                    <w:tcW w:w="2768" w:type="pct"/>
                    <w:gridSpan w:val="2"/>
                    <w:tcBorders>
                      <w:top w:val="nil"/>
                      <w:left w:val="nil"/>
                      <w:bottom w:val="single" w:color="auto" w:sz="12" w:space="0"/>
                      <w:right w:val="nil"/>
                    </w:tcBorders>
                    <w:shd w:val="clear" w:color="000000" w:fill="FFFFFF"/>
                    <w:noWrap/>
                    <w:vAlign w:val="bottom"/>
                    <w:hideMark/>
                  </w:tcPr>
                  <w:p w:rsidRPr="00BE3AE7" w:rsidR="002318A8" w:rsidRDefault="002318A8" w14:paraId="2B8A32EE" w14:textId="77777777">
                    <w:pPr>
                      <w:rPr>
                        <w:rFonts w:cs="Arial"/>
                        <w:sz w:val="18"/>
                        <w:szCs w:val="18"/>
                      </w:rPr>
                    </w:pPr>
                    <w:r w:rsidRPr="00BE3AE7">
                      <w:rPr>
                        <w:rFonts w:cs="Arial"/>
                        <w:sz w:val="18"/>
                        <w:szCs w:val="18"/>
                      </w:rPr>
                      <w:t>Groei van netto primair gefinancierde uitgaven (in %)**</w:t>
                    </w:r>
                  </w:p>
                </w:tc>
                <w:tc>
                  <w:tcPr>
                    <w:tcW w:w="271" w:type="pct"/>
                    <w:tcBorders>
                      <w:top w:val="nil"/>
                      <w:left w:val="nil"/>
                      <w:bottom w:val="single" w:color="auto" w:sz="12" w:space="0"/>
                      <w:right w:val="nil"/>
                    </w:tcBorders>
                    <w:shd w:val="clear" w:color="000000" w:fill="FFFFFF"/>
                    <w:noWrap/>
                    <w:vAlign w:val="bottom"/>
                    <w:hideMark/>
                  </w:tcPr>
                  <w:p w:rsidRPr="00BE3AE7" w:rsidR="002318A8" w:rsidRDefault="002318A8" w14:paraId="6FD09400" w14:textId="77777777">
                    <w:pPr>
                      <w:rPr>
                        <w:rFonts w:cs="Arial"/>
                        <w:sz w:val="18"/>
                        <w:szCs w:val="18"/>
                      </w:rPr>
                    </w:pPr>
                    <w:r w:rsidRPr="00BE3AE7">
                      <w:rPr>
                        <w:rFonts w:cs="Arial"/>
                        <w:sz w:val="18"/>
                        <w:szCs w:val="18"/>
                      </w:rPr>
                      <w:t> </w:t>
                    </w:r>
                  </w:p>
                </w:tc>
                <w:tc>
                  <w:tcPr>
                    <w:tcW w:w="588" w:type="pct"/>
                    <w:gridSpan w:val="2"/>
                    <w:tcBorders>
                      <w:top w:val="nil"/>
                      <w:left w:val="nil"/>
                      <w:bottom w:val="single" w:color="auto" w:sz="12" w:space="0"/>
                      <w:right w:val="nil"/>
                    </w:tcBorders>
                    <w:shd w:val="clear" w:color="000000" w:fill="FFFFFF"/>
                    <w:noWrap/>
                    <w:vAlign w:val="bottom"/>
                    <w:hideMark/>
                  </w:tcPr>
                  <w:p w:rsidRPr="00BE3AE7" w:rsidR="002318A8" w:rsidRDefault="002318A8" w14:paraId="2FCAB60B" w14:textId="77777777">
                    <w:pPr>
                      <w:jc w:val="right"/>
                      <w:rPr>
                        <w:rFonts w:cs="Arial"/>
                        <w:sz w:val="18"/>
                        <w:szCs w:val="18"/>
                      </w:rPr>
                    </w:pPr>
                    <w:r w:rsidRPr="00BE3AE7">
                      <w:rPr>
                        <w:rFonts w:cs="Arial"/>
                        <w:sz w:val="18"/>
                        <w:szCs w:val="18"/>
                      </w:rPr>
                      <w:t>15,3</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0EB68929" w14:textId="77777777">
                    <w:pPr>
                      <w:jc w:val="right"/>
                      <w:rPr>
                        <w:rFonts w:cs="Arial"/>
                        <w:sz w:val="18"/>
                        <w:szCs w:val="18"/>
                      </w:rPr>
                    </w:pPr>
                    <w:r w:rsidRPr="00BE3AE7">
                      <w:rPr>
                        <w:rFonts w:cs="Arial"/>
                        <w:sz w:val="18"/>
                        <w:szCs w:val="18"/>
                      </w:rPr>
                      <w:t>19,2</w:t>
                    </w:r>
                  </w:p>
                </w:tc>
                <w:tc>
                  <w:tcPr>
                    <w:tcW w:w="458" w:type="pct"/>
                    <w:tcBorders>
                      <w:top w:val="nil"/>
                      <w:left w:val="nil"/>
                      <w:bottom w:val="single" w:color="auto" w:sz="12" w:space="0"/>
                      <w:right w:val="nil"/>
                    </w:tcBorders>
                    <w:shd w:val="clear" w:color="000000" w:fill="FFFFFF"/>
                    <w:noWrap/>
                    <w:vAlign w:val="bottom"/>
                    <w:hideMark/>
                  </w:tcPr>
                  <w:p w:rsidRPr="00BE3AE7" w:rsidR="002318A8" w:rsidRDefault="002318A8" w14:paraId="0BB8901D" w14:textId="77777777">
                    <w:pPr>
                      <w:jc w:val="right"/>
                      <w:rPr>
                        <w:rFonts w:cs="Arial"/>
                        <w:sz w:val="18"/>
                        <w:szCs w:val="18"/>
                      </w:rPr>
                    </w:pPr>
                    <w:r w:rsidRPr="00BE3AE7">
                      <w:rPr>
                        <w:rFonts w:cs="Arial"/>
                        <w:sz w:val="18"/>
                        <w:szCs w:val="18"/>
                      </w:rPr>
                      <w:t>23,1</w:t>
                    </w:r>
                  </w:p>
                </w:tc>
                <w:tc>
                  <w:tcPr>
                    <w:tcW w:w="458" w:type="pct"/>
                    <w:tcBorders>
                      <w:top w:val="nil"/>
                      <w:left w:val="nil"/>
                      <w:bottom w:val="single" w:color="auto" w:sz="8" w:space="0"/>
                      <w:right w:val="nil"/>
                    </w:tcBorders>
                    <w:shd w:val="clear" w:color="000000" w:fill="FFFFFF"/>
                    <w:noWrap/>
                    <w:vAlign w:val="bottom"/>
                    <w:hideMark/>
                  </w:tcPr>
                  <w:p w:rsidRPr="00BE3AE7" w:rsidR="002318A8" w:rsidRDefault="002318A8" w14:paraId="427D4E13" w14:textId="77777777">
                    <w:pPr>
                      <w:jc w:val="right"/>
                      <w:rPr>
                        <w:rFonts w:cs="Arial"/>
                        <w:sz w:val="18"/>
                        <w:szCs w:val="18"/>
                      </w:rPr>
                    </w:pPr>
                    <w:r w:rsidRPr="00BE3AE7">
                      <w:rPr>
                        <w:rFonts w:cs="Arial"/>
                        <w:sz w:val="18"/>
                        <w:szCs w:val="18"/>
                      </w:rPr>
                      <w:t>28,3</w:t>
                    </w:r>
                  </w:p>
                </w:tc>
              </w:tr>
              <w:tr w:rsidRPr="00BE3AE7" w:rsidR="002318A8" w:rsidTr="00754102" w14:paraId="278919F2" w14:textId="77777777">
                <w:trPr>
                  <w:trHeight w:val="264"/>
                </w:trPr>
                <w:tc>
                  <w:tcPr>
                    <w:tcW w:w="5000" w:type="pct"/>
                    <w:gridSpan w:val="8"/>
                    <w:tcBorders>
                      <w:top w:val="single" w:color="auto" w:sz="12" w:space="0"/>
                      <w:left w:val="nil"/>
                      <w:bottom w:val="nil"/>
                      <w:right w:val="nil"/>
                    </w:tcBorders>
                    <w:shd w:val="clear" w:color="000000" w:fill="FFFFFF"/>
                    <w:noWrap/>
                    <w:vAlign w:val="bottom"/>
                    <w:hideMark/>
                  </w:tcPr>
                  <w:p w:rsidRPr="00BE3AE7" w:rsidR="002318A8" w:rsidRDefault="002318A8" w14:paraId="2D441291" w14:textId="77777777">
                    <w:pPr>
                      <w:rPr>
                        <w:rFonts w:cs="Arial"/>
                        <w:i/>
                        <w:iCs/>
                        <w:sz w:val="18"/>
                        <w:szCs w:val="18"/>
                      </w:rPr>
                    </w:pPr>
                    <w:r w:rsidRPr="00BE3AE7">
                      <w:rPr>
                        <w:rFonts w:cs="Arial"/>
                        <w:i/>
                        <w:iCs/>
                        <w:sz w:val="18"/>
                        <w:szCs w:val="18"/>
                      </w:rPr>
                      <w:t>*Op basis van de aanbeveling en de berekening van de Europese Commis</w:t>
                    </w:r>
                    <w:r>
                      <w:rPr>
                        <w:rFonts w:cs="Arial"/>
                        <w:i/>
                        <w:iCs/>
                        <w:sz w:val="18"/>
                        <w:szCs w:val="18"/>
                      </w:rPr>
                      <w:t>s</w:t>
                    </w:r>
                    <w:r w:rsidRPr="00BE3AE7">
                      <w:rPr>
                        <w:rFonts w:cs="Arial"/>
                        <w:i/>
                        <w:iCs/>
                        <w:sz w:val="18"/>
                        <w:szCs w:val="18"/>
                      </w:rPr>
                      <w:t xml:space="preserve">ie. Deze berekeningen gaan uit van de </w:t>
                    </w:r>
                  </w:p>
                </w:tc>
              </w:tr>
              <w:tr w:rsidRPr="00BE3AE7" w:rsidR="002318A8" w:rsidTr="00754102" w14:paraId="2B1033EB" w14:textId="77777777">
                <w:trPr>
                  <w:trHeight w:val="264"/>
                </w:trPr>
                <w:tc>
                  <w:tcPr>
                    <w:tcW w:w="3626" w:type="pct"/>
                    <w:gridSpan w:val="5"/>
                    <w:tcBorders>
                      <w:top w:val="nil"/>
                      <w:left w:val="nil"/>
                      <w:bottom w:val="nil"/>
                      <w:right w:val="nil"/>
                    </w:tcBorders>
                    <w:shd w:val="clear" w:color="000000" w:fill="FFFFFF"/>
                    <w:noWrap/>
                    <w:vAlign w:val="bottom"/>
                    <w:hideMark/>
                  </w:tcPr>
                  <w:p w:rsidRPr="00BE3AE7" w:rsidR="002318A8" w:rsidRDefault="002318A8" w14:paraId="51B52783" w14:textId="77777777">
                    <w:pPr>
                      <w:rPr>
                        <w:rFonts w:cs="Arial"/>
                        <w:i/>
                        <w:iCs/>
                        <w:sz w:val="18"/>
                        <w:szCs w:val="18"/>
                      </w:rPr>
                    </w:pPr>
                    <w:r w:rsidRPr="00BE3AE7">
                      <w:rPr>
                        <w:rFonts w:cs="Arial"/>
                        <w:i/>
                        <w:iCs/>
                        <w:sz w:val="18"/>
                        <w:szCs w:val="18"/>
                      </w:rPr>
                      <w:t>veronderstelling van ongewijzigd beleid.</w:t>
                    </w:r>
                    <w:r>
                      <w:rPr>
                        <w:rFonts w:cs="Arial"/>
                        <w:i/>
                        <w:iCs/>
                        <w:sz w:val="18"/>
                        <w:szCs w:val="18"/>
                      </w:rPr>
                      <w:t xml:space="preserve"> Het </w:t>
                    </w:r>
                    <w:proofErr w:type="spellStart"/>
                    <w:r>
                      <w:rPr>
                        <w:rFonts w:cs="Arial"/>
                        <w:i/>
                        <w:iCs/>
                        <w:sz w:val="18"/>
                        <w:szCs w:val="18"/>
                      </w:rPr>
                      <w:t>u</w:t>
                    </w:r>
                    <w:r w:rsidRPr="00BE3AE7">
                      <w:rPr>
                        <w:rFonts w:cs="Arial"/>
                        <w:i/>
                        <w:iCs/>
                        <w:sz w:val="18"/>
                        <w:szCs w:val="18"/>
                      </w:rPr>
                      <w:t>itgavenpad</w:t>
                    </w:r>
                    <w:proofErr w:type="spellEnd"/>
                    <w:r w:rsidRPr="00BE3AE7">
                      <w:rPr>
                        <w:rFonts w:cs="Arial"/>
                        <w:i/>
                        <w:iCs/>
                        <w:sz w:val="18"/>
                        <w:szCs w:val="18"/>
                      </w:rPr>
                      <w:t xml:space="preserve"> is vastgesteld door de Raad. </w:t>
                    </w:r>
                  </w:p>
                </w:tc>
                <w:tc>
                  <w:tcPr>
                    <w:tcW w:w="458" w:type="pct"/>
                    <w:tcBorders>
                      <w:top w:val="nil"/>
                      <w:left w:val="nil"/>
                      <w:bottom w:val="nil"/>
                      <w:right w:val="nil"/>
                    </w:tcBorders>
                    <w:shd w:val="clear" w:color="000000" w:fill="FFFFFF"/>
                    <w:noWrap/>
                    <w:vAlign w:val="bottom"/>
                    <w:hideMark/>
                  </w:tcPr>
                  <w:p w:rsidRPr="00BE3AE7" w:rsidR="002318A8" w:rsidRDefault="002318A8" w14:paraId="2DB9BB2F"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494ED7CF"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70BA02F4" w14:textId="77777777">
                    <w:pPr>
                      <w:rPr>
                        <w:rFonts w:ascii="Arial" w:hAnsi="Arial" w:cs="Arial"/>
                        <w:sz w:val="20"/>
                        <w:szCs w:val="20"/>
                      </w:rPr>
                    </w:pPr>
                    <w:r w:rsidRPr="00BE3AE7">
                      <w:rPr>
                        <w:rFonts w:ascii="Arial" w:hAnsi="Arial" w:cs="Arial"/>
                        <w:sz w:val="20"/>
                        <w:szCs w:val="20"/>
                      </w:rPr>
                      <w:t> </w:t>
                    </w:r>
                  </w:p>
                </w:tc>
              </w:tr>
              <w:tr w:rsidRPr="00BE3AE7" w:rsidR="002318A8" w:rsidTr="00754102" w14:paraId="6BE115CB" w14:textId="77777777">
                <w:trPr>
                  <w:trHeight w:val="264"/>
                </w:trPr>
                <w:tc>
                  <w:tcPr>
                    <w:tcW w:w="5000" w:type="pct"/>
                    <w:gridSpan w:val="8"/>
                    <w:tcBorders>
                      <w:top w:val="nil"/>
                      <w:left w:val="nil"/>
                      <w:bottom w:val="nil"/>
                      <w:right w:val="nil"/>
                    </w:tcBorders>
                    <w:shd w:val="clear" w:color="000000" w:fill="FFFFFF"/>
                    <w:noWrap/>
                    <w:vAlign w:val="bottom"/>
                    <w:hideMark/>
                  </w:tcPr>
                  <w:p w:rsidRPr="00BE3AE7" w:rsidR="002318A8" w:rsidRDefault="002318A8" w14:paraId="27A479CB" w14:textId="77777777">
                    <w:pPr>
                      <w:rPr>
                        <w:rFonts w:cs="Arial"/>
                        <w:i/>
                        <w:iCs/>
                        <w:sz w:val="18"/>
                        <w:szCs w:val="18"/>
                      </w:rPr>
                    </w:pPr>
                    <w:r w:rsidRPr="00BE3AE7">
                      <w:rPr>
                        <w:rFonts w:cs="Arial"/>
                        <w:i/>
                        <w:iCs/>
                        <w:sz w:val="18"/>
                        <w:szCs w:val="18"/>
                      </w:rPr>
                      <w:t xml:space="preserve">**Dit zijn de nationale overheidsuitgaven gecorrigeerd voor rente-uitgaven, tijdelijke en eenmalige uitgaven, eventuele </w:t>
                    </w:r>
                  </w:p>
                </w:tc>
              </w:tr>
              <w:tr w:rsidRPr="00BE3AE7" w:rsidR="002318A8" w:rsidTr="00754102" w14:paraId="74C93267" w14:textId="77777777">
                <w:trPr>
                  <w:trHeight w:val="264"/>
                </w:trPr>
                <w:tc>
                  <w:tcPr>
                    <w:tcW w:w="5000" w:type="pct"/>
                    <w:gridSpan w:val="8"/>
                    <w:tcBorders>
                      <w:top w:val="nil"/>
                      <w:left w:val="nil"/>
                      <w:bottom w:val="nil"/>
                      <w:right w:val="nil"/>
                    </w:tcBorders>
                    <w:shd w:val="clear" w:color="000000" w:fill="FFFFFF"/>
                    <w:noWrap/>
                    <w:vAlign w:val="bottom"/>
                    <w:hideMark/>
                  </w:tcPr>
                  <w:p w:rsidRPr="00BE3AE7" w:rsidR="002318A8" w:rsidRDefault="002318A8" w14:paraId="350DFDAA" w14:textId="77777777">
                    <w:pPr>
                      <w:rPr>
                        <w:rFonts w:cs="Arial"/>
                        <w:i/>
                        <w:iCs/>
                        <w:sz w:val="18"/>
                        <w:szCs w:val="18"/>
                      </w:rPr>
                    </w:pPr>
                    <w:r w:rsidRPr="00BE3AE7">
                      <w:rPr>
                        <w:rFonts w:cs="Arial"/>
                        <w:i/>
                        <w:iCs/>
                        <w:sz w:val="18"/>
                        <w:szCs w:val="18"/>
                      </w:rPr>
                      <w:t xml:space="preserve">discretionaire inkomstenmaatregelen, uitgaven die worden bekostigd met inkomsten uit EU-fondsen en nationale </w:t>
                    </w:r>
                  </w:p>
                </w:tc>
              </w:tr>
              <w:tr w:rsidRPr="00BE3AE7" w:rsidR="002318A8" w:rsidTr="00754102" w14:paraId="3750D506" w14:textId="77777777">
                <w:trPr>
                  <w:trHeight w:val="264"/>
                </w:trPr>
                <w:tc>
                  <w:tcPr>
                    <w:tcW w:w="5000" w:type="pct"/>
                    <w:gridSpan w:val="8"/>
                    <w:tcBorders>
                      <w:top w:val="nil"/>
                      <w:left w:val="nil"/>
                      <w:bottom w:val="nil"/>
                      <w:right w:val="nil"/>
                    </w:tcBorders>
                    <w:shd w:val="clear" w:color="000000" w:fill="FFFFFF"/>
                    <w:noWrap/>
                    <w:vAlign w:val="bottom"/>
                    <w:hideMark/>
                  </w:tcPr>
                  <w:p w:rsidRPr="00BE3AE7" w:rsidR="002318A8" w:rsidRDefault="002318A8" w14:paraId="659F9CD7" w14:textId="77777777">
                    <w:pPr>
                      <w:rPr>
                        <w:rFonts w:cs="Arial"/>
                        <w:i/>
                        <w:iCs/>
                        <w:sz w:val="18"/>
                        <w:szCs w:val="18"/>
                      </w:rPr>
                    </w:pPr>
                    <w:r w:rsidRPr="00BE3AE7">
                      <w:rPr>
                        <w:rFonts w:cs="Arial"/>
                        <w:i/>
                        <w:iCs/>
                        <w:sz w:val="18"/>
                        <w:szCs w:val="18"/>
                      </w:rPr>
                      <w:t xml:space="preserve">cofinanciering voor EU-programma's, conjuncturele werkloosheidsuitgaven en eventuele maatregelen die zorgen </w:t>
                    </w:r>
                  </w:p>
                </w:tc>
              </w:tr>
              <w:tr w:rsidRPr="00BE3AE7" w:rsidR="002318A8" w:rsidTr="00754102" w14:paraId="58097C92" w14:textId="77777777">
                <w:trPr>
                  <w:trHeight w:val="264"/>
                </w:trPr>
                <w:tc>
                  <w:tcPr>
                    <w:tcW w:w="2710" w:type="pct"/>
                    <w:tcBorders>
                      <w:top w:val="nil"/>
                      <w:left w:val="nil"/>
                      <w:bottom w:val="nil"/>
                      <w:right w:val="nil"/>
                    </w:tcBorders>
                    <w:shd w:val="clear" w:color="000000" w:fill="FFFFFF"/>
                    <w:noWrap/>
                    <w:vAlign w:val="bottom"/>
                    <w:hideMark/>
                  </w:tcPr>
                  <w:p w:rsidRPr="00BE3AE7" w:rsidR="002318A8" w:rsidRDefault="002318A8" w14:paraId="330916C1" w14:textId="77777777">
                    <w:pPr>
                      <w:rPr>
                        <w:rFonts w:cs="Arial"/>
                        <w:i/>
                        <w:iCs/>
                        <w:sz w:val="18"/>
                        <w:szCs w:val="18"/>
                      </w:rPr>
                    </w:pPr>
                    <w:r w:rsidRPr="00BE3AE7">
                      <w:rPr>
                        <w:rFonts w:cs="Arial"/>
                        <w:i/>
                        <w:iCs/>
                        <w:sz w:val="18"/>
                        <w:szCs w:val="18"/>
                      </w:rPr>
                      <w:t xml:space="preserve">voor hogere inkomsten. </w:t>
                    </w:r>
                  </w:p>
                </w:tc>
                <w:tc>
                  <w:tcPr>
                    <w:tcW w:w="458" w:type="pct"/>
                    <w:gridSpan w:val="3"/>
                    <w:tcBorders>
                      <w:top w:val="nil"/>
                      <w:left w:val="nil"/>
                      <w:bottom w:val="nil"/>
                      <w:right w:val="nil"/>
                    </w:tcBorders>
                    <w:shd w:val="clear" w:color="000000" w:fill="FFFFFF"/>
                    <w:noWrap/>
                    <w:vAlign w:val="bottom"/>
                    <w:hideMark/>
                  </w:tcPr>
                  <w:p w:rsidRPr="00BE3AE7" w:rsidR="002318A8" w:rsidRDefault="002318A8" w14:paraId="7EBAC034"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5D6C7FC7"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266EDCEC"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061E053B"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48BB6473" w14:textId="77777777">
                    <w:pPr>
                      <w:rPr>
                        <w:rFonts w:ascii="Arial" w:hAnsi="Arial" w:cs="Arial"/>
                        <w:sz w:val="20"/>
                        <w:szCs w:val="20"/>
                      </w:rPr>
                    </w:pPr>
                    <w:r w:rsidRPr="00BE3AE7">
                      <w:rPr>
                        <w:rFonts w:ascii="Arial" w:hAnsi="Arial" w:cs="Arial"/>
                        <w:sz w:val="20"/>
                        <w:szCs w:val="20"/>
                      </w:rPr>
                      <w:t> </w:t>
                    </w:r>
                  </w:p>
                </w:tc>
              </w:tr>
              <w:tr w:rsidRPr="00BE3AE7" w:rsidR="002318A8" w:rsidTr="00754102" w14:paraId="18A3B764" w14:textId="77777777">
                <w:trPr>
                  <w:trHeight w:val="264"/>
                </w:trPr>
                <w:tc>
                  <w:tcPr>
                    <w:tcW w:w="3626" w:type="pct"/>
                    <w:gridSpan w:val="5"/>
                    <w:tcBorders>
                      <w:top w:val="nil"/>
                      <w:left w:val="nil"/>
                      <w:bottom w:val="nil"/>
                      <w:right w:val="nil"/>
                    </w:tcBorders>
                    <w:shd w:val="clear" w:color="000000" w:fill="FFFFFF"/>
                    <w:noWrap/>
                    <w:vAlign w:val="bottom"/>
                    <w:hideMark/>
                  </w:tcPr>
                  <w:p w:rsidRPr="00BE3AE7" w:rsidR="002318A8" w:rsidRDefault="002318A8" w14:paraId="7EFCE359" w14:textId="77777777">
                    <w:pPr>
                      <w:rPr>
                        <w:rFonts w:cs="Arial"/>
                        <w:i/>
                        <w:iCs/>
                        <w:sz w:val="18"/>
                        <w:szCs w:val="18"/>
                      </w:rPr>
                    </w:pPr>
                    <w:r w:rsidRPr="00BE3AE7">
                      <w:rPr>
                        <w:rFonts w:cs="Arial"/>
                        <w:i/>
                        <w:iCs/>
                        <w:sz w:val="18"/>
                        <w:szCs w:val="18"/>
                      </w:rPr>
                      <w:t>Bron: Europese Commissie en CPB (Budgettaire Analyse Voorjaarsbesluitvorming 2025)</w:t>
                    </w:r>
                  </w:p>
                </w:tc>
                <w:tc>
                  <w:tcPr>
                    <w:tcW w:w="458" w:type="pct"/>
                    <w:tcBorders>
                      <w:top w:val="nil"/>
                      <w:left w:val="nil"/>
                      <w:bottom w:val="nil"/>
                      <w:right w:val="nil"/>
                    </w:tcBorders>
                    <w:shd w:val="clear" w:color="000000" w:fill="FFFFFF"/>
                    <w:noWrap/>
                    <w:vAlign w:val="bottom"/>
                    <w:hideMark/>
                  </w:tcPr>
                  <w:p w:rsidRPr="00BE3AE7" w:rsidR="002318A8" w:rsidRDefault="002318A8" w14:paraId="46AAC644"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2084FF23" w14:textId="77777777">
                    <w:pPr>
                      <w:rPr>
                        <w:rFonts w:ascii="Arial" w:hAnsi="Arial" w:cs="Arial"/>
                        <w:sz w:val="20"/>
                        <w:szCs w:val="20"/>
                      </w:rPr>
                    </w:pPr>
                    <w:r w:rsidRPr="00BE3AE7">
                      <w:rPr>
                        <w:rFonts w:ascii="Arial" w:hAnsi="Arial" w:cs="Arial"/>
                        <w:sz w:val="20"/>
                        <w:szCs w:val="20"/>
                      </w:rPr>
                      <w:t> </w:t>
                    </w:r>
                  </w:p>
                </w:tc>
                <w:tc>
                  <w:tcPr>
                    <w:tcW w:w="458" w:type="pct"/>
                    <w:tcBorders>
                      <w:top w:val="nil"/>
                      <w:left w:val="nil"/>
                      <w:bottom w:val="nil"/>
                      <w:right w:val="nil"/>
                    </w:tcBorders>
                    <w:shd w:val="clear" w:color="000000" w:fill="FFFFFF"/>
                    <w:noWrap/>
                    <w:vAlign w:val="bottom"/>
                    <w:hideMark/>
                  </w:tcPr>
                  <w:p w:rsidRPr="00BE3AE7" w:rsidR="002318A8" w:rsidRDefault="002318A8" w14:paraId="293CB2CA" w14:textId="77777777">
                    <w:pPr>
                      <w:rPr>
                        <w:rFonts w:ascii="Arial" w:hAnsi="Arial" w:cs="Arial"/>
                        <w:sz w:val="20"/>
                        <w:szCs w:val="20"/>
                      </w:rPr>
                    </w:pPr>
                    <w:r w:rsidRPr="00BE3AE7">
                      <w:rPr>
                        <w:rFonts w:ascii="Arial" w:hAnsi="Arial" w:cs="Arial"/>
                        <w:sz w:val="20"/>
                        <w:szCs w:val="20"/>
                      </w:rPr>
                      <w:t> </w:t>
                    </w:r>
                  </w:p>
                </w:tc>
              </w:tr>
            </w:tbl>
            <w:p w:rsidR="002318A8" w:rsidP="002318A8" w:rsidRDefault="002318A8" w14:paraId="5BBF4028" w14:textId="77777777"/>
            <w:p w:rsidRPr="00093B7D" w:rsidR="002318A8" w:rsidP="002318A8" w:rsidRDefault="002318A8" w14:paraId="530D2DA6" w14:textId="77777777">
              <w:r>
                <w:t xml:space="preserve">De cumulatieve netto uitgavengroei laat zien dat de netto primair gefinancierde uitgaven in 2028 hoger liggen dan genormeerd om op de middellange termijn </w:t>
              </w:r>
              <w:r>
                <w:lastRenderedPageBreak/>
                <w:t xml:space="preserve">binnen de Europese begrotingsgrenzen te blijven. Op basis van de jaarlijkse Voortgangsrapportage blijkt dat de cumulatieve groei in 2028 neerkomt op 28,3%, waar deze genormeerd uit zou mogen komen op 21,0%. </w:t>
              </w:r>
            </w:p>
            <w:p w:rsidRPr="00093B7D" w:rsidR="002318A8" w:rsidP="002318A8" w:rsidRDefault="002318A8" w14:paraId="3B9D2175" w14:textId="77777777">
              <w:pPr>
                <w:rPr>
                  <w:b/>
                  <w:bCs/>
                </w:rPr>
              </w:pPr>
            </w:p>
            <w:p w:rsidR="002318A8" w:rsidP="002318A8" w:rsidRDefault="002318A8" w14:paraId="16194B6A" w14:textId="77777777">
              <w:r>
                <w:t>De geraamde ontwikkeling van het uitgaven pad laat zien dat de netto primaire uitgaven naar verwachting zowel jaarlijks, als cumulatief in alle ramingsjaren boven de aanbevolen maximale groei ligt. Hiermee voldoet Nederland niet aan de aanbeveling van de Raad om te verzekeren dat de uitgavengroei niet uitkomt boven de maximale toegestane groei zoals vastgesteld door de Raad, en daarmee niet voldoet aan de vereisten van het Stabiliteit- en Groeipact.</w:t>
              </w:r>
              <w:r>
                <w:rPr>
                  <w:rStyle w:val="Voetnootmarkering"/>
                </w:rPr>
                <w:footnoteReference w:id="48"/>
              </w:r>
              <w:r>
                <w:t xml:space="preserve"> </w:t>
              </w:r>
            </w:p>
            <w:p w:rsidR="002318A8" w:rsidP="002318A8" w:rsidRDefault="002318A8" w14:paraId="636EE70A" w14:textId="77777777"/>
            <w:p w:rsidR="002318A8" w:rsidP="002318A8" w:rsidRDefault="002318A8" w14:paraId="30A25A0D" w14:textId="77777777">
              <w:r w:rsidRPr="00EF0DAB">
                <w:t>D</w:t>
              </w:r>
              <w:r>
                <w:t xml:space="preserve">oordat de uitgavengroei hoger wordt geraamd dan de aanbevolen maximale uitgavengroei </w:t>
              </w:r>
              <w:r w:rsidRPr="00EF0DAB">
                <w:t>is het niet waarschijnlijk dat het tekort onder de referentiewaarde van 3% bbp en de overheidsschuld onder de referentiewaarde van 60% bbp blijft op de middellange termijn.</w:t>
              </w:r>
              <w:r>
                <w:t xml:space="preserve"> Door een groei van de uitgaven, bij een gelijkblijvende collectieve lastenquote, is sprake van jaarlijkse begrotingstekorten en een toename van de staatsschuld op de middellange termijn.</w:t>
              </w:r>
              <w:r>
                <w:rPr>
                  <w:rStyle w:val="Voetnootmarkering"/>
                </w:rPr>
                <w:footnoteReference w:id="49"/>
              </w:r>
            </w:p>
            <w:p w:rsidR="002318A8" w:rsidP="002318A8" w:rsidRDefault="002318A8" w14:paraId="5F658262" w14:textId="77777777"/>
            <w:p w:rsidRPr="005044F5" w:rsidR="002318A8" w:rsidP="002318A8" w:rsidRDefault="002318A8" w14:paraId="5447C563" w14:textId="77777777">
              <w:pPr>
                <w:rPr>
                  <w:b/>
                  <w:bCs/>
                </w:rPr>
              </w:pPr>
              <w:r>
                <w:t xml:space="preserve">De geraamde uitgavengroei in de jaarlijkse Voortgangsrapportage ligt ook hoger dan het opgenomen </w:t>
              </w:r>
              <w:proofErr w:type="spellStart"/>
              <w:r>
                <w:t>uitgavenpad</w:t>
              </w:r>
              <w:proofErr w:type="spellEnd"/>
              <w:r>
                <w:t xml:space="preserve"> uit het budgettair-structureel plan voor de middellange termijn (ingediend in oktober 2024). Deze hogere uitgavengroei wordt beïnvloed door nominale ontwikkelingen en prijsbijstellingen.</w:t>
              </w:r>
              <w:r>
                <w:rPr>
                  <w:rStyle w:val="Voetnootmarkering"/>
                </w:rPr>
                <w:footnoteReference w:id="50"/>
              </w:r>
              <w:r>
                <w:t xml:space="preserve"> Daarnaast leiden de uitgavenverhogingen uit de Voorjaarsnota tot een hogere cumulatieve uitgavengroei. Per saldo hebben de ingevoerde beleidsmatige lastenverlichtingen sinds het budgettair-structureel plan cumulatief een opwaarts effect op de uitgavengroei tussen 2023 en 2028.</w:t>
              </w:r>
            </w:p>
            <w:p w:rsidR="002318A8" w:rsidP="002318A8" w:rsidRDefault="002318A8" w14:paraId="606C545C" w14:textId="77777777"/>
            <w:p w:rsidR="002318A8" w:rsidP="002318A8" w:rsidRDefault="002318A8" w14:paraId="36ED2EC1" w14:textId="77777777">
              <w:r>
                <w:t xml:space="preserve">In de update van het budgettair-structureel plan erkent het kabinet dat </w:t>
              </w:r>
              <w:r w:rsidRPr="005044F5">
                <w:t xml:space="preserve">een jaarlijkse gemiddelde </w:t>
              </w:r>
              <w:r>
                <w:t xml:space="preserve">gemaximeerde </w:t>
              </w:r>
              <w:r w:rsidRPr="005044F5">
                <w:t xml:space="preserve">uitgavengroei van 3,2% voor de komende vier jaar volgt uit de vereisten van </w:t>
              </w:r>
              <w:r>
                <w:t>het SGP.</w:t>
              </w:r>
              <w:r w:rsidRPr="005044F5">
                <w:t xml:space="preserve"> </w:t>
              </w:r>
              <w:r>
                <w:t xml:space="preserve">Het kabinet heeft aangegeven dat het </w:t>
              </w:r>
              <w:r w:rsidRPr="005044F5">
                <w:t xml:space="preserve">een aanbeveling voor een </w:t>
              </w:r>
              <w:proofErr w:type="spellStart"/>
              <w:r w:rsidRPr="005044F5">
                <w:t>uitgavenpad</w:t>
              </w:r>
              <w:proofErr w:type="spellEnd"/>
              <w:r w:rsidRPr="005044F5">
                <w:t xml:space="preserve"> als een juiste implementatie van de Europese begrotingsregels</w:t>
              </w:r>
              <w:r>
                <w:t xml:space="preserve"> ziet.</w:t>
              </w:r>
              <w:r>
                <w:rPr>
                  <w:rStyle w:val="Voetnootmarkering"/>
                </w:rPr>
                <w:footnoteReference w:id="51"/>
              </w:r>
              <w:r>
                <w:t xml:space="preserve"> </w:t>
              </w:r>
              <w:r w:rsidRPr="006F2775">
                <w:t xml:space="preserve">Houdbaarheid van overheidsfinanciën, ook op de middellange termijn, is </w:t>
              </w:r>
              <w:r>
                <w:t xml:space="preserve">dan ook </w:t>
              </w:r>
              <w:r w:rsidRPr="006F2775">
                <w:t>niet alleen van belang in het Europese raamwerk. Ook in het Nederlandse begrotingsbeleid speelt de houdbaarheid van de overheidsfinanciën een rol om te voorkomen dat rekeningen worden doorgeschoven</w:t>
              </w:r>
              <w:r>
                <w:t xml:space="preserve"> (zie ook paragraaf 2.3)</w:t>
              </w:r>
              <w:r w:rsidRPr="006F2775">
                <w:t xml:space="preserve">. </w:t>
              </w:r>
            </w:p>
            <w:p w:rsidR="002318A8" w:rsidP="002318A8" w:rsidRDefault="002318A8" w14:paraId="44277A14" w14:textId="77777777"/>
            <w:p w:rsidR="002318A8" w:rsidP="002318A8" w:rsidRDefault="002318A8" w14:paraId="3983348C" w14:textId="77777777">
              <w:r>
                <w:lastRenderedPageBreak/>
                <w:t xml:space="preserve">De cijfers van de cumulatieve uitgavengroei worden gebruikt bij het toezicht op de naleving van het </w:t>
              </w:r>
              <w:proofErr w:type="spellStart"/>
              <w:r>
                <w:t>uitgavenpad</w:t>
              </w:r>
              <w:proofErr w:type="spellEnd"/>
              <w:r>
                <w:t xml:space="preserve">. De over- en onderschrijdingen van het </w:t>
              </w:r>
              <w:proofErr w:type="spellStart"/>
              <w:r>
                <w:t>uitgavenpad</w:t>
              </w:r>
              <w:proofErr w:type="spellEnd"/>
              <w:r>
                <w:t xml:space="preserve">, bezien vanuit de cumulatieve groei, wordt bijgehouden in de controlerekening. Een afwijking van het aanbevolen </w:t>
              </w:r>
              <w:proofErr w:type="spellStart"/>
              <w:r>
                <w:t>uitgavenpad</w:t>
              </w:r>
              <w:proofErr w:type="spellEnd"/>
              <w:r>
                <w:t xml:space="preserve"> op basis van overschrijding van de jaarlijkse en cumulatieve drempelwaarden, kan aanleiding zijn voor de Commissie om een onderzoek te starten of er sprake is van een buitensporig tekort. Dit kan echter alleen bij lidstaten met een schuld boven de 60% bbp of wanneer het tekort de referentiewaarde van 3% overschrijdt. Zolang de Nederlandse overheidsfinanciën binnen deze referentiewaarden blijven, kan de Commissie niet direct handhavingsmaatregelen opleggen. </w:t>
              </w:r>
            </w:p>
            <w:p w:rsidRPr="004F71DC" w:rsidR="002318A8" w:rsidP="002318A8" w:rsidRDefault="002318A8" w14:paraId="7983AC2F" w14:textId="77777777"/>
            <w:p w:rsidRPr="00DF7BA9" w:rsidR="002318A8" w:rsidP="004C398A" w:rsidRDefault="002318A8" w14:paraId="4B71724C" w14:textId="5D9DB5D9">
              <w:pPr>
                <w:pStyle w:val="Lijstalinea"/>
                <w:numPr>
                  <w:ilvl w:val="1"/>
                  <w:numId w:val="6"/>
                </w:numPr>
                <w:ind w:left="0" w:firstLine="0"/>
                <w:rPr>
                  <w:i/>
                  <w:iCs/>
                </w:rPr>
              </w:pPr>
              <w:r w:rsidRPr="00DF7BA9">
                <w:rPr>
                  <w:i/>
                  <w:iCs/>
                </w:rPr>
                <w:t xml:space="preserve">Reflectie op het nieuwe Europese begrotingsraamwerk </w:t>
              </w:r>
            </w:p>
            <w:p w:rsidR="002318A8" w:rsidP="002318A8" w:rsidRDefault="002318A8" w14:paraId="16CF3D1C" w14:textId="77777777">
              <w:r w:rsidRPr="00C43CDD">
                <w:t>Nederland bevindt zich</w:t>
              </w:r>
              <w:r>
                <w:t xml:space="preserve"> </w:t>
              </w:r>
              <w:r w:rsidRPr="0038532A">
                <w:t>met betrekking tot de overheidsfinanciën</w:t>
              </w:r>
              <w:r w:rsidRPr="00C43CDD">
                <w:t xml:space="preserve"> </w:t>
              </w:r>
              <w:r>
                <w:t xml:space="preserve">in een bijzondere situatie </w:t>
              </w:r>
              <w:r w:rsidRPr="00C43CDD">
                <w:t xml:space="preserve">ten opzichte van </w:t>
              </w:r>
              <w:r>
                <w:t>an</w:t>
              </w:r>
              <w:r w:rsidRPr="00592F32">
                <w:t>de</w:t>
              </w:r>
              <w:r>
                <w:t>re</w:t>
              </w:r>
              <w:r w:rsidRPr="00592F32">
                <w:t xml:space="preserve"> EU-lidstaten.</w:t>
              </w:r>
              <w:r w:rsidRPr="00C43CDD">
                <w:t xml:space="preserve"> Enerzijds </w:t>
              </w:r>
              <w:r>
                <w:t>zijn</w:t>
              </w:r>
              <w:r w:rsidRPr="00C43CDD">
                <w:t xml:space="preserve"> het EMU-saldo en de EMU-schuld </w:t>
              </w:r>
              <w:r>
                <w:t>relatief</w:t>
              </w:r>
              <w:r w:rsidRPr="00C43CDD">
                <w:t xml:space="preserve"> gunstig (</w:t>
              </w:r>
              <w:r>
                <w:t>zie f</w:t>
              </w:r>
              <w:r w:rsidRPr="00C43CDD">
                <w:t xml:space="preserve">iguur </w:t>
              </w:r>
              <w:r>
                <w:t>2</w:t>
              </w:r>
              <w:r w:rsidRPr="00C43CDD">
                <w:t>). A</w:t>
              </w:r>
              <w:r>
                <w:t xml:space="preserve">nderzijds heeft de Raad het Nederlandse budgettair-structureel plan als enige van de ingediende plannen niet goedgekeurd omdat het </w:t>
              </w:r>
              <w:r w:rsidRPr="00C43CDD">
                <w:t>plan niet voldoet aan de Europese begrotingsregels</w:t>
              </w:r>
              <w:r>
                <w:t xml:space="preserve">. </w:t>
              </w:r>
            </w:p>
            <w:p w:rsidR="002318A8" w:rsidP="002318A8" w:rsidRDefault="002318A8" w14:paraId="2768091B" w14:textId="77777777"/>
            <w:p w:rsidR="002318A8" w:rsidP="002318A8" w:rsidRDefault="002318A8" w14:paraId="5D32118C" w14:textId="77777777">
              <w:r>
                <w:t xml:space="preserve">Nederland is </w:t>
              </w:r>
              <w:r w:rsidRPr="00C43CDD">
                <w:t xml:space="preserve">aanbevolen </w:t>
              </w:r>
              <w:r>
                <w:t>om de</w:t>
              </w:r>
              <w:r w:rsidRPr="00C43CDD">
                <w:t xml:space="preserve"> overheidsuitgaven in lijn </w:t>
              </w:r>
              <w:r>
                <w:t xml:space="preserve">te </w:t>
              </w:r>
              <w:r w:rsidRPr="00C43CDD">
                <w:t>breng</w:t>
              </w:r>
              <w:r>
                <w:t xml:space="preserve">en </w:t>
              </w:r>
              <w:r w:rsidRPr="00C43CDD">
                <w:t xml:space="preserve">met het door de Europese </w:t>
              </w:r>
              <w:r>
                <w:t>C</w:t>
              </w:r>
              <w:r w:rsidRPr="00C43CDD">
                <w:t xml:space="preserve">ommissie voorgestelde </w:t>
              </w:r>
              <w:proofErr w:type="spellStart"/>
              <w:r w:rsidRPr="00C43CDD">
                <w:t>uitgavenpad</w:t>
              </w:r>
              <w:proofErr w:type="spellEnd"/>
              <w:r>
                <w:t>. D</w:t>
              </w:r>
              <w:r w:rsidRPr="00C43CDD">
                <w:t xml:space="preserve">at wil zeggen </w:t>
              </w:r>
              <w:r>
                <w:t xml:space="preserve">dat Nederland </w:t>
              </w:r>
              <w:r w:rsidRPr="00C43CDD">
                <w:t xml:space="preserve">de uitgaven in lijn </w:t>
              </w:r>
              <w:r>
                <w:t xml:space="preserve">moet </w:t>
              </w:r>
              <w:r w:rsidRPr="00C43CDD">
                <w:t>breng</w:t>
              </w:r>
              <w:r>
                <w:t>en</w:t>
              </w:r>
              <w:r w:rsidRPr="00C43CDD">
                <w:t xml:space="preserve"> met de gemaximeerde netto-uitgaven zoals geraamd door de </w:t>
              </w:r>
              <w:r>
                <w:t>Europese C</w:t>
              </w:r>
              <w:r w:rsidRPr="00C43CDD">
                <w:t>ommissie.</w:t>
              </w:r>
            </w:p>
            <w:p w:rsidR="002318A8" w:rsidP="002318A8" w:rsidRDefault="002318A8" w14:paraId="64D7FF4C" w14:textId="77777777">
              <w:pPr>
                <w:rPr>
                  <w:sz w:val="20"/>
                  <w:szCs w:val="20"/>
                </w:rPr>
              </w:pPr>
            </w:p>
            <w:p w:rsidR="002318A8" w:rsidP="002318A8" w:rsidRDefault="002318A8" w14:paraId="4D6A05D6" w14:textId="77777777">
              <w:r w:rsidRPr="00C43CDD">
                <w:t>Het</w:t>
              </w:r>
              <w:r>
                <w:t xml:space="preserve"> budgettaire</w:t>
              </w:r>
              <w:r w:rsidRPr="00C43CDD">
                <w:t xml:space="preserve"> beeld wordt</w:t>
              </w:r>
              <w:r>
                <w:t xml:space="preserve"> namelijk </w:t>
              </w:r>
              <w:r w:rsidRPr="00C43CDD">
                <w:t xml:space="preserve">anders </w:t>
              </w:r>
              <w:r>
                <w:t>wanneer</w:t>
              </w:r>
              <w:r w:rsidRPr="00C43CDD">
                <w:t xml:space="preserve"> gekeken wordt naar de</w:t>
              </w:r>
              <w:r>
                <w:t xml:space="preserve"> middellange termijn</w:t>
              </w:r>
              <w:r w:rsidRPr="00C43CDD">
                <w:t xml:space="preserve">. </w:t>
              </w:r>
              <w:r w:rsidRPr="003263A7">
                <w:t>In Nederland verslechtert de budgettaire uitgangspositie</w:t>
              </w:r>
              <w:r w:rsidRPr="00C43CDD">
                <w:t xml:space="preserve"> terwijl die voor andere E</w:t>
              </w:r>
              <w:r>
                <w:t>U-</w:t>
              </w:r>
              <w:r w:rsidRPr="00C43CDD">
                <w:t>l</w:t>
              </w:r>
              <w:r>
                <w:t>idstaten</w:t>
              </w:r>
              <w:r w:rsidRPr="00C43CDD">
                <w:t xml:space="preserve"> verbetert</w:t>
              </w:r>
              <w:r>
                <w:t xml:space="preserve">. </w:t>
              </w:r>
              <w:r w:rsidRPr="00C43CDD">
                <w:t xml:space="preserve">Nederland bevindt zich qua ontwikkeling van de </w:t>
              </w:r>
              <w:r>
                <w:t>overheid</w:t>
              </w:r>
              <w:r w:rsidRPr="00C43CDD">
                <w:t xml:space="preserve">sschuld en het </w:t>
              </w:r>
              <w:r>
                <w:t>begrotings</w:t>
              </w:r>
              <w:r w:rsidRPr="00C43CDD">
                <w:t xml:space="preserve">tekort </w:t>
              </w:r>
              <w:r>
                <w:t xml:space="preserve">in de groep van EU-lidstaten waarvan de overheidsfinanciën op de middellange termijn zullen verslechteren (zie figuur 3). </w:t>
              </w:r>
            </w:p>
            <w:p w:rsidR="002318A8" w:rsidP="002318A8" w:rsidRDefault="002318A8" w14:paraId="776ECCEA" w14:textId="77777777">
              <w:pPr>
                <w:rPr>
                  <w:i/>
                  <w:iCs/>
                  <w:sz w:val="20"/>
                  <w:szCs w:val="20"/>
                </w:rPr>
              </w:pPr>
            </w:p>
            <w:p w:rsidRPr="00C43CDD" w:rsidR="002318A8" w:rsidP="002318A8" w:rsidRDefault="002318A8" w14:paraId="70B8159B" w14:textId="77777777">
              <w:r w:rsidRPr="00562F6F">
                <w:rPr>
                  <w:i/>
                  <w:iCs/>
                  <w:sz w:val="20"/>
                  <w:szCs w:val="20"/>
                </w:rPr>
                <w:t xml:space="preserve">Figuur </w:t>
              </w:r>
              <w:r>
                <w:rPr>
                  <w:i/>
                  <w:iCs/>
                  <w:sz w:val="20"/>
                  <w:szCs w:val="20"/>
                </w:rPr>
                <w:t>2</w:t>
              </w:r>
              <w:r w:rsidRPr="00562F6F">
                <w:rPr>
                  <w:i/>
                  <w:iCs/>
                  <w:sz w:val="20"/>
                  <w:szCs w:val="20"/>
                </w:rPr>
                <w:t>. EMU-saldo en EMU-schuld van</w:t>
              </w:r>
              <w:r>
                <w:rPr>
                  <w:i/>
                  <w:iCs/>
                  <w:sz w:val="20"/>
                  <w:szCs w:val="20"/>
                </w:rPr>
                <w:t xml:space="preserve"> EU-</w:t>
              </w:r>
              <w:r w:rsidRPr="00562F6F">
                <w:rPr>
                  <w:i/>
                  <w:iCs/>
                  <w:sz w:val="20"/>
                  <w:szCs w:val="20"/>
                </w:rPr>
                <w:t>lidstaten</w:t>
              </w:r>
              <w:r>
                <w:rPr>
                  <w:i/>
                  <w:iCs/>
                  <w:sz w:val="20"/>
                  <w:szCs w:val="20"/>
                </w:rPr>
                <w:t xml:space="preserve"> </w:t>
              </w:r>
              <w:r w:rsidRPr="00562F6F">
                <w:rPr>
                  <w:i/>
                  <w:iCs/>
                  <w:sz w:val="20"/>
                  <w:szCs w:val="20"/>
                </w:rPr>
                <w:t>in 2024</w:t>
              </w:r>
              <w:r>
                <w:rPr>
                  <w:i/>
                  <w:iCs/>
                  <w:sz w:val="20"/>
                  <w:szCs w:val="20"/>
                </w:rPr>
                <w:t>.</w:t>
              </w:r>
            </w:p>
            <w:p w:rsidR="002318A8" w:rsidP="002318A8" w:rsidRDefault="002318A8" w14:paraId="6121CB06" w14:textId="77777777">
              <w:pPr>
                <w:rPr>
                  <w:i/>
                  <w:iCs/>
                  <w:sz w:val="20"/>
                  <w:szCs w:val="20"/>
                </w:rPr>
              </w:pPr>
              <w:r>
                <w:rPr>
                  <w:noProof/>
                </w:rPr>
                <w:lastRenderedPageBreak/>
                <w:drawing>
                  <wp:inline distT="0" distB="0" distL="0" distR="0" wp14:anchorId="45398D49" wp14:editId="4BEE1258">
                    <wp:extent cx="4619236" cy="3209925"/>
                    <wp:effectExtent l="0" t="0" r="0" b="0"/>
                    <wp:docPr id="14688481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57752" name="Afbeelding 6273577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1303" cy="3218310"/>
                            </a:xfrm>
                            <a:prstGeom prst="rect">
                              <a:avLst/>
                            </a:prstGeom>
                          </pic:spPr>
                        </pic:pic>
                      </a:graphicData>
                    </a:graphic>
                  </wp:inline>
                </w:drawing>
              </w:r>
            </w:p>
            <w:p w:rsidRPr="003263A7" w:rsidR="002318A8" w:rsidP="002318A8" w:rsidRDefault="002318A8" w14:paraId="68769EC9" w14:textId="77777777">
              <w:pPr>
                <w:rPr>
                  <w:i/>
                  <w:iCs/>
                  <w:sz w:val="20"/>
                  <w:szCs w:val="20"/>
                </w:rPr>
              </w:pPr>
              <w:r w:rsidRPr="008C5BF1">
                <w:rPr>
                  <w:i/>
                  <w:iCs/>
                  <w:sz w:val="20"/>
                  <w:szCs w:val="20"/>
                </w:rPr>
                <w:t xml:space="preserve">Bron: European </w:t>
              </w:r>
              <w:proofErr w:type="spellStart"/>
              <w:r w:rsidRPr="008C5BF1">
                <w:rPr>
                  <w:i/>
                  <w:iCs/>
                  <w:sz w:val="20"/>
                  <w:szCs w:val="20"/>
                </w:rPr>
                <w:t>Fiscal</w:t>
              </w:r>
              <w:proofErr w:type="spellEnd"/>
              <w:r w:rsidRPr="008C5BF1">
                <w:rPr>
                  <w:i/>
                  <w:iCs/>
                  <w:sz w:val="20"/>
                  <w:szCs w:val="20"/>
                </w:rPr>
                <w:t xml:space="preserve"> Monitor 2025. </w:t>
              </w:r>
              <w:r w:rsidRPr="003263A7">
                <w:rPr>
                  <w:i/>
                  <w:iCs/>
                  <w:sz w:val="20"/>
                  <w:szCs w:val="20"/>
                </w:rPr>
                <w:t>De cijfers van Nederland zij</w:t>
              </w:r>
              <w:r>
                <w:rPr>
                  <w:i/>
                  <w:iCs/>
                  <w:sz w:val="20"/>
                  <w:szCs w:val="20"/>
                </w:rPr>
                <w:t xml:space="preserve">n gebaseerd op de budgettaire analyse Voorjaarsnota 2025 van het CPB. </w:t>
              </w:r>
            </w:p>
            <w:p w:rsidRPr="00562F6F" w:rsidR="002318A8" w:rsidP="002318A8" w:rsidRDefault="002318A8" w14:paraId="29B67DA8" w14:textId="77777777">
              <w:pPr>
                <w:rPr>
                  <w:i/>
                  <w:iCs/>
                  <w:sz w:val="20"/>
                  <w:szCs w:val="20"/>
                </w:rPr>
              </w:pPr>
            </w:p>
            <w:p w:rsidRPr="00562F6F" w:rsidR="002318A8" w:rsidP="002318A8" w:rsidRDefault="002318A8" w14:paraId="573D74AB" w14:textId="77777777">
              <w:pPr>
                <w:rPr>
                  <w:i/>
                  <w:iCs/>
                  <w:sz w:val="20"/>
                  <w:szCs w:val="20"/>
                </w:rPr>
              </w:pPr>
              <w:r w:rsidRPr="00562F6F">
                <w:rPr>
                  <w:i/>
                  <w:iCs/>
                  <w:sz w:val="20"/>
                  <w:szCs w:val="20"/>
                </w:rPr>
                <w:t xml:space="preserve">Figuur </w:t>
              </w:r>
              <w:r>
                <w:rPr>
                  <w:i/>
                  <w:iCs/>
                  <w:sz w:val="20"/>
                  <w:szCs w:val="20"/>
                </w:rPr>
                <w:t>3</w:t>
              </w:r>
              <w:r w:rsidRPr="00562F6F">
                <w:rPr>
                  <w:i/>
                  <w:iCs/>
                  <w:sz w:val="20"/>
                  <w:szCs w:val="20"/>
                </w:rPr>
                <w:t>. Verandering EMU-saldo en EMU-schuld tussen 2024 en 2028</w:t>
              </w:r>
            </w:p>
            <w:p w:rsidRPr="00C43CDD" w:rsidR="002318A8" w:rsidP="002318A8" w:rsidRDefault="002318A8" w14:paraId="6BB1B93B" w14:textId="77777777">
              <w:r>
                <w:rPr>
                  <w:noProof/>
                </w:rPr>
                <w:drawing>
                  <wp:inline distT="0" distB="0" distL="0" distR="0" wp14:anchorId="0742983B" wp14:editId="20D6D63E">
                    <wp:extent cx="4932000" cy="3583197"/>
                    <wp:effectExtent l="0" t="0" r="2540" b="0"/>
                    <wp:docPr id="14135038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69807" name="Afbeelding 1251969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2000" cy="3583197"/>
                            </a:xfrm>
                            <a:prstGeom prst="rect">
                              <a:avLst/>
                            </a:prstGeom>
                          </pic:spPr>
                        </pic:pic>
                      </a:graphicData>
                    </a:graphic>
                  </wp:inline>
                </w:drawing>
              </w:r>
            </w:p>
            <w:p w:rsidRPr="00562F6F" w:rsidR="002318A8" w:rsidP="002318A8" w:rsidRDefault="002318A8" w14:paraId="1C1C08F8" w14:textId="77777777">
              <w:pPr>
                <w:rPr>
                  <w:i/>
                  <w:iCs/>
                  <w:sz w:val="20"/>
                  <w:szCs w:val="20"/>
                </w:rPr>
              </w:pPr>
              <w:r w:rsidRPr="00562F6F">
                <w:rPr>
                  <w:i/>
                  <w:iCs/>
                  <w:sz w:val="20"/>
                  <w:szCs w:val="20"/>
                </w:rPr>
                <w:t xml:space="preserve">Bron: European </w:t>
              </w:r>
              <w:proofErr w:type="spellStart"/>
              <w:r w:rsidRPr="00562F6F">
                <w:rPr>
                  <w:i/>
                  <w:iCs/>
                  <w:sz w:val="20"/>
                  <w:szCs w:val="20"/>
                </w:rPr>
                <w:t>Fiscal</w:t>
              </w:r>
              <w:proofErr w:type="spellEnd"/>
              <w:r w:rsidRPr="00562F6F">
                <w:rPr>
                  <w:i/>
                  <w:iCs/>
                  <w:sz w:val="20"/>
                  <w:szCs w:val="20"/>
                </w:rPr>
                <w:t xml:space="preserve"> Monitor 2025. Een positieve waarde betekent een verbetering van het EMU-saldo of de EMU-schuld in 2028 t.o.v. 2024. </w:t>
              </w:r>
              <w:r w:rsidRPr="003263A7">
                <w:rPr>
                  <w:i/>
                  <w:iCs/>
                  <w:sz w:val="20"/>
                  <w:szCs w:val="20"/>
                </w:rPr>
                <w:t>De cijfers van Nederland zij</w:t>
              </w:r>
              <w:r>
                <w:rPr>
                  <w:i/>
                  <w:iCs/>
                  <w:sz w:val="20"/>
                  <w:szCs w:val="20"/>
                </w:rPr>
                <w:t xml:space="preserve">n gebaseerd op de budgettaire analyse Voorjaarsnota 2025 van het CPB. </w:t>
              </w:r>
            </w:p>
            <w:p w:rsidR="002318A8" w:rsidP="002318A8" w:rsidRDefault="002318A8" w14:paraId="7A90C15F" w14:textId="77777777"/>
            <w:p w:rsidR="002318A8" w:rsidP="002318A8" w:rsidRDefault="002318A8" w14:paraId="1E574AF5" w14:textId="77777777">
              <w:r w:rsidRPr="003263A7">
                <w:lastRenderedPageBreak/>
                <w:t xml:space="preserve">Zoals figuur </w:t>
              </w:r>
              <w:r>
                <w:t xml:space="preserve">3 </w:t>
              </w:r>
              <w:r w:rsidRPr="003263A7">
                <w:t>laat zien</w:t>
              </w:r>
              <w:r>
                <w:t>,</w:t>
              </w:r>
              <w:r w:rsidRPr="003263A7">
                <w:t xml:space="preserve"> is de ontwikkeling v</w:t>
              </w:r>
              <w:r>
                <w:t>an</w:t>
              </w:r>
              <w:r w:rsidRPr="003263A7">
                <w:t xml:space="preserve"> zowel het Nederlandse EMU-saldo als de EMU-schuld negatief. Op de middellange termijn loopt het overheidstekort gestaag op tot bijna 3% bbp: het tekort loopt op van </w:t>
              </w:r>
              <w:r>
                <w:t>2,0</w:t>
              </w:r>
              <w:r w:rsidRPr="003263A7">
                <w:t>% bbp in 2027 naar 2,9% bbp in 2033.</w:t>
              </w:r>
              <w:r w:rsidRPr="003263A7">
                <w:rPr>
                  <w:rStyle w:val="Voetnootmarkering"/>
                </w:rPr>
                <w:footnoteReference w:id="52"/>
              </w:r>
              <w:r>
                <w:t xml:space="preserve"> Vooral de uitgaven aan zorg, AOW, en rente stijgen op de middellange termijn. Demografische ontwikkelingen zijn een leidende factor in de stijging van de uitgaven: de collectieve zorguitgaven en de uitgaven aan sociale zekerheid (AOW) stijgen door vergrijzing (zie ook paragraaf 1.1). </w:t>
              </w:r>
            </w:p>
            <w:p w:rsidR="002318A8" w:rsidP="002318A8" w:rsidRDefault="002318A8" w14:paraId="15E34CC8" w14:textId="77777777"/>
            <w:p w:rsidR="002318A8" w:rsidP="002318A8" w:rsidRDefault="002318A8" w14:paraId="4C055BD6" w14:textId="77777777">
              <w:r>
                <w:t>Daarnaast is er sprake van een doorwerk-effect van het expansieve begrotingsbeleid van vorige kabinetten. Met name de voorgenomen intensiveringen onder Rutte IV waren fors. De voorgenomen cumulatieve intensivering van Rutte IV voor de periode 2022-2025 bedroeg bijna 10% van het bbp in 2022.</w:t>
              </w:r>
              <w:r>
                <w:rPr>
                  <w:rStyle w:val="Voetnootmarkering"/>
                </w:rPr>
                <w:footnoteReference w:id="53"/>
              </w:r>
              <w:r>
                <w:t xml:space="preserve"> De intensiveringen van vorige kabinetten in defensie en infrastructuur werken de komende jaren door in de overheidsfinanciën. In eerdere adviezen heeft de Afdeling erop gewezen dat Nederland hiermee dicht “langs de vangrail” stuurde.</w:t>
              </w:r>
              <w:r>
                <w:rPr>
                  <w:rStyle w:val="Voetnootmarkering"/>
                </w:rPr>
                <w:footnoteReference w:id="54"/>
              </w:r>
              <w:r>
                <w:t xml:space="preserve"> </w:t>
              </w:r>
            </w:p>
            <w:p w:rsidR="002318A8" w:rsidP="002318A8" w:rsidRDefault="002318A8" w14:paraId="04A11004" w14:textId="77777777"/>
            <w:p w:rsidR="002318A8" w:rsidP="002318A8" w:rsidRDefault="002318A8" w14:paraId="31F012D1" w14:textId="77777777">
              <w:r w:rsidRPr="00C43CDD">
                <w:t xml:space="preserve">Figuur </w:t>
              </w:r>
              <w:r>
                <w:t>4</w:t>
              </w:r>
              <w:r w:rsidRPr="00C43CDD">
                <w:t xml:space="preserve"> laat zien dat de netto overheidsuitgaven van Nederland boven het </w:t>
              </w:r>
              <w:proofErr w:type="spellStart"/>
              <w:r w:rsidRPr="00C43CDD">
                <w:t>referentiepad</w:t>
              </w:r>
              <w:proofErr w:type="spellEnd"/>
              <w:r w:rsidRPr="00C43CDD">
                <w:t xml:space="preserve"> van de Europese </w:t>
              </w:r>
              <w:r>
                <w:t>C</w:t>
              </w:r>
              <w:r w:rsidRPr="00C43CDD">
                <w:t>ommissie lig</w:t>
              </w:r>
              <w:r>
                <w:t>gen</w:t>
              </w:r>
              <w:r w:rsidRPr="00C43CDD">
                <w:t>.</w:t>
              </w:r>
              <w:r>
                <w:t xml:space="preserve"> Het Nederlandse </w:t>
              </w:r>
              <w:proofErr w:type="spellStart"/>
              <w:r>
                <w:t>uitgavenpad</w:t>
              </w:r>
              <w:proofErr w:type="spellEnd"/>
              <w:r>
                <w:t xml:space="preserve"> voldoet daarmee niet aan de vereisten van het Stabiliteit- en Groeipact (SGP) en is daarom door de Raad niet goedgekeurd. Het Europese </w:t>
              </w:r>
              <w:proofErr w:type="spellStart"/>
              <w:r w:rsidRPr="00C43CDD">
                <w:t>referentiepad</w:t>
              </w:r>
              <w:proofErr w:type="spellEnd"/>
              <w:r w:rsidRPr="00C43CDD">
                <w:t xml:space="preserve"> is gebaseerd op de potentiële groei van het bbp, de verwachte inflatie en de aanpassing van het EMU-saldo d</w:t>
              </w:r>
              <w:r>
                <w:t>ie</w:t>
              </w:r>
              <w:r w:rsidRPr="00C43CDD">
                <w:t xml:space="preserve"> noodzakelijk is om binnen een veilige marge</w:t>
              </w:r>
              <w:r>
                <w:t xml:space="preserve"> ten opzichte van de begrotingsnormen</w:t>
              </w:r>
              <w:r w:rsidRPr="00C43CDD">
                <w:t xml:space="preserve"> te blijven. Nederland is één van de weinige Europese landen die dit beeld laat zien.</w:t>
              </w:r>
              <w:r>
                <w:t xml:space="preserve"> </w:t>
              </w:r>
              <w:r w:rsidRPr="00C43CDD">
                <w:t>Estland laat ook een forse groei van de uitgaven zien, maar dit land heeft een lagere EMU-schuld dan Nederland.</w:t>
              </w:r>
              <w:r>
                <w:t xml:space="preserve"> </w:t>
              </w:r>
            </w:p>
            <w:p w:rsidR="002318A8" w:rsidP="002318A8" w:rsidRDefault="002318A8" w14:paraId="620E9997" w14:textId="77777777"/>
            <w:p w:rsidRPr="00562F6F" w:rsidR="002318A8" w:rsidP="002318A8" w:rsidRDefault="002318A8" w14:paraId="65272280" w14:textId="77777777">
              <w:pPr>
                <w:rPr>
                  <w:i/>
                  <w:iCs/>
                  <w:sz w:val="20"/>
                  <w:szCs w:val="20"/>
                </w:rPr>
              </w:pPr>
              <w:r w:rsidRPr="00562F6F">
                <w:rPr>
                  <w:i/>
                  <w:iCs/>
                  <w:sz w:val="20"/>
                  <w:szCs w:val="20"/>
                </w:rPr>
                <w:t xml:space="preserve">Figuur </w:t>
              </w:r>
              <w:r>
                <w:rPr>
                  <w:i/>
                  <w:iCs/>
                  <w:sz w:val="20"/>
                  <w:szCs w:val="20"/>
                </w:rPr>
                <w:t>4.</w:t>
              </w:r>
              <w:r w:rsidRPr="00562F6F">
                <w:rPr>
                  <w:i/>
                  <w:iCs/>
                  <w:sz w:val="20"/>
                  <w:szCs w:val="20"/>
                </w:rPr>
                <w:t xml:space="preserve"> Geplande en maximale groei netto overheidsuitgaven </w:t>
              </w:r>
            </w:p>
            <w:p w:rsidRPr="00C43CDD" w:rsidR="002318A8" w:rsidP="002318A8" w:rsidRDefault="002318A8" w14:paraId="296370E0" w14:textId="77777777">
              <w:r>
                <w:rPr>
                  <w:noProof/>
                </w:rPr>
                <w:lastRenderedPageBreak/>
                <w:drawing>
                  <wp:inline distT="0" distB="0" distL="0" distR="0" wp14:anchorId="6CE5D4F3" wp14:editId="4827529B">
                    <wp:extent cx="4932000" cy="3222215"/>
                    <wp:effectExtent l="0" t="0" r="2540" b="0"/>
                    <wp:docPr id="325994514"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61366" name="Afbeelding 1" descr="Afbeelding met tekst, schermopname, diagram, Perceel&#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2000" cy="3222215"/>
                            </a:xfrm>
                            <a:prstGeom prst="rect">
                              <a:avLst/>
                            </a:prstGeom>
                          </pic:spPr>
                        </pic:pic>
                      </a:graphicData>
                    </a:graphic>
                  </wp:inline>
                </w:drawing>
              </w:r>
            </w:p>
            <w:p w:rsidRPr="00562F6F" w:rsidR="002318A8" w:rsidP="002318A8" w:rsidRDefault="002318A8" w14:paraId="66EE1C30" w14:textId="77777777">
              <w:pPr>
                <w:rPr>
                  <w:i/>
                  <w:iCs/>
                  <w:sz w:val="20"/>
                  <w:szCs w:val="20"/>
                </w:rPr>
              </w:pPr>
              <w:r w:rsidRPr="00562F6F">
                <w:rPr>
                  <w:i/>
                  <w:iCs/>
                  <w:sz w:val="20"/>
                  <w:szCs w:val="20"/>
                </w:rPr>
                <w:t xml:space="preserve">Bron: European </w:t>
              </w:r>
              <w:proofErr w:type="spellStart"/>
              <w:r w:rsidRPr="00562F6F">
                <w:rPr>
                  <w:i/>
                  <w:iCs/>
                  <w:sz w:val="20"/>
                  <w:szCs w:val="20"/>
                </w:rPr>
                <w:t>Fiscal</w:t>
              </w:r>
              <w:proofErr w:type="spellEnd"/>
              <w:r w:rsidRPr="00562F6F">
                <w:rPr>
                  <w:i/>
                  <w:iCs/>
                  <w:sz w:val="20"/>
                  <w:szCs w:val="20"/>
                </w:rPr>
                <w:t xml:space="preserve"> Monitor 2025. </w:t>
              </w:r>
              <w:r w:rsidRPr="003263A7">
                <w:rPr>
                  <w:i/>
                  <w:iCs/>
                  <w:sz w:val="20"/>
                  <w:szCs w:val="20"/>
                </w:rPr>
                <w:t>De cijfers van Nederland zij</w:t>
              </w:r>
              <w:r>
                <w:rPr>
                  <w:i/>
                  <w:iCs/>
                  <w:sz w:val="20"/>
                  <w:szCs w:val="20"/>
                </w:rPr>
                <w:t xml:space="preserve">n gebaseerd op de budgettaire analyse Voorjaarsnota 2025 van het CPB. </w:t>
              </w:r>
            </w:p>
            <w:p w:rsidR="002318A8" w:rsidP="002318A8" w:rsidRDefault="002318A8" w14:paraId="57BC3CF8" w14:textId="77777777"/>
            <w:p w:rsidR="002318A8" w:rsidP="002318A8" w:rsidRDefault="002318A8" w14:paraId="6B7BE6A2" w14:textId="77777777">
              <w:r w:rsidRPr="00980C20">
                <w:t xml:space="preserve">Hoewel het </w:t>
              </w:r>
              <w:r>
                <w:t xml:space="preserve">huidige </w:t>
              </w:r>
              <w:r w:rsidRPr="00980C20">
                <w:t xml:space="preserve">kabinet stappen </w:t>
              </w:r>
              <w:r>
                <w:t>heeft gezet</w:t>
              </w:r>
              <w:r w:rsidRPr="00980C20">
                <w:t xml:space="preserve"> om de overheidsfinanciën te beheersen, is het voorgenomen beleid niet voldoende om de overheidsfinanciën op de middellange termijn binnen de Europese en nationale grenzen te houden</w:t>
              </w:r>
              <w:r>
                <w:t xml:space="preserve">. </w:t>
              </w:r>
            </w:p>
            <w:p w:rsidR="002318A8" w:rsidP="002318A8" w:rsidRDefault="002318A8" w14:paraId="0B4BCE50" w14:textId="77777777"/>
            <w:p w:rsidR="002318A8" w:rsidP="002318A8" w:rsidRDefault="002318A8" w14:paraId="76369778" w14:textId="77777777">
              <w:r w:rsidRPr="00C43CDD">
                <w:t>Nederland</w:t>
              </w:r>
              <w:r>
                <w:t xml:space="preserve"> heeft</w:t>
              </w:r>
              <w:r w:rsidRPr="00C43CDD">
                <w:t xml:space="preserve"> </w:t>
              </w:r>
              <w:r>
                <w:t>in zijn budgettair-structureel plan weliswaar voorstellen</w:t>
              </w:r>
              <w:r w:rsidRPr="00C43CDD">
                <w:t xml:space="preserve"> ingediend voor structurele hervormingen en intensiveringen, maar deze zijn over het algemeen beperkt in omvang</w:t>
              </w:r>
              <w:r>
                <w:t xml:space="preserve"> </w:t>
              </w:r>
              <w:r w:rsidRPr="00C43CDD">
                <w:t xml:space="preserve">en het effect op de netto-uitgaven is </w:t>
              </w:r>
              <w:r>
                <w:t xml:space="preserve">niet erg </w:t>
              </w:r>
              <w:r w:rsidRPr="00C43CDD">
                <w:t>concreet uitgewerkt.</w:t>
              </w:r>
              <w:r>
                <w:t xml:space="preserve"> Ook bestaat er voor wat betreft de hervormingen en investeringen in grotere mate overlap tussen het Herstel- en Veerkrachtplan ingediend door het vorige kabinet en het budgettair-structureel plan van dit kabinet.</w:t>
              </w:r>
              <w:r>
                <w:rPr>
                  <w:rStyle w:val="Voetnootmarkering"/>
                </w:rPr>
                <w:footnoteReference w:id="55"/>
              </w:r>
              <w:r>
                <w:t xml:space="preserve"> Dit suggereert dat de opgevoerde maatregelen geen nieuw effect op de overheidsfinanciën zullen hebben. Er zijn ook geen maatregelen ingediend om de ontwikkelingen op lange termijn (demografische ontwikkelingen, stijging uitgaven sociale zekerheid, zorg en klimaat) bij te sturen.</w:t>
              </w:r>
              <w:r>
                <w:rPr>
                  <w:rStyle w:val="Voetnootmarkering"/>
                </w:rPr>
                <w:footnoteReference w:id="56"/>
              </w:r>
              <w:r>
                <w:t xml:space="preserve"> Dit draagt bij aan het relatief ongunstige beeld van Nederland ten opzichte van de andere landen die onder de Europese begrotingsregels vallen. </w:t>
              </w:r>
            </w:p>
            <w:p w:rsidR="002318A8" w:rsidP="002318A8" w:rsidRDefault="002318A8" w14:paraId="275DD094" w14:textId="77777777"/>
            <w:p w:rsidR="002318A8" w:rsidP="002318A8" w:rsidRDefault="002318A8" w14:paraId="55178C84" w14:textId="77777777">
              <w:r w:rsidRPr="00736303">
                <w:t>Andere l</w:t>
              </w:r>
              <w:r>
                <w:t>idstaten</w:t>
              </w:r>
              <w:r w:rsidRPr="00736303">
                <w:t xml:space="preserve"> zoals Frankrijk en Italië hebben wel </w:t>
              </w:r>
              <w:r>
                <w:t>structurele hervormingen en investeringen in hun budgettair-structureel p</w:t>
              </w:r>
              <w:r w:rsidRPr="00736303">
                <w:t>lannen aangekondigd</w:t>
              </w:r>
              <w:r>
                <w:t xml:space="preserve"> die een voldoende effect hebben op de overheidsfinanciën om op de middellange termijn </w:t>
              </w:r>
              <w:r>
                <w:lastRenderedPageBreak/>
                <w:t xml:space="preserve">aan de vereisten van het SGP te voldoen. Dit betreft weliswaar ex-ante voorstellen, maar het toont bereidheid van lidstaten om hervormingen door te voeren, waar ze te zijner tijd aan gehouden kunnen worden. Ook toont dit nationaal eigenaarschap van de Europese begrotingsregels. Het moet overigens ex-post en in de jaarlijkse monitoring en handhaving van de Europese begrotingsregels blijken of deze maatregelen ook daadwerkelijk worden gerealiseerd. </w:t>
              </w:r>
            </w:p>
            <w:p w:rsidR="002318A8" w:rsidP="002318A8" w:rsidRDefault="002318A8" w14:paraId="03767A20" w14:textId="77777777"/>
            <w:p w:rsidR="002318A8" w:rsidP="002318A8" w:rsidRDefault="002318A8" w14:paraId="7337CCC1" w14:textId="77777777">
              <w:r w:rsidRPr="00AB3D44">
                <w:t>Het S</w:t>
              </w:r>
              <w:r>
                <w:t xml:space="preserve">tabiliteit- en Groeipact heeft, </w:t>
              </w:r>
              <w:r w:rsidRPr="00AB3D44">
                <w:t xml:space="preserve">als onderdeel van de Economische en Monetaire Unie (EMU), als wezenlijk doel de houdbaarheid van overheidsfinanciën, ook op de langere termijn, te waarborgen. Economische groei van en convergentie in de eurozone is het andere wezenlijke doel. </w:t>
              </w:r>
              <w:r>
                <w:t>Centraal i</w:t>
              </w:r>
              <w:r w:rsidRPr="00AB3D44">
                <w:t>n het nieuw</w:t>
              </w:r>
              <w:r>
                <w:t xml:space="preserve">e </w:t>
              </w:r>
              <w:r w:rsidRPr="00AB3D44">
                <w:t>raamwerk staat een focus op de middellange termijn</w:t>
              </w:r>
              <w:r>
                <w:t xml:space="preserve">. Ook het versterken van het </w:t>
              </w:r>
              <w:r w:rsidRPr="00AB3D44">
                <w:t>nationaal eigenaarschap bij toepassing van de Europese begrotingsregels</w:t>
              </w:r>
              <w:r>
                <w:t xml:space="preserve"> </w:t>
              </w:r>
              <w:r w:rsidRPr="00AB3D44">
                <w:t>en het versterken van de naleving van de regels</w:t>
              </w:r>
              <w:r>
                <w:t xml:space="preserve"> zijn belangrijk. </w:t>
              </w:r>
            </w:p>
            <w:p w:rsidR="002318A8" w:rsidP="002318A8" w:rsidRDefault="002318A8" w14:paraId="3EB6EB9E" w14:textId="77777777"/>
            <w:p w:rsidR="002318A8" w:rsidP="002318A8" w:rsidRDefault="002318A8" w14:paraId="0A79EEA2" w14:textId="77777777">
              <w:r>
                <w:t xml:space="preserve">Het </w:t>
              </w:r>
              <w:proofErr w:type="spellStart"/>
              <w:r>
                <w:t>uitgavenpad</w:t>
              </w:r>
              <w:proofErr w:type="spellEnd"/>
              <w:r>
                <w:t xml:space="preserve"> gaat als indicator van de nieuwe Europese begrotingsregels </w:t>
              </w:r>
              <w:r w:rsidRPr="00C43CDD">
                <w:t>uit van de netto</w:t>
              </w:r>
              <w:r>
                <w:t>-</w:t>
              </w:r>
              <w:r w:rsidRPr="00C43CDD">
                <w:t>uitgaven van de overheid</w:t>
              </w:r>
              <w:r>
                <w:t xml:space="preserve">. Het begrenst daarmee niet de </w:t>
              </w:r>
              <w:r w:rsidRPr="00C43CDD">
                <w:t xml:space="preserve">omvang van de overheid en de lastendruk. Een hogere groei dan het voorgestelde </w:t>
              </w:r>
              <w:proofErr w:type="spellStart"/>
              <w:r w:rsidRPr="00C43CDD">
                <w:t>uitgavenpad</w:t>
              </w:r>
              <w:proofErr w:type="spellEnd"/>
              <w:r w:rsidRPr="00C43CDD">
                <w:t xml:space="preserve"> betekent niet dat de overheidsplannen op het gebied van belastingen en uitgaven onmiddellijk moeten worden bijgesteld. Nederland bevindt zich op dit moment immers nog onder de referentiewaardes van het overheidstekort en de overheidsschuld</w:t>
              </w:r>
              <w:r>
                <w:t xml:space="preserve"> en voldoet daarmee aan de eisen van de correctieve arm. </w:t>
              </w:r>
            </w:p>
            <w:p w:rsidR="002318A8" w:rsidP="002318A8" w:rsidRDefault="002318A8" w14:paraId="02C4755A" w14:textId="77777777"/>
            <w:p w:rsidR="002318A8" w:rsidP="002318A8" w:rsidRDefault="002318A8" w14:paraId="45D6AF86" w14:textId="77777777">
              <w:r w:rsidRPr="00C43CDD">
                <w:t>We</w:t>
              </w:r>
              <w:r>
                <w:t xml:space="preserve">l is de afstand ten opzichte van de 3%-tekortnorm in de periode 2025-2028 minder dan 1%-punt, terwijl de </w:t>
              </w:r>
              <w:proofErr w:type="spellStart"/>
              <w:r>
                <w:t>onderuitputting</w:t>
              </w:r>
              <w:proofErr w:type="spellEnd"/>
              <w:r>
                <w:t xml:space="preserve"> naar verwachting in de jaren na 2029 tot besteding zal komen en de uitgavengroei voor de zorg en de sociale zekerheid doorzet. In </w:t>
              </w:r>
              <w:r w:rsidRPr="00C43CDD">
                <w:t xml:space="preserve">de toekomst zal er dus minder ruimte zijn om schokken op te vangen, </w:t>
              </w:r>
              <w:r>
                <w:t xml:space="preserve">en kunnen de automatische stabilisatoren van de begroting minder goed hun werk doen. </w:t>
              </w:r>
              <w:r w:rsidRPr="00BF42EC">
                <w:t xml:space="preserve">Het handhaven van voldoende marge in het begrotingssaldo respectievelijk het bereiken van een hoger groeipad blijven ook daarom van belang. </w:t>
              </w:r>
              <w:r>
                <w:t xml:space="preserve">In dat licht is het de vraag in hoeverre de voorgenomen hervormingen en investeringen in het budgettair-structureel plan van het kabinet voldoende de toekomstige structurele uitdagingen adresseren. </w:t>
              </w:r>
              <w:r w:rsidRPr="00EE39FF">
                <w:t>Structurele hervormingen zijn van belang voor het toekomstbestendig houden van Nederland.</w:t>
              </w:r>
              <w:r>
                <w:rPr>
                  <w:rStyle w:val="Voetnootmarkering"/>
                </w:rPr>
                <w:footnoteReference w:id="57"/>
              </w:r>
              <w:r>
                <w:t xml:space="preserve"> Hier heeft de Afdeling ook eerder aandacht voor gevraagd.</w:t>
              </w:r>
              <w:r>
                <w:rPr>
                  <w:rStyle w:val="Voetnootmarkering"/>
                </w:rPr>
                <w:footnoteReference w:id="58"/>
              </w:r>
              <w:r>
                <w:t xml:space="preserve"> </w:t>
              </w:r>
            </w:p>
            <w:p w:rsidR="002318A8" w:rsidP="002318A8" w:rsidRDefault="002318A8" w14:paraId="58187981" w14:textId="77777777"/>
            <w:p w:rsidR="002318A8" w:rsidP="002318A8" w:rsidRDefault="002318A8" w14:paraId="3DFA21D4" w14:textId="77777777">
              <w:r w:rsidRPr="0043601D">
                <w:t xml:space="preserve">In dat licht vallen ook de budgettaire keuzes gemaakt in de Voorjaarsnota 2025 op. De budgettaire keuzes laten zien dat er, uitgezonderd het extra geld voor defensie, nauwelijks sprake is van extra uitgaven voor overheidsinvesteringen. Extra budget voor asielopvang en een hogere huurtoeslag zijn consumptieve uitgaven en inkomensoverdrachten. Dit </w:t>
              </w:r>
              <w:r>
                <w:t xml:space="preserve">past </w:t>
              </w:r>
              <w:r w:rsidRPr="0043601D">
                <w:t xml:space="preserve">in een trend van de afgelopen jaren </w:t>
              </w:r>
              <w:r w:rsidRPr="0043601D">
                <w:lastRenderedPageBreak/>
                <w:t>waarbij reële overheidsconsumptie hoger ligt dan de overheidsinvesteringen.</w:t>
              </w:r>
              <w:r w:rsidRPr="0043601D">
                <w:rPr>
                  <w:rStyle w:val="Voetnootmarkering"/>
                </w:rPr>
                <w:footnoteReference w:id="59"/>
              </w:r>
              <w:r w:rsidRPr="0043601D">
                <w:t xml:space="preserve"> De uitgaven aan zorg en sociale zekerheid zullen, gezien de demografische ontwikkelingen, sterk toenemen, terwijl de investeringen in</w:t>
              </w:r>
              <w:r>
                <w:t xml:space="preserve"> bijvoorbeeld</w:t>
              </w:r>
              <w:r w:rsidRPr="0043601D">
                <w:t xml:space="preserve"> infrastructuur amper toenemen.</w:t>
              </w:r>
              <w:r>
                <w:t xml:space="preserve"> </w:t>
              </w:r>
            </w:p>
            <w:p w:rsidR="002318A8" w:rsidP="002318A8" w:rsidRDefault="002318A8" w14:paraId="3FF0A54C" w14:textId="77777777"/>
            <w:p w:rsidR="002318A8" w:rsidP="002318A8" w:rsidRDefault="002318A8" w14:paraId="0E0221F0" w14:textId="77777777">
              <w:r>
                <w:t>In de CEP-raming 2025 nemen de investeringen in infrastructuur weliswaar toe van 1,1% bbp in 2025 naar 1,4% bbp in 2033 en die van defensie volgens het CPB van 1,5% bbp naar 1,7% bbp, maar in dezelfde periode nemen de zorguitgaven toe van 9,4% bbp naar 10,9% bbp en die van sociale zekerheid van 12,3% bbp naar 13,1% bbp.</w:t>
              </w:r>
              <w:r>
                <w:rPr>
                  <w:rStyle w:val="Voetnootmarkering"/>
                </w:rPr>
                <w:footnoteReference w:id="60"/>
              </w:r>
              <w:r>
                <w:t xml:space="preserve"> Dit komt overeen met het beeld uit de Voorjaarsnota 2025, waarin de begroting van Infrastructuur en Waterstaat er tussen 2025 en 2030 gerekend in miljard euro minder toeneemt dan die van Zorg en Sociale Zekerheid.</w:t>
              </w:r>
              <w:r w:rsidRPr="0043601D">
                <w:t xml:space="preserve"> De publieke investeringsimpuls die nodig is om aan de maatschappelijke ambities voor de toekomst (zorg, klimaat, </w:t>
              </w:r>
              <w:r>
                <w:t xml:space="preserve">onderwijs, </w:t>
              </w:r>
              <w:r w:rsidRPr="0043601D">
                <w:t xml:space="preserve">wonen, infrastructuur) te voldoen, </w:t>
              </w:r>
              <w:r>
                <w:t>raken</w:t>
              </w:r>
              <w:r w:rsidRPr="0043601D">
                <w:t xml:space="preserve"> hiermee verder uit beeld.</w:t>
              </w:r>
              <w:r>
                <w:t xml:space="preserve"> </w:t>
              </w:r>
            </w:p>
            <w:p w:rsidR="002318A8" w:rsidP="002318A8" w:rsidRDefault="002318A8" w14:paraId="02DCB90D" w14:textId="77777777">
              <w:pPr>
                <w:rPr>
                  <w:b/>
                  <w:bCs/>
                </w:rPr>
              </w:pPr>
            </w:p>
            <w:p w:rsidRPr="009020D3" w:rsidR="002318A8" w:rsidP="004C398A" w:rsidRDefault="002318A8" w14:paraId="68B3D86D" w14:textId="659063F2">
              <w:pPr>
                <w:pStyle w:val="Lijstalinea"/>
                <w:numPr>
                  <w:ilvl w:val="0"/>
                  <w:numId w:val="3"/>
                </w:numPr>
                <w:ind w:left="0" w:firstLine="0"/>
              </w:pPr>
              <w:r w:rsidRPr="009020D3">
                <w:rPr>
                  <w:u w:val="single"/>
                </w:rPr>
                <w:t xml:space="preserve">Toets aan de </w:t>
              </w:r>
              <w:r>
                <w:rPr>
                  <w:u w:val="single"/>
                </w:rPr>
                <w:t xml:space="preserve">nationale </w:t>
              </w:r>
              <w:r w:rsidRPr="009020D3">
                <w:rPr>
                  <w:u w:val="single"/>
                </w:rPr>
                <w:t xml:space="preserve">begrotingsregels </w:t>
              </w:r>
            </w:p>
            <w:p w:rsidR="002318A8" w:rsidP="002318A8" w:rsidRDefault="002318A8" w14:paraId="5682A9FC" w14:textId="77777777"/>
            <w:p w:rsidR="002318A8" w:rsidP="004C398A" w:rsidRDefault="002318A8" w14:paraId="6DC017F6" w14:textId="77777777">
              <w:pPr>
                <w:rPr>
                  <w:i/>
                  <w:iCs/>
                </w:rPr>
              </w:pPr>
              <w:r>
                <w:t xml:space="preserve">3.1 </w:t>
              </w:r>
              <w:r>
                <w:tab/>
              </w:r>
              <w:r>
                <w:rPr>
                  <w:i/>
                  <w:iCs/>
                </w:rPr>
                <w:t xml:space="preserve">Begrotingsproces </w:t>
              </w:r>
            </w:p>
            <w:p w:rsidR="002318A8" w:rsidP="002318A8" w:rsidRDefault="002318A8" w14:paraId="096DA445" w14:textId="77777777">
              <w:r>
                <w:t>Sinds de herziening van het begrotingsproces presenteert de Voorjaarsnota niet langer alleen de mutaties in de begrotingen van het lopende jaar ten opzichte van de Miljoenennota, maar bevat deze de hoofdlijnen van de besluitvorming voor de begroting van 2026 en schetst het een meerjarig beeld over zowel de uitgaven als de hoofdlijnen van de inkomsten.</w:t>
              </w:r>
              <w:r>
                <w:rPr>
                  <w:rStyle w:val="Voetnootmarkering"/>
                </w:rPr>
                <w:footnoteReference w:id="61"/>
              </w:r>
              <w:r>
                <w:t xml:space="preserve"> Hiermee wordt één integraal hoofdbesluitvormingsmoment in het voorjaar gekozen waarbij verschillende politieke wensen, problemen en mee- en tegenvallers integraal kunnen worden afgewogen. </w:t>
              </w:r>
            </w:p>
            <w:p w:rsidR="002318A8" w:rsidP="002318A8" w:rsidRDefault="002318A8" w14:paraId="4E4399BF" w14:textId="77777777"/>
            <w:p w:rsidR="002318A8" w:rsidP="002318A8" w:rsidRDefault="002318A8" w14:paraId="126E1473" w14:textId="77777777">
              <w:r>
                <w:t>Ook dit jaar wordt de ontwikkeling van de Voorjaarsnota “nieuwe stijl” voortgezet. De eerste Voorjaarsnota van het kabinet Schoof presenteert een update van de begroting van 2025 en geeft een meerjarige doorkijk naar de hoofdlijnen van de uitgaven en inkomsten. Het presenteren van de meerjarige reeksen helpt het parlement om eerder inzicht te krijgen in de voorgenomen besluitvorming. Het wordt hiermee beter in staat gesteld het parlementair budgetrecht uit te oefenen. Ook bevat de Voorjaarsnota inmiddels een bredere duiding van het economisch beeld ter inleiding, zoals ook in de Miljoenennota gebruikelijk is. De Voorjaarsnota ontwikkelt zich hiermee in toenemende mate tot een volwaardig instrument naast de Miljoenennota voor budgettaire besluitvorming en parlementaire controle.</w:t>
              </w:r>
            </w:p>
            <w:p w:rsidR="002318A8" w:rsidP="002318A8" w:rsidRDefault="002318A8" w14:paraId="24132E03" w14:textId="77777777"/>
            <w:p w:rsidR="002318A8" w:rsidP="002318A8" w:rsidRDefault="002318A8" w14:paraId="0ED8DF57" w14:textId="77777777">
              <w:r w:rsidRPr="001B5032">
                <w:t xml:space="preserve">De Afdeling heeft sinds de herziening van het begrotingsproces haar waardering geuit voor de aanpassingen die </w:t>
              </w:r>
              <w:r>
                <w:t xml:space="preserve">dit en eerdere </w:t>
              </w:r>
              <w:r w:rsidRPr="001B5032">
                <w:t>kabinet</w:t>
              </w:r>
              <w:r>
                <w:t>ten</w:t>
              </w:r>
              <w:r w:rsidRPr="001B5032">
                <w:t xml:space="preserve"> reeds he</w:t>
              </w:r>
              <w:r>
                <w:t>bben</w:t>
              </w:r>
              <w:r w:rsidRPr="001B5032">
                <w:t xml:space="preserve"> gedaan. </w:t>
              </w:r>
              <w:r w:rsidRPr="001B5032">
                <w:lastRenderedPageBreak/>
                <w:t>Tegelijkertijd constateerde de Afdeling meermaals dat de aanpassingen aan de Voorjaarsnota een goede stap zijn in de richting van een nieuw begrotingsproces, maar dat het proces nog niet is afgerond.</w:t>
              </w:r>
              <w:r>
                <w:rPr>
                  <w:rStyle w:val="Voetnootmarkering"/>
                </w:rPr>
                <w:footnoteReference w:id="62"/>
              </w:r>
              <w:r>
                <w:t xml:space="preserve"> Zo was er in zowel 2022 als 2023 geen sprake van een hoofdbesluitvormingsmoment in het voorjaar, omdat een deel van de budgettaire besluitvorming werd doorgeschoven naar de Miljoenennota. In 2024 werden er nieuwe stappen gezet richting ordentelijke voorjaarsbesluitvorming, zodat een doorrekening van de voorjaarsbesluitvorming door het CPB, en gelijktijdige verzending van alle relevante begrotingsstukken mogelijk werd. </w:t>
              </w:r>
            </w:p>
            <w:p w:rsidR="002318A8" w:rsidP="002318A8" w:rsidRDefault="002318A8" w14:paraId="30FCD390" w14:textId="77777777"/>
            <w:p w:rsidR="002318A8" w:rsidP="002318A8" w:rsidRDefault="002318A8" w14:paraId="6E4D15AC" w14:textId="77777777">
              <w:r>
                <w:t>Doordat dit jaar het moment van stilzetten van de besluitvorming later was dan gepland, is de Voorjaarsnota naar de Kamer gestuurd zonder de Europese jaarlijkse Voortgangsrapportage, een doorrekening van het CPB van de voorjaarsbesluitvorming en de onafhankelijke begrotingsrapportage van de Afdeling. Dit betekent dat een volledig overzicht voor de Kamer bij verzending van de Voorjaarsnota ontbreekt.</w:t>
              </w:r>
            </w:p>
            <w:p w:rsidR="002318A8" w:rsidP="002318A8" w:rsidRDefault="002318A8" w14:paraId="1E4569F0" w14:textId="77777777"/>
            <w:p w:rsidR="002318A8" w:rsidP="002318A8" w:rsidRDefault="002318A8" w14:paraId="67FDD8CD" w14:textId="77777777">
              <w:r>
                <w:t>In dat licht wijst de Afdeling erop dat alle – met de Voorjaarnota samenhangende – stukken tegelijkertijd toegezonden worden als de (uiterste) termijnen, net als voor de Prinsjesdagstukken, eenduidig wettelijk worden vastgelegd in de Comptabiliteitswet en/of de Wet Houdbare Overheidsfinanciën. Daarmee bestaat er duidelijkheid voor de politiek wanneer de besluitvorming afgerond moet zijn en is er ambtelijk voldoende tijd de besluitvorming te verwerken in de Voorjaarsnota en bijbehorende stukken.</w:t>
              </w:r>
            </w:p>
            <w:p w:rsidR="002318A8" w:rsidP="002318A8" w:rsidRDefault="002318A8" w14:paraId="10732EA8" w14:textId="77777777"/>
            <w:p w:rsidR="002318A8" w:rsidP="002318A8" w:rsidRDefault="002318A8" w14:paraId="2DD19203" w14:textId="77777777">
              <w:r>
                <w:t xml:space="preserve">Dergelijke momenten bestaan reeds, zoals gezegd, bij de augustusbesluitvorming: de deadline voor stilzetten besluitvorming is op 31 augustus, waarna het CPB de besluitvorming doorrekent, de ministeries de conceptbegrotingen kunnen opmaken en de Afdeling advisering van de Raad van State haar Miljoenennota-advies en begrotingsrapportage kan schrijven. Het vaste publicatiemoment is op de derde dinsdag van september, Prinsjesdag. Op deze dag worden alle stukken, gezamenlijk, naar het parlement verzonden. </w:t>
              </w:r>
            </w:p>
            <w:p w:rsidR="002318A8" w:rsidP="002318A8" w:rsidRDefault="002318A8" w14:paraId="5BDB52A8" w14:textId="77777777"/>
            <w:p w:rsidR="002318A8" w:rsidP="002318A8" w:rsidRDefault="002318A8" w14:paraId="07FEE182" w14:textId="77777777">
              <w:r>
                <w:t xml:space="preserve">De Afdeling </w:t>
              </w:r>
              <w:r w:rsidRPr="00D24CE6">
                <w:rPr>
                  <w:u w:val="single"/>
                </w:rPr>
                <w:t>adviseert</w:t>
              </w:r>
              <w:r>
                <w:t xml:space="preserve"> om een dergelijk proces in het voorjaar te “kopiëren” door een vast moment voor het stilzetten van de besluitvorming en een vast publicatiemoment voor de Voorjaarsnota te introduceren, en deze data wettelijk te verankeren. Dit komt de rust in het begrotingsproces, de inhoud en de kwaliteit van de besluitvorming en begrotingsinformatie ten goede. Hiertoe zal de Comptabiliteitswet en/of de Wet Houdbare Overheidsfinanciën aangepast worden omdat de datum voor verzenden van de Voorjaarsnota nu nog wettelijk is vastgelegd op 1 juni. </w:t>
              </w:r>
            </w:p>
            <w:p w:rsidR="002318A8" w:rsidP="002318A8" w:rsidRDefault="002318A8" w14:paraId="581DEFF9" w14:textId="77777777"/>
            <w:p w:rsidR="002318A8" w:rsidP="002318A8" w:rsidRDefault="002318A8" w14:paraId="0F8C02B2" w14:textId="77777777">
              <w:r>
                <w:t xml:space="preserve">Het verbeteren van het begrotingsproces in het voorjaar biedt ook ruimte om de nationale en Europese begrotingsstukken beter te integreren. De vervroeging van de Voorjaarsnota rust deels op de wens om beter aan te sluiten op het Europees </w:t>
              </w:r>
              <w:r>
                <w:lastRenderedPageBreak/>
                <w:t xml:space="preserve">Semester. Een vroege Voorjaarsnota geeft namelijk de gelegenheid om de uitkomst van de voorjaarsbesluitvorming te verwerken in de jaarlijkse Voortgangsrapportage die naar de Europese Commissie wordt verzonden op uiterlijk 30 april. De Voorjaarsnota verwijst nu niet naar de inhoud van de Voortgangsrapportage, zoals de ontwikkeling van het </w:t>
              </w:r>
              <w:proofErr w:type="spellStart"/>
              <w:r>
                <w:t>uitgavenpad</w:t>
              </w:r>
              <w:proofErr w:type="spellEnd"/>
              <w:r>
                <w:t xml:space="preserve"> of de ontwikkeling van de opgenomen hervormingen en investeringen. </w:t>
              </w:r>
            </w:p>
            <w:p w:rsidR="002318A8" w:rsidP="002318A8" w:rsidRDefault="002318A8" w14:paraId="095014F9" w14:textId="77777777"/>
            <w:p w:rsidRPr="006E294B" w:rsidR="002318A8" w:rsidP="002318A8" w:rsidRDefault="002318A8" w14:paraId="604151AC" w14:textId="77777777">
              <w:r>
                <w:t xml:space="preserve">Een betere verbinding tussen de nationale en Europese begrotingsstukken kan ervoor zorgen dat de Europese begrotingsstukken een belangrijkere rol krijgen. Dit kan zowel bijdragen aan de nationale doelen als aan de doelen van het SGP en de EMU. De Afdeling </w:t>
              </w:r>
              <w:r w:rsidRPr="0027748C">
                <w:rPr>
                  <w:u w:val="single"/>
                </w:rPr>
                <w:t>adviseert</w:t>
              </w:r>
              <w:r>
                <w:t xml:space="preserve"> om in de Voorjaarsnota standaard een paragraaf op te nemen over de aansluiting daarvan op het Europees Semester.</w:t>
              </w:r>
            </w:p>
            <w:p w:rsidRPr="00CA1D64" w:rsidR="002318A8" w:rsidP="002318A8" w:rsidRDefault="002318A8" w14:paraId="44E71CAF" w14:textId="77777777"/>
            <w:p w:rsidR="002318A8" w:rsidP="004C398A" w:rsidRDefault="002318A8" w14:paraId="7144404F" w14:textId="77777777">
              <w:pPr>
                <w:pStyle w:val="Lijstalinea"/>
                <w:numPr>
                  <w:ilvl w:val="1"/>
                  <w:numId w:val="3"/>
                </w:numPr>
                <w:ind w:left="0" w:firstLine="0"/>
                <w:rPr>
                  <w:i/>
                  <w:iCs/>
                </w:rPr>
              </w:pPr>
              <w:r w:rsidRPr="009020D3">
                <w:rPr>
                  <w:i/>
                  <w:iCs/>
                </w:rPr>
                <w:t xml:space="preserve">Toetsing aan de nationale begrotingsregels </w:t>
              </w:r>
            </w:p>
            <w:p w:rsidR="002318A8" w:rsidP="002318A8" w:rsidRDefault="002318A8" w14:paraId="349E8FF0" w14:textId="77777777">
              <w:r>
                <w:t xml:space="preserve">De nationale begrotingsregels vormen het toetsingskader waarop de Afdeling als onafhankelijke begrotingstoezichthouder de nationale begrotingstoetsing baseert. Het kabinet heeft in de Miljoenennota 2025 de begrotingsregels vastgelegd en aangegeven trendmatig begrotingsbeleid te zullen voeren. Voor de uitgavenkant is voor de kabinetsperiode een kader vastgesteld met een jaarlijks uitgavenplafond dat niet overschreden mag worden. </w:t>
              </w:r>
              <w:r w:rsidRPr="006A06F3">
                <w:t xml:space="preserve">Voor de inkomstenkant geldt een inkomstenkader met automatische stabilisatie: inkomstenmeevallers komen ten gunste van het overheidssaldo, inkomstentegenvallers belasten het overheidssaldo. </w:t>
              </w:r>
              <w:r>
                <w:t xml:space="preserve">Deze kaders worden geïndexeerd met de loon- en prijsontwikkeling en aangepast voor de werkloosheids- en </w:t>
              </w:r>
              <w:proofErr w:type="spellStart"/>
              <w:r>
                <w:t>bijstandsuitgaven</w:t>
              </w:r>
              <w:proofErr w:type="spellEnd"/>
              <w:r>
                <w:t xml:space="preserve"> die niet het gevolg zijn van beleidsmatige keuzes (zie paragraaf 1.3.). </w:t>
              </w:r>
            </w:p>
            <w:p w:rsidR="002318A8" w:rsidP="002318A8" w:rsidRDefault="002318A8" w14:paraId="4204CAD8" w14:textId="77777777"/>
            <w:p w:rsidR="002318A8" w:rsidP="002318A8" w:rsidRDefault="002318A8" w14:paraId="4CE6A672" w14:textId="77777777">
              <w:r>
                <w:t xml:space="preserve">Het vastgestelde uitgavenkader mag niet worden overschreden. Ministers moeten tegenvallers in principe opvangen binnen hun eigen begroting. Uitgaven kunnen lager zijn dan begroot; dit wordt </w:t>
              </w:r>
              <w:proofErr w:type="spellStart"/>
              <w:r>
                <w:t>onderuitputting</w:t>
              </w:r>
              <w:proofErr w:type="spellEnd"/>
              <w:r>
                <w:t xml:space="preserve"> genoemd. </w:t>
              </w:r>
              <w:proofErr w:type="spellStart"/>
              <w:r>
                <w:t>Onderuitputting</w:t>
              </w:r>
              <w:proofErr w:type="spellEnd"/>
              <w:r>
                <w:t xml:space="preserve"> kan gebruikt worden om tegenvallers elders op de begroting op te vangen of ten gunste komen van het EMU-saldo. </w:t>
              </w:r>
              <w:proofErr w:type="spellStart"/>
              <w:r>
                <w:t>Onderuitputting</w:t>
              </w:r>
              <w:proofErr w:type="spellEnd"/>
              <w:r>
                <w:t xml:space="preserve"> kan, wegens het incidentele karakter, in de meeste gevallen niet gebruikt worden voor nieuw beleid. Tegenvallers van zogeheten generale dossiers worden verdeeld over de gehele begroting.</w:t>
              </w:r>
              <w:r>
                <w:rPr>
                  <w:rStyle w:val="Voetnootmarkering"/>
                </w:rPr>
                <w:footnoteReference w:id="63"/>
              </w:r>
              <w:r>
                <w:t xml:space="preserve"> Voor zorguitgaven die binnen de zorgverzekeringswet vallen geldt een uitzondering: deze worden automatisch omgezet in een lastenverlichting via een verlaging van de premies. </w:t>
              </w:r>
            </w:p>
            <w:p w:rsidR="002318A8" w:rsidP="002318A8" w:rsidRDefault="002318A8" w14:paraId="478C456C" w14:textId="77777777">
              <w:pPr>
                <w:rPr>
                  <w:i/>
                  <w:iCs/>
                </w:rPr>
              </w:pPr>
            </w:p>
            <w:p w:rsidR="002318A8" w:rsidP="002318A8" w:rsidRDefault="002318A8" w14:paraId="6B500A30" w14:textId="77777777">
              <w:r>
                <w:t xml:space="preserve">Aan de inkomstenkant komen mee- of tegenvallers van de inkomsten die het gevolg zijn van economische schommelingen ten goede (of ten laste) van het EMU-saldo. Alleen de beleidsmatige component van de lasten wordt vastgelegd bij het begin van de kabinetsperiode. Daarna moeten beleidsveranderingen aan de inkomstenkant in principe gedekt worden met lastenverzwaringen. </w:t>
              </w:r>
            </w:p>
            <w:p w:rsidR="002318A8" w:rsidP="002318A8" w:rsidRDefault="002318A8" w14:paraId="78A3B7FD" w14:textId="77777777"/>
            <w:p w:rsidR="002318A8" w:rsidP="002318A8" w:rsidRDefault="002318A8" w14:paraId="3BD65C1F" w14:textId="77777777">
              <w:r>
                <w:lastRenderedPageBreak/>
                <w:t xml:space="preserve">De inkomsten- en uitgavenkant zijn in de begrotingsregels gescheiden. </w:t>
              </w:r>
              <w:r w:rsidRPr="0057484E">
                <w:t xml:space="preserve">Dit betekent dat meevallers aan de inkomstenkant niet gebruikt mogen worden voor extra uitgaven, maar ook dat inkomstentegenvallers niet gecompenseerd hoeven worden door bezuinigingen aan de uitgavenkant. Bovendien dienen tegenvallers aan de uitgavenkant te worden gecompenseerd binnen het uitgavenkader en mogen deze niet leiden tot nieuwe maatregelen aan de inkomstenkant. Daarmee wordt </w:t>
              </w:r>
              <w:r>
                <w:t xml:space="preserve">groter belang gehecht aan </w:t>
              </w:r>
              <w:r w:rsidRPr="0057484E">
                <w:t>automatische stabilisatie.</w:t>
              </w:r>
              <w:r>
                <w:t xml:space="preserve"> </w:t>
              </w:r>
            </w:p>
            <w:p w:rsidR="002318A8" w:rsidP="002318A8" w:rsidRDefault="002318A8" w14:paraId="2998EACD" w14:textId="77777777"/>
            <w:p w:rsidRPr="00417D79" w:rsidR="002318A8" w:rsidP="002318A8" w:rsidRDefault="002318A8" w14:paraId="6A7496A2" w14:textId="77777777">
              <w:pPr>
                <w:rPr>
                  <w:i/>
                  <w:iCs/>
                </w:rPr>
              </w:pPr>
              <w:r>
                <w:rPr>
                  <w:i/>
                  <w:iCs/>
                </w:rPr>
                <w:t xml:space="preserve">Uitkomst voorjaarsbesluitvorming </w:t>
              </w:r>
            </w:p>
            <w:p w:rsidR="002318A8" w:rsidP="002318A8" w:rsidRDefault="002318A8" w14:paraId="15C3AEBA" w14:textId="77777777">
              <w:r>
                <w:t>Door de maatregelen die het kabinet heeft genomen om de om de mee- en tegenvallers aan de inkomsten- en uitgavenkant integraal te wegen en van dekking te voorzien, hanteert het kabinet over het algemeen</w:t>
              </w:r>
              <w:r w:rsidRPr="00417D79">
                <w:rPr>
                  <w:i/>
                  <w:iCs/>
                </w:rPr>
                <w:t xml:space="preserve"> </w:t>
              </w:r>
              <w:r>
                <w:t xml:space="preserve">een trendmatig begrotingsbeleid. De opwaartse bijstelling van de economische groei uit de CEP-raming van het CPB leidt tot een hoger EMU-saldo, omdat de meevallende belasting- en premie-inkomsten in het saldo lopen. Ook dit is in lijn met het trendmatig begrotingsbeleid. </w:t>
              </w:r>
            </w:p>
            <w:p w:rsidR="002318A8" w:rsidP="002318A8" w:rsidRDefault="002318A8" w14:paraId="0F12E24D" w14:textId="77777777"/>
            <w:p w:rsidR="002318A8" w:rsidP="002318A8" w:rsidRDefault="002318A8" w14:paraId="62805772" w14:textId="77777777">
              <w:r>
                <w:t xml:space="preserve">Als de gehele periode 2024-2029 wordt beschouwd, zijn aan de uitgavenkant de ombuigingen en intensiveringen in de Voorjaarsnota 2025 ongeveer in evenwicht. Meer geld is beschikbaar voor onder anderen defensie, gemeentes, uitgaven voor asiel en verhoging van de huurtoeslag. Verder zijn er tegenvallers door hogere EU-afdrachten en uitgaven aan sociale zekerheid. Dit laatste komt vooral door hogere uitgaven aan de WIA. De tegenvallers en hogere uitgaven worden gedekt door het inzetten van aanvullende </w:t>
              </w:r>
              <w:proofErr w:type="spellStart"/>
              <w:r>
                <w:t>onderuitputting</w:t>
              </w:r>
              <w:proofErr w:type="spellEnd"/>
              <w:r>
                <w:t xml:space="preserve">, het inhouden van de prijsbijstelling en meevallers bij de zorguitgaven. Per saldo wordt ook omgebogen op </w:t>
              </w:r>
              <w:proofErr w:type="spellStart"/>
              <w:r>
                <w:t>kindgerelateerde</w:t>
              </w:r>
              <w:proofErr w:type="spellEnd"/>
              <w:r>
                <w:t xml:space="preserve"> maatregelen (schrappen bezuiniging kinderopvang, compensatie middengroep en flankerende beleid kinderopvang, latere ingangsdatum nieuw stelsel kinderopvang, korting </w:t>
              </w:r>
              <w:proofErr w:type="spellStart"/>
              <w:r>
                <w:t>kindgebonden</w:t>
              </w:r>
              <w:proofErr w:type="spellEnd"/>
              <w:r>
                <w:t xml:space="preserve"> budget). De voornemens </w:t>
              </w:r>
              <w:r w:rsidRPr="0035551A">
                <w:t xml:space="preserve">in de Voorjaarsnota </w:t>
              </w:r>
              <w:r>
                <w:t>voor infrastructuur hebben per saldo beperkte budgettaire effecten.</w:t>
              </w:r>
            </w:p>
            <w:p w:rsidR="002318A8" w:rsidP="002318A8" w:rsidRDefault="002318A8" w14:paraId="70A7A872" w14:textId="77777777"/>
            <w:p w:rsidR="002318A8" w:rsidP="002318A8" w:rsidRDefault="002318A8" w14:paraId="6AF61D2A" w14:textId="77777777">
              <w:r>
                <w:t xml:space="preserve">In de Voorjaarsnota is dekking gevonden voor het schrappen van de btw-verhoging op cultuur, media en sport. Dit is vooral bereikt door </w:t>
              </w:r>
              <w:r w:rsidRPr="00784489">
                <w:t xml:space="preserve">het beperkt </w:t>
              </w:r>
              <w:r>
                <w:t xml:space="preserve">aanpassen van de grenzen van de belastingschijven met </w:t>
              </w:r>
              <w:r w:rsidRPr="00784489">
                <w:t>de tabelcorrectiefactor</w:t>
              </w:r>
              <w:r>
                <w:t xml:space="preserve"> (inflatie). Dit leidt ertoe dat mensen meer loonbelasting betalen omdat een groter deel van hun loon in een hoger belastingtarief valt. Verder wordt de teruggaaf energiebelasting voor huishoudens iets verhoogd in de jaren 2026-2028. Voor het uitstel van de Wet Werkelijk Rendement is €2,4 mld. gereserveerd in 2027. Dit wordt gefinancierd door een verhoging van het forfait voor overige bezittingen en een verlaging van het heffingsvrij vermogen. </w:t>
              </w:r>
            </w:p>
            <w:p w:rsidR="002318A8" w:rsidP="002318A8" w:rsidRDefault="002318A8" w14:paraId="7EC9C8EB" w14:textId="77777777"/>
            <w:tbl>
              <w:tblPr>
                <w:tblW w:w="5000" w:type="pct"/>
                <w:tblCellMar>
                  <w:left w:w="70" w:type="dxa"/>
                  <w:right w:w="70" w:type="dxa"/>
                </w:tblCellMar>
                <w:tblLook w:val="04A0" w:firstRow="1" w:lastRow="0" w:firstColumn="1" w:lastColumn="0" w:noHBand="0" w:noVBand="1"/>
              </w:tblPr>
              <w:tblGrid>
                <w:gridCol w:w="5569"/>
                <w:gridCol w:w="767"/>
                <w:gridCol w:w="599"/>
                <w:gridCol w:w="600"/>
                <w:gridCol w:w="968"/>
              </w:tblGrid>
              <w:tr w:rsidRPr="00CB6844" w:rsidR="002318A8" w:rsidTr="00CE3CDC" w14:paraId="15BD9C71" w14:textId="77777777">
                <w:trPr>
                  <w:trHeight w:val="260"/>
                </w:trPr>
                <w:tc>
                  <w:tcPr>
                    <w:tcW w:w="4431" w:type="pct"/>
                    <w:gridSpan w:val="4"/>
                    <w:tcBorders>
                      <w:top w:val="nil"/>
                      <w:left w:val="nil"/>
                      <w:bottom w:val="single" w:color="auto" w:sz="12" w:space="0"/>
                      <w:right w:val="nil"/>
                    </w:tcBorders>
                    <w:shd w:val="clear" w:color="auto" w:fill="auto"/>
                    <w:noWrap/>
                    <w:vAlign w:val="bottom"/>
                    <w:hideMark/>
                  </w:tcPr>
                  <w:p w:rsidRPr="00CB6844" w:rsidR="002318A8" w:rsidRDefault="002318A8" w14:paraId="1E2DD888" w14:textId="77777777">
                    <w:pPr>
                      <w:rPr>
                        <w:rFonts w:cs="Arial"/>
                        <w:b/>
                        <w:bCs/>
                        <w:sz w:val="18"/>
                        <w:szCs w:val="18"/>
                      </w:rPr>
                    </w:pPr>
                    <w:r w:rsidRPr="00CB6844">
                      <w:rPr>
                        <w:rFonts w:cs="Arial"/>
                        <w:b/>
                        <w:bCs/>
                        <w:sz w:val="18"/>
                        <w:szCs w:val="18"/>
                      </w:rPr>
                      <w:t xml:space="preserve">Tabel </w:t>
                    </w:r>
                    <w:r>
                      <w:rPr>
                        <w:rFonts w:cs="Arial"/>
                        <w:b/>
                        <w:bCs/>
                        <w:sz w:val="18"/>
                        <w:szCs w:val="18"/>
                      </w:rPr>
                      <w:t>7:</w:t>
                    </w:r>
                    <w:r w:rsidRPr="00CB6844">
                      <w:rPr>
                        <w:rFonts w:cs="Arial"/>
                        <w:b/>
                        <w:bCs/>
                        <w:sz w:val="18"/>
                        <w:szCs w:val="18"/>
                      </w:rPr>
                      <w:t xml:space="preserve"> Maatregelen onder het uitgavenkader in Voorjaarsnota 2025</w:t>
                    </w:r>
                  </w:p>
                </w:tc>
                <w:tc>
                  <w:tcPr>
                    <w:tcW w:w="569" w:type="pct"/>
                    <w:tcBorders>
                      <w:top w:val="nil"/>
                      <w:left w:val="nil"/>
                      <w:bottom w:val="single" w:color="auto" w:sz="12" w:space="0"/>
                      <w:right w:val="nil"/>
                    </w:tcBorders>
                    <w:shd w:val="clear" w:color="auto" w:fill="auto"/>
                    <w:noWrap/>
                    <w:vAlign w:val="bottom"/>
                    <w:hideMark/>
                  </w:tcPr>
                  <w:p w:rsidRPr="00CB6844" w:rsidR="002318A8" w:rsidRDefault="002318A8" w14:paraId="5FD8A84E" w14:textId="77777777">
                    <w:pPr>
                      <w:rPr>
                        <w:rFonts w:cs="Arial"/>
                        <w:sz w:val="18"/>
                        <w:szCs w:val="18"/>
                      </w:rPr>
                    </w:pPr>
                    <w:r w:rsidRPr="00CB6844">
                      <w:rPr>
                        <w:rFonts w:cs="Arial"/>
                        <w:sz w:val="18"/>
                        <w:szCs w:val="18"/>
                      </w:rPr>
                      <w:t> </w:t>
                    </w:r>
                  </w:p>
                </w:tc>
              </w:tr>
              <w:tr w:rsidRPr="00CB6844" w:rsidR="002318A8" w:rsidTr="00CE3CDC" w14:paraId="7D96B3CC" w14:textId="77777777">
                <w:trPr>
                  <w:trHeight w:val="260"/>
                </w:trPr>
                <w:tc>
                  <w:tcPr>
                    <w:tcW w:w="3275" w:type="pct"/>
                    <w:tcBorders>
                      <w:top w:val="single" w:color="auto" w:sz="12" w:space="0"/>
                      <w:left w:val="nil"/>
                      <w:bottom w:val="single" w:color="auto" w:sz="12" w:space="0"/>
                      <w:right w:val="nil"/>
                    </w:tcBorders>
                    <w:shd w:val="clear" w:color="auto" w:fill="auto"/>
                    <w:noWrap/>
                    <w:vAlign w:val="bottom"/>
                    <w:hideMark/>
                  </w:tcPr>
                  <w:p w:rsidRPr="00CB6844" w:rsidR="002318A8" w:rsidRDefault="002318A8" w14:paraId="2627684E" w14:textId="77777777">
                    <w:pPr>
                      <w:rPr>
                        <w:rFonts w:cs="Arial"/>
                        <w:b/>
                        <w:bCs/>
                        <w:sz w:val="18"/>
                        <w:szCs w:val="18"/>
                      </w:rPr>
                    </w:pPr>
                    <w:r w:rsidRPr="00CB6844">
                      <w:rPr>
                        <w:rFonts w:cs="Arial"/>
                        <w:b/>
                        <w:bCs/>
                        <w:sz w:val="18"/>
                        <w:szCs w:val="18"/>
                      </w:rPr>
                      <w:t> </w:t>
                    </w:r>
                  </w:p>
                </w:tc>
                <w:tc>
                  <w:tcPr>
                    <w:tcW w:w="451"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50D9363A" w14:textId="77777777">
                    <w:pPr>
                      <w:jc w:val="right"/>
                      <w:rPr>
                        <w:rFonts w:cs="Arial"/>
                        <w:b/>
                        <w:bCs/>
                        <w:sz w:val="18"/>
                        <w:szCs w:val="18"/>
                      </w:rPr>
                    </w:pPr>
                    <w:r w:rsidRPr="00EF0DAB">
                      <w:rPr>
                        <w:rFonts w:cs="Arial"/>
                        <w:b/>
                        <w:bCs/>
                        <w:sz w:val="18"/>
                        <w:szCs w:val="18"/>
                      </w:rPr>
                      <w:t>2025</w:t>
                    </w:r>
                  </w:p>
                </w:tc>
                <w:tc>
                  <w:tcPr>
                    <w:tcW w:w="352"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38022A42" w14:textId="77777777">
                    <w:pPr>
                      <w:jc w:val="right"/>
                      <w:rPr>
                        <w:rFonts w:cs="Arial"/>
                        <w:b/>
                        <w:bCs/>
                        <w:sz w:val="18"/>
                        <w:szCs w:val="18"/>
                      </w:rPr>
                    </w:pPr>
                    <w:r w:rsidRPr="00EF0DAB">
                      <w:rPr>
                        <w:rFonts w:cs="Arial"/>
                        <w:b/>
                        <w:bCs/>
                        <w:sz w:val="18"/>
                        <w:szCs w:val="18"/>
                      </w:rPr>
                      <w:t>2026</w:t>
                    </w:r>
                  </w:p>
                </w:tc>
                <w:tc>
                  <w:tcPr>
                    <w:tcW w:w="352"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461C01FD" w14:textId="77777777">
                    <w:pPr>
                      <w:jc w:val="right"/>
                      <w:rPr>
                        <w:rFonts w:cs="Arial"/>
                        <w:b/>
                        <w:bCs/>
                        <w:sz w:val="18"/>
                        <w:szCs w:val="18"/>
                      </w:rPr>
                    </w:pPr>
                    <w:r w:rsidRPr="00EF0DAB">
                      <w:rPr>
                        <w:rFonts w:cs="Arial"/>
                        <w:b/>
                        <w:bCs/>
                        <w:sz w:val="18"/>
                        <w:szCs w:val="18"/>
                      </w:rPr>
                      <w:t>2027</w:t>
                    </w:r>
                  </w:p>
                </w:tc>
                <w:tc>
                  <w:tcPr>
                    <w:tcW w:w="569"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3B8522D9" w14:textId="77777777">
                    <w:pPr>
                      <w:jc w:val="right"/>
                      <w:rPr>
                        <w:rFonts w:cs="Arial"/>
                        <w:b/>
                        <w:bCs/>
                        <w:sz w:val="18"/>
                        <w:szCs w:val="18"/>
                      </w:rPr>
                    </w:pPr>
                    <w:r w:rsidRPr="00EF0DAB">
                      <w:rPr>
                        <w:rFonts w:cs="Arial"/>
                        <w:b/>
                        <w:bCs/>
                        <w:sz w:val="18"/>
                        <w:szCs w:val="18"/>
                      </w:rPr>
                      <w:t>2028</w:t>
                    </w:r>
                  </w:p>
                </w:tc>
              </w:tr>
              <w:tr w:rsidRPr="00CB6844" w:rsidR="002318A8" w:rsidTr="00CE3CDC" w14:paraId="79CBB9A6" w14:textId="77777777">
                <w:trPr>
                  <w:trHeight w:val="260"/>
                </w:trPr>
                <w:tc>
                  <w:tcPr>
                    <w:tcW w:w="3275" w:type="pct"/>
                    <w:tcBorders>
                      <w:top w:val="single" w:color="auto" w:sz="12" w:space="0"/>
                      <w:left w:val="nil"/>
                      <w:bottom w:val="nil"/>
                      <w:right w:val="nil"/>
                    </w:tcBorders>
                    <w:shd w:val="clear" w:color="auto" w:fill="auto"/>
                    <w:noWrap/>
                    <w:vAlign w:val="bottom"/>
                    <w:hideMark/>
                  </w:tcPr>
                  <w:p w:rsidRPr="00CB6844" w:rsidR="002318A8" w:rsidRDefault="002318A8" w14:paraId="197C9891" w14:textId="77777777">
                    <w:pPr>
                      <w:jc w:val="right"/>
                      <w:rPr>
                        <w:rFonts w:cs="Arial"/>
                        <w:sz w:val="18"/>
                        <w:szCs w:val="18"/>
                      </w:rPr>
                    </w:pPr>
                  </w:p>
                </w:tc>
                <w:tc>
                  <w:tcPr>
                    <w:tcW w:w="1725" w:type="pct"/>
                    <w:gridSpan w:val="4"/>
                    <w:tcBorders>
                      <w:top w:val="single" w:color="auto" w:sz="12" w:space="0"/>
                      <w:left w:val="nil"/>
                      <w:bottom w:val="nil"/>
                    </w:tcBorders>
                    <w:shd w:val="clear" w:color="auto" w:fill="auto"/>
                    <w:noWrap/>
                    <w:vAlign w:val="bottom"/>
                    <w:hideMark/>
                  </w:tcPr>
                  <w:p w:rsidRPr="00CB6844" w:rsidR="002318A8" w:rsidRDefault="002318A8" w14:paraId="5BF5A51A" w14:textId="77777777">
                    <w:pPr>
                      <w:rPr>
                        <w:rFonts w:ascii="Times New Roman" w:hAnsi="Times New Roman"/>
                        <w:sz w:val="20"/>
                        <w:szCs w:val="20"/>
                      </w:rPr>
                    </w:pPr>
                    <w:r w:rsidRPr="00CB6844">
                      <w:rPr>
                        <w:rFonts w:cs="Arial"/>
                        <w:sz w:val="18"/>
                        <w:szCs w:val="18"/>
                      </w:rPr>
                      <w:t>Mld</w:t>
                    </w:r>
                    <w:r>
                      <w:rPr>
                        <w:rFonts w:cs="Arial"/>
                        <w:sz w:val="18"/>
                        <w:szCs w:val="18"/>
                      </w:rPr>
                      <w:t>.</w:t>
                    </w:r>
                    <w:r w:rsidRPr="00CB6844">
                      <w:rPr>
                        <w:rFonts w:cs="Arial"/>
                        <w:sz w:val="18"/>
                        <w:szCs w:val="18"/>
                      </w:rPr>
                      <w:t xml:space="preserve"> euro</w:t>
                    </w:r>
                  </w:p>
                </w:tc>
              </w:tr>
              <w:tr w:rsidRPr="00CB6844" w:rsidR="002318A8" w:rsidTr="00CE3CDC" w14:paraId="71A23A0C"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179E0207" w14:textId="77777777">
                    <w:pPr>
                      <w:rPr>
                        <w:rFonts w:cs="Arial"/>
                        <w:i/>
                        <w:iCs/>
                        <w:sz w:val="18"/>
                        <w:szCs w:val="18"/>
                      </w:rPr>
                    </w:pPr>
                    <w:r w:rsidRPr="00CB6844">
                      <w:rPr>
                        <w:rFonts w:cs="Arial"/>
                        <w:i/>
                        <w:iCs/>
                        <w:sz w:val="18"/>
                        <w:szCs w:val="18"/>
                      </w:rPr>
                      <w:t>Generale dossiers</w:t>
                    </w:r>
                  </w:p>
                </w:tc>
                <w:tc>
                  <w:tcPr>
                    <w:tcW w:w="451" w:type="pct"/>
                    <w:tcBorders>
                      <w:top w:val="nil"/>
                      <w:left w:val="nil"/>
                      <w:bottom w:val="nil"/>
                      <w:right w:val="nil"/>
                    </w:tcBorders>
                    <w:shd w:val="clear" w:color="auto" w:fill="auto"/>
                    <w:noWrap/>
                    <w:vAlign w:val="bottom"/>
                    <w:hideMark/>
                  </w:tcPr>
                  <w:p w:rsidRPr="00CB6844" w:rsidR="002318A8" w:rsidRDefault="002318A8" w14:paraId="23C08F9A" w14:textId="77777777">
                    <w:pPr>
                      <w:jc w:val="right"/>
                      <w:rPr>
                        <w:rFonts w:cs="Arial"/>
                        <w:i/>
                        <w:iCs/>
                        <w:sz w:val="18"/>
                        <w:szCs w:val="18"/>
                      </w:rPr>
                    </w:pPr>
                    <w:r w:rsidRPr="00CB6844">
                      <w:rPr>
                        <w:rFonts w:cs="Arial"/>
                        <w:i/>
                        <w:iCs/>
                        <w:sz w:val="18"/>
                        <w:szCs w:val="18"/>
                      </w:rPr>
                      <w:t>0,6</w:t>
                    </w:r>
                  </w:p>
                </w:tc>
                <w:tc>
                  <w:tcPr>
                    <w:tcW w:w="352" w:type="pct"/>
                    <w:tcBorders>
                      <w:top w:val="nil"/>
                      <w:left w:val="nil"/>
                      <w:bottom w:val="nil"/>
                      <w:right w:val="nil"/>
                    </w:tcBorders>
                    <w:shd w:val="clear" w:color="auto" w:fill="auto"/>
                    <w:noWrap/>
                    <w:vAlign w:val="bottom"/>
                    <w:hideMark/>
                  </w:tcPr>
                  <w:p w:rsidRPr="00CB6844" w:rsidR="002318A8" w:rsidRDefault="002318A8" w14:paraId="2D51BE3E" w14:textId="77777777">
                    <w:pPr>
                      <w:jc w:val="right"/>
                      <w:rPr>
                        <w:rFonts w:cs="Arial"/>
                        <w:i/>
                        <w:iCs/>
                        <w:sz w:val="18"/>
                        <w:szCs w:val="18"/>
                      </w:rPr>
                    </w:pPr>
                    <w:r w:rsidRPr="00CB6844">
                      <w:rPr>
                        <w:rFonts w:cs="Arial"/>
                        <w:i/>
                        <w:iCs/>
                        <w:sz w:val="18"/>
                        <w:szCs w:val="18"/>
                      </w:rPr>
                      <w:t>1,2</w:t>
                    </w:r>
                  </w:p>
                </w:tc>
                <w:tc>
                  <w:tcPr>
                    <w:tcW w:w="352" w:type="pct"/>
                    <w:tcBorders>
                      <w:top w:val="nil"/>
                      <w:left w:val="nil"/>
                      <w:bottom w:val="nil"/>
                      <w:right w:val="nil"/>
                    </w:tcBorders>
                    <w:shd w:val="clear" w:color="auto" w:fill="auto"/>
                    <w:noWrap/>
                    <w:vAlign w:val="bottom"/>
                    <w:hideMark/>
                  </w:tcPr>
                  <w:p w:rsidRPr="00CB6844" w:rsidR="002318A8" w:rsidRDefault="002318A8" w14:paraId="33FC2C50" w14:textId="77777777">
                    <w:pPr>
                      <w:jc w:val="right"/>
                      <w:rPr>
                        <w:rFonts w:cs="Arial"/>
                        <w:i/>
                        <w:iCs/>
                        <w:sz w:val="18"/>
                        <w:szCs w:val="18"/>
                      </w:rPr>
                    </w:pPr>
                    <w:r w:rsidRPr="00CB6844">
                      <w:rPr>
                        <w:rFonts w:cs="Arial"/>
                        <w:i/>
                        <w:iCs/>
                        <w:sz w:val="18"/>
                        <w:szCs w:val="18"/>
                      </w:rPr>
                      <w:t>0,8</w:t>
                    </w:r>
                  </w:p>
                </w:tc>
                <w:tc>
                  <w:tcPr>
                    <w:tcW w:w="569" w:type="pct"/>
                    <w:tcBorders>
                      <w:top w:val="nil"/>
                      <w:left w:val="nil"/>
                      <w:bottom w:val="nil"/>
                      <w:right w:val="nil"/>
                    </w:tcBorders>
                    <w:shd w:val="clear" w:color="auto" w:fill="auto"/>
                    <w:noWrap/>
                    <w:vAlign w:val="bottom"/>
                    <w:hideMark/>
                  </w:tcPr>
                  <w:p w:rsidRPr="00CB6844" w:rsidR="002318A8" w:rsidRDefault="002318A8" w14:paraId="6C3CC018" w14:textId="77777777">
                    <w:pPr>
                      <w:jc w:val="right"/>
                      <w:rPr>
                        <w:rFonts w:cs="Arial"/>
                        <w:i/>
                        <w:iCs/>
                        <w:sz w:val="18"/>
                        <w:szCs w:val="18"/>
                      </w:rPr>
                    </w:pPr>
                    <w:r w:rsidRPr="00CB6844">
                      <w:rPr>
                        <w:rFonts w:cs="Arial"/>
                        <w:i/>
                        <w:iCs/>
                        <w:sz w:val="18"/>
                        <w:szCs w:val="18"/>
                      </w:rPr>
                      <w:t>1,3</w:t>
                    </w:r>
                  </w:p>
                </w:tc>
              </w:tr>
              <w:tr w:rsidRPr="00CB6844" w:rsidR="002318A8" w:rsidTr="00CE3CDC" w14:paraId="2C77A223"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7799DCC3" w14:textId="77777777">
                    <w:pPr>
                      <w:rPr>
                        <w:rFonts w:cs="Arial"/>
                        <w:sz w:val="18"/>
                        <w:szCs w:val="18"/>
                      </w:rPr>
                    </w:pPr>
                    <w:proofErr w:type="spellStart"/>
                    <w:r w:rsidRPr="00CB6844">
                      <w:rPr>
                        <w:rFonts w:cs="Arial"/>
                        <w:sz w:val="18"/>
                        <w:szCs w:val="18"/>
                      </w:rPr>
                      <w:t>w.v</w:t>
                    </w:r>
                    <w:proofErr w:type="spellEnd"/>
                    <w:r w:rsidRPr="00CB6844">
                      <w:rPr>
                        <w:rFonts w:cs="Arial"/>
                        <w:sz w:val="18"/>
                        <w:szCs w:val="18"/>
                      </w:rPr>
                      <w:t>. EU-afdrachten</w:t>
                    </w:r>
                  </w:p>
                </w:tc>
                <w:tc>
                  <w:tcPr>
                    <w:tcW w:w="451" w:type="pct"/>
                    <w:tcBorders>
                      <w:top w:val="nil"/>
                      <w:left w:val="nil"/>
                      <w:bottom w:val="nil"/>
                      <w:right w:val="nil"/>
                    </w:tcBorders>
                    <w:shd w:val="clear" w:color="auto" w:fill="auto"/>
                    <w:noWrap/>
                    <w:vAlign w:val="bottom"/>
                    <w:hideMark/>
                  </w:tcPr>
                  <w:p w:rsidRPr="00CB6844" w:rsidR="002318A8" w:rsidRDefault="002318A8" w14:paraId="64B70F29" w14:textId="77777777">
                    <w:pPr>
                      <w:jc w:val="right"/>
                      <w:rPr>
                        <w:rFonts w:cs="Arial"/>
                        <w:sz w:val="18"/>
                        <w:szCs w:val="18"/>
                      </w:rPr>
                    </w:pPr>
                    <w:r w:rsidRPr="00CB6844">
                      <w:rPr>
                        <w:rFonts w:cs="Arial"/>
                        <w:sz w:val="18"/>
                        <w:szCs w:val="18"/>
                      </w:rPr>
                      <w:t>0,1</w:t>
                    </w:r>
                  </w:p>
                </w:tc>
                <w:tc>
                  <w:tcPr>
                    <w:tcW w:w="352" w:type="pct"/>
                    <w:tcBorders>
                      <w:top w:val="nil"/>
                      <w:left w:val="nil"/>
                      <w:bottom w:val="nil"/>
                      <w:right w:val="nil"/>
                    </w:tcBorders>
                    <w:shd w:val="clear" w:color="auto" w:fill="auto"/>
                    <w:noWrap/>
                    <w:vAlign w:val="bottom"/>
                    <w:hideMark/>
                  </w:tcPr>
                  <w:p w:rsidRPr="00CB6844" w:rsidR="002318A8" w:rsidRDefault="002318A8" w14:paraId="5DCD8E81" w14:textId="77777777">
                    <w:pPr>
                      <w:jc w:val="right"/>
                      <w:rPr>
                        <w:rFonts w:cs="Arial"/>
                        <w:sz w:val="18"/>
                        <w:szCs w:val="18"/>
                      </w:rPr>
                    </w:pPr>
                    <w:r w:rsidRPr="00CB6844">
                      <w:rPr>
                        <w:rFonts w:cs="Arial"/>
                        <w:sz w:val="18"/>
                        <w:szCs w:val="18"/>
                      </w:rPr>
                      <w:t>1</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31E0D94F" w14:textId="77777777">
                    <w:pPr>
                      <w:jc w:val="right"/>
                      <w:rPr>
                        <w:rFonts w:cs="Arial"/>
                        <w:sz w:val="18"/>
                        <w:szCs w:val="18"/>
                      </w:rPr>
                    </w:pPr>
                    <w:r w:rsidRPr="00CB6844">
                      <w:rPr>
                        <w:rFonts w:cs="Arial"/>
                        <w:sz w:val="18"/>
                        <w:szCs w:val="18"/>
                      </w:rPr>
                      <w:t>0,3</w:t>
                    </w:r>
                  </w:p>
                </w:tc>
                <w:tc>
                  <w:tcPr>
                    <w:tcW w:w="569" w:type="pct"/>
                    <w:tcBorders>
                      <w:top w:val="nil"/>
                      <w:left w:val="nil"/>
                      <w:bottom w:val="nil"/>
                      <w:right w:val="nil"/>
                    </w:tcBorders>
                    <w:shd w:val="clear" w:color="auto" w:fill="auto"/>
                    <w:noWrap/>
                    <w:vAlign w:val="bottom"/>
                    <w:hideMark/>
                  </w:tcPr>
                  <w:p w:rsidRPr="00CB6844" w:rsidR="002318A8" w:rsidRDefault="002318A8" w14:paraId="19FD7B80" w14:textId="77777777">
                    <w:pPr>
                      <w:jc w:val="right"/>
                      <w:rPr>
                        <w:rFonts w:cs="Arial"/>
                        <w:sz w:val="18"/>
                        <w:szCs w:val="18"/>
                      </w:rPr>
                    </w:pPr>
                    <w:r w:rsidRPr="00CB6844">
                      <w:rPr>
                        <w:rFonts w:cs="Arial"/>
                        <w:sz w:val="18"/>
                        <w:szCs w:val="18"/>
                      </w:rPr>
                      <w:t>0,6</w:t>
                    </w:r>
                  </w:p>
                </w:tc>
              </w:tr>
              <w:tr w:rsidRPr="00CB6844" w:rsidR="002318A8" w:rsidTr="00CE3CDC" w14:paraId="4CBD3408"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493DAE1"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Gasbaten</w:t>
                    </w:r>
                  </w:p>
                </w:tc>
                <w:tc>
                  <w:tcPr>
                    <w:tcW w:w="451" w:type="pct"/>
                    <w:tcBorders>
                      <w:top w:val="nil"/>
                      <w:left w:val="nil"/>
                      <w:bottom w:val="nil"/>
                      <w:right w:val="nil"/>
                    </w:tcBorders>
                    <w:shd w:val="clear" w:color="auto" w:fill="auto"/>
                    <w:noWrap/>
                    <w:vAlign w:val="bottom"/>
                    <w:hideMark/>
                  </w:tcPr>
                  <w:p w:rsidRPr="00CB6844" w:rsidR="002318A8" w:rsidRDefault="002318A8" w14:paraId="3740AC20" w14:textId="77777777">
                    <w:pPr>
                      <w:jc w:val="right"/>
                      <w:rPr>
                        <w:rFonts w:cs="Arial"/>
                        <w:sz w:val="18"/>
                        <w:szCs w:val="18"/>
                      </w:rPr>
                    </w:pPr>
                    <w:r w:rsidRPr="00CB6844">
                      <w:rPr>
                        <w:rFonts w:cs="Arial"/>
                        <w:sz w:val="18"/>
                        <w:szCs w:val="18"/>
                      </w:rPr>
                      <w:t>0,6</w:t>
                    </w:r>
                  </w:p>
                </w:tc>
                <w:tc>
                  <w:tcPr>
                    <w:tcW w:w="352" w:type="pct"/>
                    <w:tcBorders>
                      <w:top w:val="nil"/>
                      <w:left w:val="nil"/>
                      <w:bottom w:val="nil"/>
                      <w:right w:val="nil"/>
                    </w:tcBorders>
                    <w:shd w:val="clear" w:color="auto" w:fill="auto"/>
                    <w:noWrap/>
                    <w:vAlign w:val="bottom"/>
                    <w:hideMark/>
                  </w:tcPr>
                  <w:p w:rsidRPr="00CB6844" w:rsidR="002318A8" w:rsidRDefault="002318A8" w14:paraId="47181EEB"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0366E84E" w14:textId="77777777">
                    <w:pPr>
                      <w:jc w:val="right"/>
                      <w:rPr>
                        <w:rFonts w:cs="Arial"/>
                        <w:sz w:val="18"/>
                        <w:szCs w:val="18"/>
                      </w:rPr>
                    </w:pPr>
                    <w:r w:rsidRPr="00CB6844">
                      <w:rPr>
                        <w:rFonts w:cs="Arial"/>
                        <w:sz w:val="18"/>
                        <w:szCs w:val="18"/>
                      </w:rPr>
                      <w:t>0,4</w:t>
                    </w:r>
                  </w:p>
                </w:tc>
                <w:tc>
                  <w:tcPr>
                    <w:tcW w:w="569" w:type="pct"/>
                    <w:tcBorders>
                      <w:top w:val="nil"/>
                      <w:left w:val="nil"/>
                      <w:bottom w:val="nil"/>
                      <w:right w:val="nil"/>
                    </w:tcBorders>
                    <w:shd w:val="clear" w:color="auto" w:fill="auto"/>
                    <w:noWrap/>
                    <w:vAlign w:val="bottom"/>
                    <w:hideMark/>
                  </w:tcPr>
                  <w:p w:rsidRPr="00CB6844" w:rsidR="002318A8" w:rsidRDefault="002318A8" w14:paraId="1DEA9E07" w14:textId="77777777">
                    <w:pPr>
                      <w:jc w:val="right"/>
                      <w:rPr>
                        <w:rFonts w:cs="Arial"/>
                        <w:sz w:val="18"/>
                        <w:szCs w:val="18"/>
                      </w:rPr>
                    </w:pPr>
                    <w:r w:rsidRPr="00CB6844">
                      <w:rPr>
                        <w:rFonts w:cs="Arial"/>
                        <w:sz w:val="18"/>
                        <w:szCs w:val="18"/>
                      </w:rPr>
                      <w:t>0,3</w:t>
                    </w:r>
                  </w:p>
                </w:tc>
              </w:tr>
              <w:tr w:rsidRPr="00CB6844" w:rsidR="002318A8" w:rsidTr="00CE3CDC" w14:paraId="7DF12BB0"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1181E74F" w14:textId="77777777">
                    <w:pPr>
                      <w:jc w:val="right"/>
                      <w:rPr>
                        <w:rFonts w:cs="Arial"/>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3F93715B"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1670779E"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73A9ADC7"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4F7CB323" w14:textId="77777777">
                    <w:pPr>
                      <w:rPr>
                        <w:rFonts w:ascii="Times New Roman" w:hAnsi="Times New Roman"/>
                        <w:sz w:val="20"/>
                        <w:szCs w:val="20"/>
                      </w:rPr>
                    </w:pPr>
                  </w:p>
                </w:tc>
              </w:tr>
              <w:tr w:rsidRPr="00CB6844" w:rsidR="002318A8" w:rsidTr="00CE3CDC" w14:paraId="51ECF601"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2826074F" w14:textId="77777777">
                    <w:pPr>
                      <w:rPr>
                        <w:rFonts w:cs="Arial"/>
                        <w:i/>
                        <w:iCs/>
                        <w:sz w:val="18"/>
                        <w:szCs w:val="18"/>
                      </w:rPr>
                    </w:pPr>
                    <w:r w:rsidRPr="00CB6844">
                      <w:rPr>
                        <w:rFonts w:cs="Arial"/>
                        <w:i/>
                        <w:iCs/>
                        <w:sz w:val="18"/>
                        <w:szCs w:val="18"/>
                      </w:rPr>
                      <w:t>Asiel</w:t>
                    </w:r>
                  </w:p>
                </w:tc>
                <w:tc>
                  <w:tcPr>
                    <w:tcW w:w="451" w:type="pct"/>
                    <w:tcBorders>
                      <w:top w:val="nil"/>
                      <w:left w:val="nil"/>
                      <w:bottom w:val="nil"/>
                      <w:right w:val="nil"/>
                    </w:tcBorders>
                    <w:shd w:val="clear" w:color="auto" w:fill="auto"/>
                    <w:noWrap/>
                    <w:vAlign w:val="bottom"/>
                    <w:hideMark/>
                  </w:tcPr>
                  <w:p w:rsidRPr="00CB6844" w:rsidR="002318A8" w:rsidRDefault="002318A8" w14:paraId="55F32BA7" w14:textId="77777777">
                    <w:pPr>
                      <w:jc w:val="right"/>
                      <w:rPr>
                        <w:rFonts w:cs="Arial"/>
                        <w:i/>
                        <w:iCs/>
                        <w:sz w:val="18"/>
                        <w:szCs w:val="18"/>
                      </w:rPr>
                    </w:pPr>
                    <w:r w:rsidRPr="00CB6844">
                      <w:rPr>
                        <w:rFonts w:cs="Arial"/>
                        <w:i/>
                        <w:iCs/>
                        <w:sz w:val="18"/>
                        <w:szCs w:val="18"/>
                      </w:rPr>
                      <w:t>0,9</w:t>
                    </w:r>
                  </w:p>
                </w:tc>
                <w:tc>
                  <w:tcPr>
                    <w:tcW w:w="352" w:type="pct"/>
                    <w:tcBorders>
                      <w:top w:val="nil"/>
                      <w:left w:val="nil"/>
                      <w:bottom w:val="nil"/>
                      <w:right w:val="nil"/>
                    </w:tcBorders>
                    <w:shd w:val="clear" w:color="auto" w:fill="auto"/>
                    <w:noWrap/>
                    <w:vAlign w:val="bottom"/>
                    <w:hideMark/>
                  </w:tcPr>
                  <w:p w:rsidRPr="00CB6844" w:rsidR="002318A8" w:rsidRDefault="002318A8" w14:paraId="6CDE8A38" w14:textId="77777777">
                    <w:pPr>
                      <w:jc w:val="right"/>
                      <w:rPr>
                        <w:rFonts w:cs="Arial"/>
                        <w:i/>
                        <w:iCs/>
                        <w:sz w:val="18"/>
                        <w:szCs w:val="18"/>
                      </w:rPr>
                    </w:pPr>
                    <w:r w:rsidRPr="00CB6844">
                      <w:rPr>
                        <w:rFonts w:cs="Arial"/>
                        <w:i/>
                        <w:iCs/>
                        <w:sz w:val="18"/>
                        <w:szCs w:val="18"/>
                      </w:rPr>
                      <w:t>0,6</w:t>
                    </w:r>
                  </w:p>
                </w:tc>
                <w:tc>
                  <w:tcPr>
                    <w:tcW w:w="352" w:type="pct"/>
                    <w:tcBorders>
                      <w:top w:val="nil"/>
                      <w:left w:val="nil"/>
                      <w:bottom w:val="nil"/>
                      <w:right w:val="nil"/>
                    </w:tcBorders>
                    <w:shd w:val="clear" w:color="auto" w:fill="auto"/>
                    <w:noWrap/>
                    <w:vAlign w:val="bottom"/>
                    <w:hideMark/>
                  </w:tcPr>
                  <w:p w:rsidRPr="00CB6844" w:rsidR="002318A8" w:rsidRDefault="002318A8" w14:paraId="30697D68" w14:textId="77777777">
                    <w:pPr>
                      <w:jc w:val="right"/>
                      <w:rPr>
                        <w:rFonts w:cs="Arial"/>
                        <w:i/>
                        <w:iCs/>
                        <w:sz w:val="18"/>
                        <w:szCs w:val="18"/>
                      </w:rPr>
                    </w:pPr>
                    <w:r w:rsidRPr="00CB6844">
                      <w:rPr>
                        <w:rFonts w:cs="Arial"/>
                        <w:i/>
                        <w:iCs/>
                        <w:sz w:val="18"/>
                        <w:szCs w:val="18"/>
                      </w:rPr>
                      <w:t>0,5</w:t>
                    </w:r>
                  </w:p>
                </w:tc>
                <w:tc>
                  <w:tcPr>
                    <w:tcW w:w="569" w:type="pct"/>
                    <w:tcBorders>
                      <w:top w:val="nil"/>
                      <w:left w:val="nil"/>
                      <w:bottom w:val="nil"/>
                      <w:right w:val="nil"/>
                    </w:tcBorders>
                    <w:shd w:val="clear" w:color="auto" w:fill="auto"/>
                    <w:noWrap/>
                    <w:vAlign w:val="bottom"/>
                    <w:hideMark/>
                  </w:tcPr>
                  <w:p w:rsidRPr="00CB6844" w:rsidR="002318A8" w:rsidRDefault="002318A8" w14:paraId="59FCCA62" w14:textId="77777777">
                    <w:pPr>
                      <w:jc w:val="right"/>
                      <w:rPr>
                        <w:rFonts w:cs="Arial"/>
                        <w:i/>
                        <w:iCs/>
                        <w:sz w:val="18"/>
                        <w:szCs w:val="18"/>
                      </w:rPr>
                    </w:pPr>
                    <w:r w:rsidRPr="00CB6844">
                      <w:rPr>
                        <w:rFonts w:cs="Arial"/>
                        <w:i/>
                        <w:iCs/>
                        <w:sz w:val="18"/>
                        <w:szCs w:val="18"/>
                      </w:rPr>
                      <w:t>0,7</w:t>
                    </w:r>
                  </w:p>
                </w:tc>
              </w:tr>
              <w:tr w:rsidRPr="00CB6844" w:rsidR="002318A8" w:rsidTr="00CE3CDC" w14:paraId="5364AC0F"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AA66D7E" w14:textId="77777777">
                    <w:pPr>
                      <w:jc w:val="right"/>
                      <w:rPr>
                        <w:rFonts w:cs="Arial"/>
                        <w:i/>
                        <w:iCs/>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2DC3282E"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32E94966"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3AB19BFB"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4AB9C26D" w14:textId="77777777">
                    <w:pPr>
                      <w:rPr>
                        <w:rFonts w:ascii="Times New Roman" w:hAnsi="Times New Roman"/>
                        <w:sz w:val="20"/>
                        <w:szCs w:val="20"/>
                      </w:rPr>
                    </w:pPr>
                  </w:p>
                </w:tc>
              </w:tr>
              <w:tr w:rsidRPr="00CB6844" w:rsidR="002318A8" w:rsidTr="00CE3CDC" w14:paraId="355E9955"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58299AD5" w14:textId="77777777">
                    <w:pPr>
                      <w:rPr>
                        <w:rFonts w:cs="Arial"/>
                        <w:i/>
                        <w:iCs/>
                        <w:sz w:val="18"/>
                        <w:szCs w:val="18"/>
                      </w:rPr>
                    </w:pPr>
                    <w:r w:rsidRPr="00CB6844">
                      <w:rPr>
                        <w:rFonts w:cs="Arial"/>
                        <w:i/>
                        <w:iCs/>
                        <w:sz w:val="18"/>
                        <w:szCs w:val="18"/>
                      </w:rPr>
                      <w:t>VWS</w:t>
                    </w:r>
                  </w:p>
                </w:tc>
                <w:tc>
                  <w:tcPr>
                    <w:tcW w:w="451" w:type="pct"/>
                    <w:tcBorders>
                      <w:top w:val="nil"/>
                      <w:left w:val="nil"/>
                      <w:bottom w:val="nil"/>
                      <w:right w:val="nil"/>
                    </w:tcBorders>
                    <w:shd w:val="clear" w:color="auto" w:fill="auto"/>
                    <w:noWrap/>
                    <w:vAlign w:val="bottom"/>
                    <w:hideMark/>
                  </w:tcPr>
                  <w:p w:rsidRPr="00CB6844" w:rsidR="002318A8" w:rsidRDefault="002318A8" w14:paraId="4F25BFFC" w14:textId="77777777">
                    <w:pPr>
                      <w:jc w:val="right"/>
                      <w:rPr>
                        <w:rFonts w:cs="Arial"/>
                        <w:i/>
                        <w:iCs/>
                        <w:sz w:val="18"/>
                        <w:szCs w:val="18"/>
                      </w:rPr>
                    </w:pPr>
                    <w:r w:rsidRPr="00CB6844">
                      <w:rPr>
                        <w:rFonts w:cs="Arial"/>
                        <w:i/>
                        <w:iCs/>
                        <w:sz w:val="18"/>
                        <w:szCs w:val="18"/>
                      </w:rPr>
                      <w:t>-0,3</w:t>
                    </w:r>
                  </w:p>
                </w:tc>
                <w:tc>
                  <w:tcPr>
                    <w:tcW w:w="352" w:type="pct"/>
                    <w:tcBorders>
                      <w:top w:val="nil"/>
                      <w:left w:val="nil"/>
                      <w:bottom w:val="nil"/>
                      <w:right w:val="nil"/>
                    </w:tcBorders>
                    <w:shd w:val="clear" w:color="auto" w:fill="auto"/>
                    <w:noWrap/>
                    <w:vAlign w:val="bottom"/>
                    <w:hideMark/>
                  </w:tcPr>
                  <w:p w:rsidRPr="00CB6844" w:rsidR="002318A8" w:rsidRDefault="002318A8" w14:paraId="764301E2" w14:textId="77777777">
                    <w:pPr>
                      <w:jc w:val="right"/>
                      <w:rPr>
                        <w:rFonts w:cs="Arial"/>
                        <w:i/>
                        <w:iCs/>
                        <w:sz w:val="18"/>
                        <w:szCs w:val="18"/>
                      </w:rPr>
                    </w:pPr>
                    <w:r w:rsidRPr="00CB6844">
                      <w:rPr>
                        <w:rFonts w:cs="Arial"/>
                        <w:i/>
                        <w:iCs/>
                        <w:sz w:val="18"/>
                        <w:szCs w:val="18"/>
                      </w:rPr>
                      <w:t>-0,4</w:t>
                    </w:r>
                  </w:p>
                </w:tc>
                <w:tc>
                  <w:tcPr>
                    <w:tcW w:w="352" w:type="pct"/>
                    <w:tcBorders>
                      <w:top w:val="nil"/>
                      <w:left w:val="nil"/>
                      <w:bottom w:val="nil"/>
                      <w:right w:val="nil"/>
                    </w:tcBorders>
                    <w:shd w:val="clear" w:color="auto" w:fill="auto"/>
                    <w:noWrap/>
                    <w:vAlign w:val="bottom"/>
                    <w:hideMark/>
                  </w:tcPr>
                  <w:p w:rsidRPr="00CB6844" w:rsidR="002318A8" w:rsidRDefault="002318A8" w14:paraId="03AC250E" w14:textId="77777777">
                    <w:pPr>
                      <w:jc w:val="right"/>
                      <w:rPr>
                        <w:rFonts w:cs="Arial"/>
                        <w:i/>
                        <w:iCs/>
                        <w:sz w:val="18"/>
                        <w:szCs w:val="18"/>
                      </w:rPr>
                    </w:pPr>
                    <w:r w:rsidRPr="00CB6844">
                      <w:rPr>
                        <w:rFonts w:cs="Arial"/>
                        <w:i/>
                        <w:iCs/>
                        <w:sz w:val="18"/>
                        <w:szCs w:val="18"/>
                      </w:rPr>
                      <w:t>-0,3</w:t>
                    </w:r>
                  </w:p>
                </w:tc>
                <w:tc>
                  <w:tcPr>
                    <w:tcW w:w="569" w:type="pct"/>
                    <w:tcBorders>
                      <w:top w:val="nil"/>
                      <w:left w:val="nil"/>
                      <w:bottom w:val="nil"/>
                      <w:right w:val="nil"/>
                    </w:tcBorders>
                    <w:shd w:val="clear" w:color="auto" w:fill="auto"/>
                    <w:noWrap/>
                    <w:vAlign w:val="bottom"/>
                    <w:hideMark/>
                  </w:tcPr>
                  <w:p w:rsidRPr="00CB6844" w:rsidR="002318A8" w:rsidRDefault="002318A8" w14:paraId="7E163790" w14:textId="77777777">
                    <w:pPr>
                      <w:jc w:val="right"/>
                      <w:rPr>
                        <w:rFonts w:cs="Arial"/>
                        <w:i/>
                        <w:iCs/>
                        <w:sz w:val="18"/>
                        <w:szCs w:val="18"/>
                      </w:rPr>
                    </w:pPr>
                    <w:r w:rsidRPr="00CB6844">
                      <w:rPr>
                        <w:rFonts w:cs="Arial"/>
                        <w:i/>
                        <w:iCs/>
                        <w:sz w:val="18"/>
                        <w:szCs w:val="18"/>
                      </w:rPr>
                      <w:t>-0,3</w:t>
                    </w:r>
                  </w:p>
                </w:tc>
              </w:tr>
              <w:tr w:rsidRPr="00CB6844" w:rsidR="002318A8" w:rsidTr="00CE3CDC" w14:paraId="02A92630"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92D1BD6" w14:textId="77777777">
                    <w:pPr>
                      <w:rPr>
                        <w:rFonts w:cs="Arial"/>
                        <w:sz w:val="18"/>
                        <w:szCs w:val="18"/>
                      </w:rPr>
                    </w:pPr>
                    <w:proofErr w:type="spellStart"/>
                    <w:r w:rsidRPr="00CB6844">
                      <w:rPr>
                        <w:rFonts w:cs="Arial"/>
                        <w:sz w:val="18"/>
                        <w:szCs w:val="18"/>
                      </w:rPr>
                      <w:t>w.v</w:t>
                    </w:r>
                    <w:proofErr w:type="spellEnd"/>
                    <w:r w:rsidRPr="00CB6844">
                      <w:rPr>
                        <w:rFonts w:cs="Arial"/>
                        <w:sz w:val="18"/>
                        <w:szCs w:val="18"/>
                      </w:rPr>
                      <w:t>. Uitvoeringsinformatie</w:t>
                    </w:r>
                  </w:p>
                </w:tc>
                <w:tc>
                  <w:tcPr>
                    <w:tcW w:w="451" w:type="pct"/>
                    <w:tcBorders>
                      <w:top w:val="nil"/>
                      <w:left w:val="nil"/>
                      <w:bottom w:val="nil"/>
                      <w:right w:val="nil"/>
                    </w:tcBorders>
                    <w:shd w:val="clear" w:color="auto" w:fill="auto"/>
                    <w:noWrap/>
                    <w:vAlign w:val="bottom"/>
                    <w:hideMark/>
                  </w:tcPr>
                  <w:p w:rsidRPr="00CB6844" w:rsidR="002318A8" w:rsidRDefault="002318A8" w14:paraId="22919EEF" w14:textId="77777777">
                    <w:pPr>
                      <w:jc w:val="right"/>
                      <w:rPr>
                        <w:rFonts w:cs="Arial"/>
                        <w:sz w:val="18"/>
                        <w:szCs w:val="18"/>
                      </w:rPr>
                    </w:pPr>
                    <w:r w:rsidRPr="00CB6844">
                      <w:rPr>
                        <w:rFonts w:cs="Arial"/>
                        <w:sz w:val="18"/>
                        <w:szCs w:val="18"/>
                      </w:rPr>
                      <w:t>-0,3</w:t>
                    </w:r>
                  </w:p>
                </w:tc>
                <w:tc>
                  <w:tcPr>
                    <w:tcW w:w="352" w:type="pct"/>
                    <w:tcBorders>
                      <w:top w:val="nil"/>
                      <w:left w:val="nil"/>
                      <w:bottom w:val="nil"/>
                      <w:right w:val="nil"/>
                    </w:tcBorders>
                    <w:shd w:val="clear" w:color="auto" w:fill="auto"/>
                    <w:noWrap/>
                    <w:vAlign w:val="bottom"/>
                    <w:hideMark/>
                  </w:tcPr>
                  <w:p w:rsidRPr="00CB6844" w:rsidR="002318A8" w:rsidRDefault="002318A8" w14:paraId="478B0786" w14:textId="77777777">
                    <w:pPr>
                      <w:jc w:val="right"/>
                      <w:rPr>
                        <w:rFonts w:cs="Arial"/>
                        <w:sz w:val="18"/>
                        <w:szCs w:val="18"/>
                      </w:rPr>
                    </w:pPr>
                    <w:r w:rsidRPr="00CB6844">
                      <w:rPr>
                        <w:rFonts w:cs="Arial"/>
                        <w:sz w:val="18"/>
                        <w:szCs w:val="18"/>
                      </w:rPr>
                      <w:t>-0,8</w:t>
                    </w:r>
                  </w:p>
                </w:tc>
                <w:tc>
                  <w:tcPr>
                    <w:tcW w:w="352" w:type="pct"/>
                    <w:tcBorders>
                      <w:top w:val="nil"/>
                      <w:left w:val="nil"/>
                      <w:bottom w:val="nil"/>
                      <w:right w:val="nil"/>
                    </w:tcBorders>
                    <w:shd w:val="clear" w:color="auto" w:fill="auto"/>
                    <w:noWrap/>
                    <w:vAlign w:val="bottom"/>
                    <w:hideMark/>
                  </w:tcPr>
                  <w:p w:rsidRPr="00CB6844" w:rsidR="002318A8" w:rsidRDefault="002318A8" w14:paraId="3BAC6B35" w14:textId="77777777">
                    <w:pPr>
                      <w:jc w:val="right"/>
                      <w:rPr>
                        <w:rFonts w:cs="Arial"/>
                        <w:sz w:val="18"/>
                        <w:szCs w:val="18"/>
                      </w:rPr>
                    </w:pPr>
                    <w:r w:rsidRPr="00CB6844">
                      <w:rPr>
                        <w:rFonts w:cs="Arial"/>
                        <w:sz w:val="18"/>
                        <w:szCs w:val="18"/>
                      </w:rPr>
                      <w:t>-0,6</w:t>
                    </w:r>
                  </w:p>
                </w:tc>
                <w:tc>
                  <w:tcPr>
                    <w:tcW w:w="569" w:type="pct"/>
                    <w:tcBorders>
                      <w:top w:val="nil"/>
                      <w:left w:val="nil"/>
                      <w:bottom w:val="nil"/>
                      <w:right w:val="nil"/>
                    </w:tcBorders>
                    <w:shd w:val="clear" w:color="auto" w:fill="auto"/>
                    <w:noWrap/>
                    <w:vAlign w:val="bottom"/>
                    <w:hideMark/>
                  </w:tcPr>
                  <w:p w:rsidRPr="00CB6844" w:rsidR="002318A8" w:rsidRDefault="002318A8" w14:paraId="6099ADB0" w14:textId="77777777">
                    <w:pPr>
                      <w:jc w:val="right"/>
                      <w:rPr>
                        <w:rFonts w:cs="Arial"/>
                        <w:sz w:val="18"/>
                        <w:szCs w:val="18"/>
                      </w:rPr>
                    </w:pPr>
                    <w:r w:rsidRPr="00CB6844">
                      <w:rPr>
                        <w:rFonts w:cs="Arial"/>
                        <w:sz w:val="18"/>
                        <w:szCs w:val="18"/>
                      </w:rPr>
                      <w:t>-0,6</w:t>
                    </w:r>
                  </w:p>
                </w:tc>
              </w:tr>
              <w:tr w:rsidRPr="00CB6844" w:rsidR="002318A8" w:rsidTr="00CE3CDC" w14:paraId="1D7D23EF"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2E2AAC79"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 xml:space="preserve">Invulling nascholing MSZ-personeel </w:t>
                    </w:r>
                  </w:p>
                </w:tc>
                <w:tc>
                  <w:tcPr>
                    <w:tcW w:w="451" w:type="pct"/>
                    <w:tcBorders>
                      <w:top w:val="nil"/>
                      <w:left w:val="nil"/>
                      <w:bottom w:val="nil"/>
                      <w:right w:val="nil"/>
                    </w:tcBorders>
                    <w:shd w:val="clear" w:color="auto" w:fill="auto"/>
                    <w:noWrap/>
                    <w:vAlign w:val="bottom"/>
                    <w:hideMark/>
                  </w:tcPr>
                  <w:p w:rsidRPr="00CB6844" w:rsidR="002318A8" w:rsidRDefault="002318A8" w14:paraId="362757CE"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1E604D02"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6F771107" w14:textId="77777777">
                    <w:pPr>
                      <w:jc w:val="right"/>
                      <w:rPr>
                        <w:rFonts w:cs="Arial"/>
                        <w:sz w:val="18"/>
                        <w:szCs w:val="18"/>
                      </w:rPr>
                    </w:pPr>
                    <w:r w:rsidRPr="00CB6844">
                      <w:rPr>
                        <w:rFonts w:cs="Arial"/>
                        <w:sz w:val="18"/>
                        <w:szCs w:val="18"/>
                      </w:rPr>
                      <w:t>0,2</w:t>
                    </w:r>
                  </w:p>
                </w:tc>
                <w:tc>
                  <w:tcPr>
                    <w:tcW w:w="569" w:type="pct"/>
                    <w:tcBorders>
                      <w:top w:val="nil"/>
                      <w:left w:val="nil"/>
                      <w:bottom w:val="nil"/>
                      <w:right w:val="nil"/>
                    </w:tcBorders>
                    <w:shd w:val="clear" w:color="auto" w:fill="auto"/>
                    <w:noWrap/>
                    <w:vAlign w:val="bottom"/>
                    <w:hideMark/>
                  </w:tcPr>
                  <w:p w:rsidRPr="00CB6844" w:rsidR="002318A8" w:rsidRDefault="002318A8" w14:paraId="45D52870" w14:textId="77777777">
                    <w:pPr>
                      <w:jc w:val="right"/>
                      <w:rPr>
                        <w:rFonts w:cs="Arial"/>
                        <w:sz w:val="18"/>
                        <w:szCs w:val="18"/>
                      </w:rPr>
                    </w:pPr>
                    <w:r w:rsidRPr="00CB6844">
                      <w:rPr>
                        <w:rFonts w:cs="Arial"/>
                        <w:sz w:val="18"/>
                        <w:szCs w:val="18"/>
                      </w:rPr>
                      <w:t>0,2</w:t>
                    </w:r>
                  </w:p>
                </w:tc>
              </w:tr>
              <w:tr w:rsidRPr="00CB6844" w:rsidR="002318A8" w:rsidTr="00CE3CDC" w14:paraId="1C9DB1B6"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64D85A18" w14:textId="77777777">
                    <w:pPr>
                      <w:jc w:val="right"/>
                      <w:rPr>
                        <w:rFonts w:cs="Arial"/>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5B05357E"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71E1F664"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04B64F72"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6112784B" w14:textId="77777777">
                    <w:pPr>
                      <w:rPr>
                        <w:rFonts w:ascii="Times New Roman" w:hAnsi="Times New Roman"/>
                        <w:sz w:val="20"/>
                        <w:szCs w:val="20"/>
                      </w:rPr>
                    </w:pPr>
                  </w:p>
                </w:tc>
              </w:tr>
              <w:tr w:rsidRPr="00CB6844" w:rsidR="002318A8" w:rsidTr="00CE3CDC" w14:paraId="67BF46CC"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68B74C23" w14:textId="77777777">
                    <w:pPr>
                      <w:rPr>
                        <w:rFonts w:cs="Arial"/>
                        <w:i/>
                        <w:iCs/>
                        <w:sz w:val="18"/>
                        <w:szCs w:val="18"/>
                      </w:rPr>
                    </w:pPr>
                    <w:r w:rsidRPr="00CB6844">
                      <w:rPr>
                        <w:rFonts w:cs="Arial"/>
                        <w:i/>
                        <w:iCs/>
                        <w:sz w:val="18"/>
                        <w:szCs w:val="18"/>
                      </w:rPr>
                      <w:t>SZW</w:t>
                    </w:r>
                  </w:p>
                </w:tc>
                <w:tc>
                  <w:tcPr>
                    <w:tcW w:w="451" w:type="pct"/>
                    <w:tcBorders>
                      <w:top w:val="nil"/>
                      <w:left w:val="nil"/>
                      <w:bottom w:val="nil"/>
                      <w:right w:val="nil"/>
                    </w:tcBorders>
                    <w:shd w:val="clear" w:color="auto" w:fill="auto"/>
                    <w:noWrap/>
                    <w:vAlign w:val="bottom"/>
                    <w:hideMark/>
                  </w:tcPr>
                  <w:p w:rsidRPr="00CB6844" w:rsidR="002318A8" w:rsidRDefault="002318A8" w14:paraId="5AF0BD52" w14:textId="77777777">
                    <w:pPr>
                      <w:jc w:val="right"/>
                      <w:rPr>
                        <w:rFonts w:cs="Arial"/>
                        <w:i/>
                        <w:iCs/>
                        <w:sz w:val="18"/>
                        <w:szCs w:val="18"/>
                      </w:rPr>
                    </w:pPr>
                    <w:r w:rsidRPr="00CB6844">
                      <w:rPr>
                        <w:rFonts w:cs="Arial"/>
                        <w:i/>
                        <w:iCs/>
                        <w:sz w:val="18"/>
                        <w:szCs w:val="18"/>
                      </w:rPr>
                      <w:t>0,1</w:t>
                    </w:r>
                  </w:p>
                </w:tc>
                <w:tc>
                  <w:tcPr>
                    <w:tcW w:w="352" w:type="pct"/>
                    <w:tcBorders>
                      <w:top w:val="nil"/>
                      <w:left w:val="nil"/>
                      <w:bottom w:val="nil"/>
                      <w:right w:val="nil"/>
                    </w:tcBorders>
                    <w:shd w:val="clear" w:color="auto" w:fill="auto"/>
                    <w:noWrap/>
                    <w:vAlign w:val="bottom"/>
                    <w:hideMark/>
                  </w:tcPr>
                  <w:p w:rsidRPr="00CB6844" w:rsidR="002318A8" w:rsidRDefault="002318A8" w14:paraId="609BCE20" w14:textId="77777777">
                    <w:pPr>
                      <w:jc w:val="right"/>
                      <w:rPr>
                        <w:rFonts w:cs="Arial"/>
                        <w:i/>
                        <w:iCs/>
                        <w:sz w:val="18"/>
                        <w:szCs w:val="18"/>
                      </w:rPr>
                    </w:pPr>
                    <w:r w:rsidRPr="00CB6844">
                      <w:rPr>
                        <w:rFonts w:cs="Arial"/>
                        <w:i/>
                        <w:iCs/>
                        <w:sz w:val="18"/>
                        <w:szCs w:val="18"/>
                      </w:rPr>
                      <w:t>0,2</w:t>
                    </w:r>
                  </w:p>
                </w:tc>
                <w:tc>
                  <w:tcPr>
                    <w:tcW w:w="352" w:type="pct"/>
                    <w:tcBorders>
                      <w:top w:val="nil"/>
                      <w:left w:val="nil"/>
                      <w:bottom w:val="nil"/>
                      <w:right w:val="nil"/>
                    </w:tcBorders>
                    <w:shd w:val="clear" w:color="auto" w:fill="auto"/>
                    <w:noWrap/>
                    <w:vAlign w:val="bottom"/>
                    <w:hideMark/>
                  </w:tcPr>
                  <w:p w:rsidRPr="00CB6844" w:rsidR="002318A8" w:rsidRDefault="002318A8" w14:paraId="543F8B93" w14:textId="77777777">
                    <w:pPr>
                      <w:jc w:val="right"/>
                      <w:rPr>
                        <w:rFonts w:cs="Arial"/>
                        <w:i/>
                        <w:iCs/>
                        <w:sz w:val="18"/>
                        <w:szCs w:val="18"/>
                      </w:rPr>
                    </w:pPr>
                    <w:r w:rsidRPr="00CB6844">
                      <w:rPr>
                        <w:rFonts w:cs="Arial"/>
                        <w:i/>
                        <w:iCs/>
                        <w:sz w:val="18"/>
                        <w:szCs w:val="18"/>
                      </w:rPr>
                      <w:t>-0,1</w:t>
                    </w:r>
                  </w:p>
                </w:tc>
                <w:tc>
                  <w:tcPr>
                    <w:tcW w:w="569" w:type="pct"/>
                    <w:tcBorders>
                      <w:top w:val="nil"/>
                      <w:left w:val="nil"/>
                      <w:bottom w:val="nil"/>
                      <w:right w:val="nil"/>
                    </w:tcBorders>
                    <w:shd w:val="clear" w:color="auto" w:fill="auto"/>
                    <w:noWrap/>
                    <w:vAlign w:val="bottom"/>
                    <w:hideMark/>
                  </w:tcPr>
                  <w:p w:rsidRPr="00CB6844" w:rsidR="002318A8" w:rsidRDefault="002318A8" w14:paraId="24DA5A19" w14:textId="77777777">
                    <w:pPr>
                      <w:jc w:val="right"/>
                      <w:rPr>
                        <w:rFonts w:cs="Arial"/>
                        <w:i/>
                        <w:iCs/>
                        <w:sz w:val="18"/>
                        <w:szCs w:val="18"/>
                      </w:rPr>
                    </w:pPr>
                    <w:r w:rsidRPr="00CB6844">
                      <w:rPr>
                        <w:rFonts w:cs="Arial"/>
                        <w:i/>
                        <w:iCs/>
                        <w:sz w:val="18"/>
                        <w:szCs w:val="18"/>
                      </w:rPr>
                      <w:t>0,2</w:t>
                    </w:r>
                  </w:p>
                </w:tc>
              </w:tr>
              <w:tr w:rsidRPr="00CB6844" w:rsidR="002318A8" w:rsidTr="00CE3CDC" w14:paraId="4587D0CC"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300BF885" w14:textId="77777777">
                    <w:pPr>
                      <w:rPr>
                        <w:rFonts w:cs="Arial"/>
                        <w:sz w:val="18"/>
                        <w:szCs w:val="18"/>
                      </w:rPr>
                    </w:pPr>
                    <w:proofErr w:type="spellStart"/>
                    <w:r w:rsidRPr="00CB6844">
                      <w:rPr>
                        <w:rFonts w:cs="Arial"/>
                        <w:sz w:val="18"/>
                        <w:szCs w:val="18"/>
                      </w:rPr>
                      <w:t>w.v</w:t>
                    </w:r>
                    <w:proofErr w:type="spellEnd"/>
                    <w:r w:rsidRPr="00CB6844">
                      <w:rPr>
                        <w:rFonts w:cs="Arial"/>
                        <w:sz w:val="18"/>
                        <w:szCs w:val="18"/>
                      </w:rPr>
                      <w:t>. Uitvoeringsinformatie</w:t>
                    </w:r>
                  </w:p>
                </w:tc>
                <w:tc>
                  <w:tcPr>
                    <w:tcW w:w="451" w:type="pct"/>
                    <w:tcBorders>
                      <w:top w:val="nil"/>
                      <w:left w:val="nil"/>
                      <w:bottom w:val="nil"/>
                      <w:right w:val="nil"/>
                    </w:tcBorders>
                    <w:shd w:val="clear" w:color="auto" w:fill="auto"/>
                    <w:noWrap/>
                    <w:vAlign w:val="bottom"/>
                    <w:hideMark/>
                  </w:tcPr>
                  <w:p w:rsidRPr="00CB6844" w:rsidR="002318A8" w:rsidRDefault="002318A8" w14:paraId="5649DC2F" w14:textId="77777777">
                    <w:pPr>
                      <w:jc w:val="right"/>
                      <w:rPr>
                        <w:rFonts w:cs="Arial"/>
                        <w:sz w:val="18"/>
                        <w:szCs w:val="18"/>
                      </w:rPr>
                    </w:pPr>
                    <w:r w:rsidRPr="00CB6844">
                      <w:rPr>
                        <w:rFonts w:cs="Arial"/>
                        <w:sz w:val="18"/>
                        <w:szCs w:val="18"/>
                      </w:rPr>
                      <w:t>0,3</w:t>
                    </w:r>
                  </w:p>
                </w:tc>
                <w:tc>
                  <w:tcPr>
                    <w:tcW w:w="352" w:type="pct"/>
                    <w:tcBorders>
                      <w:top w:val="nil"/>
                      <w:left w:val="nil"/>
                      <w:bottom w:val="nil"/>
                      <w:right w:val="nil"/>
                    </w:tcBorders>
                    <w:shd w:val="clear" w:color="auto" w:fill="auto"/>
                    <w:noWrap/>
                    <w:vAlign w:val="bottom"/>
                    <w:hideMark/>
                  </w:tcPr>
                  <w:p w:rsidRPr="00CB6844" w:rsidR="002318A8" w:rsidRDefault="002318A8" w14:paraId="6A90D70E" w14:textId="77777777">
                    <w:pPr>
                      <w:jc w:val="right"/>
                      <w:rPr>
                        <w:rFonts w:cs="Arial"/>
                        <w:sz w:val="18"/>
                        <w:szCs w:val="18"/>
                      </w:rPr>
                    </w:pPr>
                    <w:r w:rsidRPr="00CB6844">
                      <w:rPr>
                        <w:rFonts w:cs="Arial"/>
                        <w:sz w:val="18"/>
                        <w:szCs w:val="18"/>
                      </w:rPr>
                      <w:t>0,3</w:t>
                    </w:r>
                  </w:p>
                </w:tc>
                <w:tc>
                  <w:tcPr>
                    <w:tcW w:w="352" w:type="pct"/>
                    <w:tcBorders>
                      <w:top w:val="nil"/>
                      <w:left w:val="nil"/>
                      <w:bottom w:val="nil"/>
                      <w:right w:val="nil"/>
                    </w:tcBorders>
                    <w:shd w:val="clear" w:color="auto" w:fill="auto"/>
                    <w:noWrap/>
                    <w:vAlign w:val="bottom"/>
                    <w:hideMark/>
                  </w:tcPr>
                  <w:p w:rsidRPr="00CB6844" w:rsidR="002318A8" w:rsidRDefault="002318A8" w14:paraId="51972813" w14:textId="77777777">
                    <w:pPr>
                      <w:jc w:val="right"/>
                      <w:rPr>
                        <w:rFonts w:cs="Arial"/>
                        <w:sz w:val="18"/>
                        <w:szCs w:val="18"/>
                      </w:rPr>
                    </w:pPr>
                    <w:r w:rsidRPr="00CB6844">
                      <w:rPr>
                        <w:rFonts w:cs="Arial"/>
                        <w:sz w:val="18"/>
                        <w:szCs w:val="18"/>
                      </w:rPr>
                      <w:t>1</w:t>
                    </w:r>
                    <w:r>
                      <w:rPr>
                        <w:rFonts w:cs="Arial"/>
                        <w:sz w:val="18"/>
                        <w:szCs w:val="18"/>
                      </w:rPr>
                      <w:t>,0</w:t>
                    </w:r>
                  </w:p>
                </w:tc>
                <w:tc>
                  <w:tcPr>
                    <w:tcW w:w="569" w:type="pct"/>
                    <w:tcBorders>
                      <w:top w:val="nil"/>
                      <w:left w:val="nil"/>
                      <w:bottom w:val="nil"/>
                      <w:right w:val="nil"/>
                    </w:tcBorders>
                    <w:shd w:val="clear" w:color="auto" w:fill="auto"/>
                    <w:noWrap/>
                    <w:vAlign w:val="bottom"/>
                    <w:hideMark/>
                  </w:tcPr>
                  <w:p w:rsidRPr="00CB6844" w:rsidR="002318A8" w:rsidRDefault="002318A8" w14:paraId="2EE941A3" w14:textId="77777777">
                    <w:pPr>
                      <w:jc w:val="right"/>
                      <w:rPr>
                        <w:rFonts w:cs="Arial"/>
                        <w:sz w:val="18"/>
                        <w:szCs w:val="18"/>
                      </w:rPr>
                    </w:pPr>
                    <w:r w:rsidRPr="00CB6844">
                      <w:rPr>
                        <w:rFonts w:cs="Arial"/>
                        <w:sz w:val="18"/>
                        <w:szCs w:val="18"/>
                      </w:rPr>
                      <w:t>0,8</w:t>
                    </w:r>
                  </w:p>
                </w:tc>
              </w:tr>
              <w:tr w:rsidRPr="00CB6844" w:rsidR="002318A8" w:rsidTr="00CE3CDC" w14:paraId="611B2FCE"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6620000"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WIA</w:t>
                    </w:r>
                  </w:p>
                </w:tc>
                <w:tc>
                  <w:tcPr>
                    <w:tcW w:w="451" w:type="pct"/>
                    <w:tcBorders>
                      <w:top w:val="nil"/>
                      <w:left w:val="nil"/>
                      <w:bottom w:val="nil"/>
                      <w:right w:val="nil"/>
                    </w:tcBorders>
                    <w:shd w:val="clear" w:color="auto" w:fill="auto"/>
                    <w:noWrap/>
                    <w:vAlign w:val="bottom"/>
                    <w:hideMark/>
                  </w:tcPr>
                  <w:p w:rsidRPr="00CB6844" w:rsidR="002318A8" w:rsidRDefault="002318A8" w14:paraId="78A6A3F6"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2BED1BC4" w14:textId="77777777">
                    <w:pPr>
                      <w:jc w:val="right"/>
                      <w:rPr>
                        <w:rFonts w:cs="Arial"/>
                        <w:sz w:val="18"/>
                        <w:szCs w:val="18"/>
                      </w:rPr>
                    </w:pPr>
                    <w:r w:rsidRPr="00CB6844">
                      <w:rPr>
                        <w:rFonts w:cs="Arial"/>
                        <w:sz w:val="18"/>
                        <w:szCs w:val="18"/>
                      </w:rPr>
                      <w:t>0,2</w:t>
                    </w:r>
                  </w:p>
                </w:tc>
                <w:tc>
                  <w:tcPr>
                    <w:tcW w:w="352" w:type="pct"/>
                    <w:tcBorders>
                      <w:top w:val="nil"/>
                      <w:left w:val="nil"/>
                      <w:bottom w:val="nil"/>
                      <w:right w:val="nil"/>
                    </w:tcBorders>
                    <w:shd w:val="clear" w:color="auto" w:fill="auto"/>
                    <w:noWrap/>
                    <w:vAlign w:val="bottom"/>
                    <w:hideMark/>
                  </w:tcPr>
                  <w:p w:rsidRPr="00CB6844" w:rsidR="002318A8" w:rsidRDefault="002318A8" w14:paraId="424EEA5F" w14:textId="77777777">
                    <w:pPr>
                      <w:jc w:val="right"/>
                      <w:rPr>
                        <w:rFonts w:cs="Arial"/>
                        <w:sz w:val="18"/>
                        <w:szCs w:val="18"/>
                      </w:rPr>
                    </w:pPr>
                    <w:r w:rsidRPr="00CB6844">
                      <w:rPr>
                        <w:rFonts w:cs="Arial"/>
                        <w:sz w:val="18"/>
                        <w:szCs w:val="18"/>
                      </w:rPr>
                      <w:t>0,2</w:t>
                    </w:r>
                  </w:p>
                </w:tc>
                <w:tc>
                  <w:tcPr>
                    <w:tcW w:w="569" w:type="pct"/>
                    <w:tcBorders>
                      <w:top w:val="nil"/>
                      <w:left w:val="nil"/>
                      <w:bottom w:val="nil"/>
                      <w:right w:val="nil"/>
                    </w:tcBorders>
                    <w:shd w:val="clear" w:color="auto" w:fill="auto"/>
                    <w:noWrap/>
                    <w:vAlign w:val="bottom"/>
                    <w:hideMark/>
                  </w:tcPr>
                  <w:p w:rsidRPr="00CB6844" w:rsidR="002318A8" w:rsidRDefault="002318A8" w14:paraId="688212E1" w14:textId="77777777">
                    <w:pPr>
                      <w:jc w:val="right"/>
                      <w:rPr>
                        <w:rFonts w:cs="Arial"/>
                        <w:sz w:val="18"/>
                        <w:szCs w:val="18"/>
                      </w:rPr>
                    </w:pPr>
                    <w:r w:rsidRPr="00CB6844">
                      <w:rPr>
                        <w:rFonts w:cs="Arial"/>
                        <w:sz w:val="18"/>
                        <w:szCs w:val="18"/>
                      </w:rPr>
                      <w:t>0,2</w:t>
                    </w:r>
                  </w:p>
                </w:tc>
              </w:tr>
              <w:tr w:rsidRPr="00CB6844" w:rsidR="002318A8" w:rsidTr="00CE3CDC" w14:paraId="44F3F39B"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6B05EB84" w14:textId="77777777">
                    <w:pPr>
                      <w:rPr>
                        <w:rFonts w:cs="Arial"/>
                        <w:sz w:val="18"/>
                        <w:szCs w:val="18"/>
                      </w:rPr>
                    </w:pPr>
                    <w:r w:rsidRPr="00CB6844">
                      <w:rPr>
                        <w:rFonts w:cs="Arial"/>
                        <w:sz w:val="18"/>
                        <w:szCs w:val="18"/>
                      </w:rPr>
                      <w:t xml:space="preserve">      </w:t>
                    </w:r>
                    <w:r>
                      <w:rPr>
                        <w:rFonts w:cs="Arial"/>
                        <w:sz w:val="18"/>
                        <w:szCs w:val="18"/>
                      </w:rPr>
                      <w:t xml:space="preserve">  L</w:t>
                    </w:r>
                    <w:r w:rsidRPr="00CB6844">
                      <w:rPr>
                        <w:rFonts w:cs="Arial"/>
                        <w:sz w:val="18"/>
                        <w:szCs w:val="18"/>
                      </w:rPr>
                      <w:t>atere ingangsdatum nieuw stelsel kinderopvang</w:t>
                    </w:r>
                  </w:p>
                </w:tc>
                <w:tc>
                  <w:tcPr>
                    <w:tcW w:w="451" w:type="pct"/>
                    <w:tcBorders>
                      <w:top w:val="nil"/>
                      <w:left w:val="nil"/>
                      <w:bottom w:val="nil"/>
                      <w:right w:val="nil"/>
                    </w:tcBorders>
                    <w:shd w:val="clear" w:color="auto" w:fill="auto"/>
                    <w:noWrap/>
                    <w:vAlign w:val="bottom"/>
                    <w:hideMark/>
                  </w:tcPr>
                  <w:p w:rsidRPr="00CB6844" w:rsidR="002318A8" w:rsidRDefault="002318A8" w14:paraId="5D29268E"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0EB8FC51" w14:textId="77777777">
                    <w:pPr>
                      <w:jc w:val="right"/>
                      <w:rPr>
                        <w:rFonts w:cs="Arial"/>
                        <w:sz w:val="18"/>
                        <w:szCs w:val="18"/>
                      </w:rPr>
                    </w:pPr>
                    <w:r w:rsidRPr="00CB6844">
                      <w:rPr>
                        <w:rFonts w:cs="Arial"/>
                        <w:sz w:val="18"/>
                        <w:szCs w:val="18"/>
                      </w:rPr>
                      <w:t>-0,6</w:t>
                    </w:r>
                  </w:p>
                </w:tc>
                <w:tc>
                  <w:tcPr>
                    <w:tcW w:w="352" w:type="pct"/>
                    <w:tcBorders>
                      <w:top w:val="nil"/>
                      <w:left w:val="nil"/>
                      <w:bottom w:val="nil"/>
                      <w:right w:val="nil"/>
                    </w:tcBorders>
                    <w:shd w:val="clear" w:color="auto" w:fill="auto"/>
                    <w:noWrap/>
                    <w:vAlign w:val="bottom"/>
                    <w:hideMark/>
                  </w:tcPr>
                  <w:p w:rsidRPr="00CB6844" w:rsidR="002318A8" w:rsidRDefault="002318A8" w14:paraId="69B46406" w14:textId="77777777">
                    <w:pPr>
                      <w:jc w:val="right"/>
                      <w:rPr>
                        <w:rFonts w:cs="Arial"/>
                        <w:sz w:val="18"/>
                        <w:szCs w:val="18"/>
                      </w:rPr>
                    </w:pPr>
                    <w:r w:rsidRPr="00CB6844">
                      <w:rPr>
                        <w:rFonts w:cs="Arial"/>
                        <w:sz w:val="18"/>
                        <w:szCs w:val="18"/>
                      </w:rPr>
                      <w:t>-2,2</w:t>
                    </w:r>
                  </w:p>
                </w:tc>
                <w:tc>
                  <w:tcPr>
                    <w:tcW w:w="569" w:type="pct"/>
                    <w:tcBorders>
                      <w:top w:val="nil"/>
                      <w:left w:val="nil"/>
                      <w:bottom w:val="nil"/>
                      <w:right w:val="nil"/>
                    </w:tcBorders>
                    <w:shd w:val="clear" w:color="auto" w:fill="auto"/>
                    <w:noWrap/>
                    <w:vAlign w:val="bottom"/>
                    <w:hideMark/>
                  </w:tcPr>
                  <w:p w:rsidRPr="00CB6844" w:rsidR="002318A8" w:rsidRDefault="002318A8" w14:paraId="486E27A6" w14:textId="77777777">
                    <w:pPr>
                      <w:jc w:val="right"/>
                      <w:rPr>
                        <w:rFonts w:cs="Arial"/>
                        <w:sz w:val="18"/>
                        <w:szCs w:val="18"/>
                      </w:rPr>
                    </w:pPr>
                    <w:r w:rsidRPr="00CB6844">
                      <w:rPr>
                        <w:rFonts w:cs="Arial"/>
                        <w:sz w:val="18"/>
                        <w:szCs w:val="18"/>
                      </w:rPr>
                      <w:t>-1,9</w:t>
                    </w:r>
                  </w:p>
                </w:tc>
              </w:tr>
              <w:tr w:rsidRPr="00CB6844" w:rsidR="002318A8" w:rsidTr="00CE3CDC" w14:paraId="64B056AB"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5DD55527"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 xml:space="preserve">Compensatie </w:t>
                    </w:r>
                    <w:r>
                      <w:rPr>
                        <w:rFonts w:cs="Arial"/>
                        <w:sz w:val="18"/>
                        <w:szCs w:val="18"/>
                      </w:rPr>
                      <w:t>e</w:t>
                    </w:r>
                    <w:r w:rsidRPr="00CB6844">
                      <w:rPr>
                        <w:rFonts w:cs="Arial"/>
                        <w:sz w:val="18"/>
                        <w:szCs w:val="18"/>
                      </w:rPr>
                      <w:t>n flankerend beleid kinderopvang</w:t>
                    </w:r>
                  </w:p>
                </w:tc>
                <w:tc>
                  <w:tcPr>
                    <w:tcW w:w="451" w:type="pct"/>
                    <w:tcBorders>
                      <w:top w:val="nil"/>
                      <w:left w:val="nil"/>
                      <w:bottom w:val="nil"/>
                      <w:right w:val="nil"/>
                    </w:tcBorders>
                    <w:shd w:val="clear" w:color="auto" w:fill="auto"/>
                    <w:noWrap/>
                    <w:vAlign w:val="bottom"/>
                    <w:hideMark/>
                  </w:tcPr>
                  <w:p w:rsidRPr="00CB6844" w:rsidR="002318A8" w:rsidRDefault="002318A8" w14:paraId="5C309CD2"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4FFD1475" w14:textId="77777777">
                    <w:pPr>
                      <w:jc w:val="right"/>
                      <w:rPr>
                        <w:rFonts w:cs="Arial"/>
                        <w:sz w:val="18"/>
                        <w:szCs w:val="18"/>
                      </w:rPr>
                    </w:pPr>
                    <w:r w:rsidRPr="00CB6844">
                      <w:rPr>
                        <w:rFonts w:cs="Arial"/>
                        <w:sz w:val="18"/>
                        <w:szCs w:val="18"/>
                      </w:rPr>
                      <w:t>0,3</w:t>
                    </w:r>
                  </w:p>
                </w:tc>
                <w:tc>
                  <w:tcPr>
                    <w:tcW w:w="352" w:type="pct"/>
                    <w:tcBorders>
                      <w:top w:val="nil"/>
                      <w:left w:val="nil"/>
                      <w:bottom w:val="nil"/>
                      <w:right w:val="nil"/>
                    </w:tcBorders>
                    <w:shd w:val="clear" w:color="auto" w:fill="auto"/>
                    <w:noWrap/>
                    <w:vAlign w:val="bottom"/>
                    <w:hideMark/>
                  </w:tcPr>
                  <w:p w:rsidRPr="00CB6844" w:rsidR="002318A8" w:rsidRDefault="002318A8" w14:paraId="3B06A31F" w14:textId="77777777">
                    <w:pPr>
                      <w:jc w:val="right"/>
                      <w:rPr>
                        <w:rFonts w:cs="Arial"/>
                        <w:sz w:val="18"/>
                        <w:szCs w:val="18"/>
                      </w:rPr>
                    </w:pPr>
                    <w:r w:rsidRPr="00CB6844">
                      <w:rPr>
                        <w:rFonts w:cs="Arial"/>
                        <w:sz w:val="18"/>
                        <w:szCs w:val="18"/>
                      </w:rPr>
                      <w:t>0,8</w:t>
                    </w:r>
                  </w:p>
                </w:tc>
                <w:tc>
                  <w:tcPr>
                    <w:tcW w:w="569" w:type="pct"/>
                    <w:tcBorders>
                      <w:top w:val="nil"/>
                      <w:left w:val="nil"/>
                      <w:bottom w:val="nil"/>
                      <w:right w:val="nil"/>
                    </w:tcBorders>
                    <w:shd w:val="clear" w:color="auto" w:fill="auto"/>
                    <w:noWrap/>
                    <w:vAlign w:val="bottom"/>
                    <w:hideMark/>
                  </w:tcPr>
                  <w:p w:rsidRPr="00CB6844" w:rsidR="002318A8" w:rsidRDefault="002318A8" w14:paraId="08ACB535" w14:textId="77777777">
                    <w:pPr>
                      <w:jc w:val="right"/>
                      <w:rPr>
                        <w:rFonts w:cs="Arial"/>
                        <w:sz w:val="18"/>
                        <w:szCs w:val="18"/>
                      </w:rPr>
                    </w:pPr>
                    <w:r w:rsidRPr="00CB6844">
                      <w:rPr>
                        <w:rFonts w:cs="Arial"/>
                        <w:sz w:val="18"/>
                        <w:szCs w:val="18"/>
                      </w:rPr>
                      <w:t>1</w:t>
                    </w:r>
                    <w:r>
                      <w:rPr>
                        <w:rFonts w:cs="Arial"/>
                        <w:sz w:val="18"/>
                        <w:szCs w:val="18"/>
                      </w:rPr>
                      <w:t>,0</w:t>
                    </w:r>
                  </w:p>
                </w:tc>
              </w:tr>
              <w:tr w:rsidRPr="00CB6844" w:rsidR="002318A8" w:rsidTr="00CE3CDC" w14:paraId="0E910877"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5BF9C299"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Steiler afbouwen recht op WKB</w:t>
                    </w:r>
                  </w:p>
                </w:tc>
                <w:tc>
                  <w:tcPr>
                    <w:tcW w:w="451" w:type="pct"/>
                    <w:tcBorders>
                      <w:top w:val="nil"/>
                      <w:left w:val="nil"/>
                      <w:bottom w:val="nil"/>
                      <w:right w:val="nil"/>
                    </w:tcBorders>
                    <w:shd w:val="clear" w:color="auto" w:fill="auto"/>
                    <w:noWrap/>
                    <w:vAlign w:val="bottom"/>
                    <w:hideMark/>
                  </w:tcPr>
                  <w:p w:rsidRPr="00CB6844" w:rsidR="002318A8" w:rsidRDefault="002318A8" w14:paraId="17AB57AD"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234F5780"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35DC8033" w14:textId="77777777">
                    <w:pPr>
                      <w:jc w:val="right"/>
                      <w:rPr>
                        <w:rFonts w:cs="Arial"/>
                        <w:sz w:val="18"/>
                        <w:szCs w:val="18"/>
                      </w:rPr>
                    </w:pPr>
                    <w:r w:rsidRPr="00CB6844">
                      <w:rPr>
                        <w:rFonts w:cs="Arial"/>
                        <w:sz w:val="18"/>
                        <w:szCs w:val="18"/>
                      </w:rPr>
                      <w:t>-0,3</w:t>
                    </w:r>
                  </w:p>
                </w:tc>
                <w:tc>
                  <w:tcPr>
                    <w:tcW w:w="569" w:type="pct"/>
                    <w:tcBorders>
                      <w:top w:val="nil"/>
                      <w:left w:val="nil"/>
                      <w:bottom w:val="nil"/>
                      <w:right w:val="nil"/>
                    </w:tcBorders>
                    <w:shd w:val="clear" w:color="auto" w:fill="auto"/>
                    <w:noWrap/>
                    <w:vAlign w:val="bottom"/>
                    <w:hideMark/>
                  </w:tcPr>
                  <w:p w:rsidRPr="00CB6844" w:rsidR="002318A8" w:rsidRDefault="002318A8" w14:paraId="672EEEEE" w14:textId="77777777">
                    <w:pPr>
                      <w:jc w:val="right"/>
                      <w:rPr>
                        <w:rFonts w:cs="Arial"/>
                        <w:sz w:val="18"/>
                        <w:szCs w:val="18"/>
                      </w:rPr>
                    </w:pPr>
                    <w:r w:rsidRPr="00CB6844">
                      <w:rPr>
                        <w:rFonts w:cs="Arial"/>
                        <w:sz w:val="18"/>
                        <w:szCs w:val="18"/>
                      </w:rPr>
                      <w:t>-0,3</w:t>
                    </w:r>
                  </w:p>
                </w:tc>
              </w:tr>
              <w:tr w:rsidRPr="00CB6844" w:rsidR="002318A8" w:rsidTr="00CE3CDC" w14:paraId="1C8BF142"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6CFE7533" w14:textId="77777777">
                    <w:pPr>
                      <w:jc w:val="right"/>
                      <w:rPr>
                        <w:rFonts w:cs="Arial"/>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78E319AA"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3B5C7D94"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664A631E"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4EC95342" w14:textId="77777777">
                    <w:pPr>
                      <w:rPr>
                        <w:rFonts w:ascii="Times New Roman" w:hAnsi="Times New Roman"/>
                        <w:sz w:val="20"/>
                        <w:szCs w:val="20"/>
                      </w:rPr>
                    </w:pPr>
                  </w:p>
                </w:tc>
              </w:tr>
              <w:tr w:rsidRPr="00CB6844" w:rsidR="002318A8" w:rsidTr="00CE3CDC" w14:paraId="5B6FCA4B"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3FB32221" w14:textId="77777777">
                    <w:pPr>
                      <w:rPr>
                        <w:rFonts w:cs="Arial"/>
                        <w:i/>
                        <w:iCs/>
                        <w:sz w:val="18"/>
                        <w:szCs w:val="18"/>
                      </w:rPr>
                    </w:pPr>
                    <w:r w:rsidRPr="00CB6844">
                      <w:rPr>
                        <w:rFonts w:cs="Arial"/>
                        <w:i/>
                        <w:iCs/>
                        <w:sz w:val="18"/>
                        <w:szCs w:val="18"/>
                      </w:rPr>
                      <w:t>Gemeenten/jeugdzorg</w:t>
                    </w:r>
                  </w:p>
                </w:tc>
                <w:tc>
                  <w:tcPr>
                    <w:tcW w:w="451" w:type="pct"/>
                    <w:tcBorders>
                      <w:top w:val="nil"/>
                      <w:left w:val="nil"/>
                      <w:bottom w:val="nil"/>
                      <w:right w:val="nil"/>
                    </w:tcBorders>
                    <w:shd w:val="clear" w:color="auto" w:fill="auto"/>
                    <w:noWrap/>
                    <w:vAlign w:val="bottom"/>
                    <w:hideMark/>
                  </w:tcPr>
                  <w:p w:rsidRPr="00CB6844" w:rsidR="002318A8" w:rsidRDefault="002318A8" w14:paraId="56312BD2" w14:textId="77777777">
                    <w:pPr>
                      <w:jc w:val="right"/>
                      <w:rPr>
                        <w:rFonts w:cs="Arial"/>
                        <w:i/>
                        <w:iCs/>
                        <w:sz w:val="18"/>
                        <w:szCs w:val="18"/>
                      </w:rPr>
                    </w:pPr>
                    <w:r w:rsidRPr="00CB6844">
                      <w:rPr>
                        <w:rFonts w:cs="Arial"/>
                        <w:i/>
                        <w:iCs/>
                        <w:sz w:val="18"/>
                        <w:szCs w:val="18"/>
                      </w:rPr>
                      <w:t>0,4</w:t>
                    </w:r>
                  </w:p>
                </w:tc>
                <w:tc>
                  <w:tcPr>
                    <w:tcW w:w="352" w:type="pct"/>
                    <w:tcBorders>
                      <w:top w:val="nil"/>
                      <w:left w:val="nil"/>
                      <w:bottom w:val="nil"/>
                      <w:right w:val="nil"/>
                    </w:tcBorders>
                    <w:shd w:val="clear" w:color="auto" w:fill="auto"/>
                    <w:noWrap/>
                    <w:vAlign w:val="bottom"/>
                    <w:hideMark/>
                  </w:tcPr>
                  <w:p w:rsidRPr="00CB6844" w:rsidR="002318A8" w:rsidRDefault="002318A8" w14:paraId="376AFD58" w14:textId="77777777">
                    <w:pPr>
                      <w:jc w:val="right"/>
                      <w:rPr>
                        <w:rFonts w:cs="Arial"/>
                        <w:i/>
                        <w:iCs/>
                        <w:sz w:val="18"/>
                        <w:szCs w:val="18"/>
                      </w:rPr>
                    </w:pPr>
                    <w:r w:rsidRPr="00CB6844">
                      <w:rPr>
                        <w:rFonts w:cs="Arial"/>
                        <w:i/>
                        <w:iCs/>
                        <w:sz w:val="18"/>
                        <w:szCs w:val="18"/>
                      </w:rPr>
                      <w:t>1,3</w:t>
                    </w:r>
                  </w:p>
                </w:tc>
                <w:tc>
                  <w:tcPr>
                    <w:tcW w:w="352" w:type="pct"/>
                    <w:tcBorders>
                      <w:top w:val="nil"/>
                      <w:left w:val="nil"/>
                      <w:bottom w:val="nil"/>
                      <w:right w:val="nil"/>
                    </w:tcBorders>
                    <w:shd w:val="clear" w:color="auto" w:fill="auto"/>
                    <w:noWrap/>
                    <w:vAlign w:val="bottom"/>
                    <w:hideMark/>
                  </w:tcPr>
                  <w:p w:rsidRPr="00CB6844" w:rsidR="002318A8" w:rsidRDefault="002318A8" w14:paraId="1E85DB95" w14:textId="77777777">
                    <w:pPr>
                      <w:jc w:val="right"/>
                      <w:rPr>
                        <w:rFonts w:cs="Arial"/>
                        <w:i/>
                        <w:iCs/>
                        <w:sz w:val="18"/>
                        <w:szCs w:val="18"/>
                      </w:rPr>
                    </w:pPr>
                    <w:r w:rsidRPr="00CB6844">
                      <w:rPr>
                        <w:rFonts w:cs="Arial"/>
                        <w:i/>
                        <w:iCs/>
                        <w:sz w:val="18"/>
                        <w:szCs w:val="18"/>
                      </w:rPr>
                      <w:t>1,3</w:t>
                    </w:r>
                  </w:p>
                </w:tc>
                <w:tc>
                  <w:tcPr>
                    <w:tcW w:w="569" w:type="pct"/>
                    <w:tcBorders>
                      <w:top w:val="nil"/>
                      <w:left w:val="nil"/>
                      <w:bottom w:val="nil"/>
                      <w:right w:val="nil"/>
                    </w:tcBorders>
                    <w:shd w:val="clear" w:color="auto" w:fill="auto"/>
                    <w:noWrap/>
                    <w:vAlign w:val="bottom"/>
                    <w:hideMark/>
                  </w:tcPr>
                  <w:p w:rsidRPr="00CB6844" w:rsidR="002318A8" w:rsidRDefault="002318A8" w14:paraId="1045A8F7" w14:textId="77777777">
                    <w:pPr>
                      <w:jc w:val="right"/>
                      <w:rPr>
                        <w:rFonts w:cs="Arial"/>
                        <w:i/>
                        <w:iCs/>
                        <w:sz w:val="18"/>
                        <w:szCs w:val="18"/>
                      </w:rPr>
                    </w:pPr>
                    <w:r w:rsidRPr="00CB6844">
                      <w:rPr>
                        <w:rFonts w:cs="Arial"/>
                        <w:i/>
                        <w:iCs/>
                        <w:sz w:val="18"/>
                        <w:szCs w:val="18"/>
                      </w:rPr>
                      <w:t>0</w:t>
                    </w:r>
                    <w:r>
                      <w:rPr>
                        <w:rFonts w:cs="Arial"/>
                        <w:i/>
                        <w:iCs/>
                        <w:sz w:val="18"/>
                        <w:szCs w:val="18"/>
                      </w:rPr>
                      <w:t>,0</w:t>
                    </w:r>
                  </w:p>
                </w:tc>
              </w:tr>
              <w:tr w:rsidRPr="00CB6844" w:rsidR="002318A8" w:rsidTr="00CE3CDC" w14:paraId="1F9FDB49"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6AB092C9" w14:textId="77777777">
                    <w:pPr>
                      <w:jc w:val="right"/>
                      <w:rPr>
                        <w:rFonts w:cs="Arial"/>
                        <w:i/>
                        <w:iCs/>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12FC064F"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698ABDA4"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0A9A3E95"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5A5F9339" w14:textId="77777777">
                    <w:pPr>
                      <w:rPr>
                        <w:rFonts w:ascii="Times New Roman" w:hAnsi="Times New Roman"/>
                        <w:sz w:val="20"/>
                        <w:szCs w:val="20"/>
                      </w:rPr>
                    </w:pPr>
                  </w:p>
                </w:tc>
              </w:tr>
              <w:tr w:rsidRPr="00CB6844" w:rsidR="002318A8" w:rsidTr="00CE3CDC" w14:paraId="5E91495A"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52AC305F" w14:textId="77777777">
                    <w:pPr>
                      <w:rPr>
                        <w:rFonts w:cs="Arial"/>
                        <w:i/>
                        <w:iCs/>
                        <w:sz w:val="18"/>
                        <w:szCs w:val="18"/>
                      </w:rPr>
                    </w:pPr>
                    <w:r w:rsidRPr="00CB6844">
                      <w:rPr>
                        <w:rFonts w:cs="Arial"/>
                        <w:i/>
                        <w:iCs/>
                        <w:sz w:val="18"/>
                        <w:szCs w:val="18"/>
                      </w:rPr>
                      <w:t>Huren</w:t>
                    </w:r>
                  </w:p>
                </w:tc>
                <w:tc>
                  <w:tcPr>
                    <w:tcW w:w="451" w:type="pct"/>
                    <w:tcBorders>
                      <w:top w:val="nil"/>
                      <w:left w:val="nil"/>
                      <w:bottom w:val="nil"/>
                      <w:right w:val="nil"/>
                    </w:tcBorders>
                    <w:shd w:val="clear" w:color="auto" w:fill="auto"/>
                    <w:noWrap/>
                    <w:vAlign w:val="bottom"/>
                    <w:hideMark/>
                  </w:tcPr>
                  <w:p w:rsidRPr="00CB6844" w:rsidR="002318A8" w:rsidRDefault="002318A8" w14:paraId="32C896D6" w14:textId="77777777">
                    <w:pPr>
                      <w:jc w:val="right"/>
                      <w:rPr>
                        <w:rFonts w:cs="Arial"/>
                        <w:i/>
                        <w:iCs/>
                        <w:sz w:val="18"/>
                        <w:szCs w:val="18"/>
                      </w:rPr>
                    </w:pPr>
                    <w:r w:rsidRPr="00CB6844">
                      <w:rPr>
                        <w:rFonts w:cs="Arial"/>
                        <w:i/>
                        <w:iCs/>
                        <w:sz w:val="18"/>
                        <w:szCs w:val="18"/>
                      </w:rPr>
                      <w:t>-0,1</w:t>
                    </w:r>
                  </w:p>
                </w:tc>
                <w:tc>
                  <w:tcPr>
                    <w:tcW w:w="352" w:type="pct"/>
                    <w:tcBorders>
                      <w:top w:val="nil"/>
                      <w:left w:val="nil"/>
                      <w:bottom w:val="nil"/>
                      <w:right w:val="nil"/>
                    </w:tcBorders>
                    <w:shd w:val="clear" w:color="auto" w:fill="auto"/>
                    <w:noWrap/>
                    <w:vAlign w:val="bottom"/>
                    <w:hideMark/>
                  </w:tcPr>
                  <w:p w:rsidRPr="00CB6844" w:rsidR="002318A8" w:rsidRDefault="002318A8" w14:paraId="544F5FEA" w14:textId="77777777">
                    <w:pPr>
                      <w:jc w:val="right"/>
                      <w:rPr>
                        <w:rFonts w:cs="Arial"/>
                        <w:i/>
                        <w:iCs/>
                        <w:sz w:val="18"/>
                        <w:szCs w:val="18"/>
                      </w:rPr>
                    </w:pPr>
                    <w:r w:rsidRPr="00CB6844">
                      <w:rPr>
                        <w:rFonts w:cs="Arial"/>
                        <w:i/>
                        <w:iCs/>
                        <w:sz w:val="18"/>
                        <w:szCs w:val="18"/>
                      </w:rPr>
                      <w:t>0,8</w:t>
                    </w:r>
                  </w:p>
                </w:tc>
                <w:tc>
                  <w:tcPr>
                    <w:tcW w:w="352" w:type="pct"/>
                    <w:tcBorders>
                      <w:top w:val="nil"/>
                      <w:left w:val="nil"/>
                      <w:bottom w:val="nil"/>
                      <w:right w:val="nil"/>
                    </w:tcBorders>
                    <w:shd w:val="clear" w:color="auto" w:fill="auto"/>
                    <w:noWrap/>
                    <w:vAlign w:val="bottom"/>
                    <w:hideMark/>
                  </w:tcPr>
                  <w:p w:rsidRPr="00CB6844" w:rsidR="002318A8" w:rsidRDefault="002318A8" w14:paraId="041F7B7D" w14:textId="77777777">
                    <w:pPr>
                      <w:jc w:val="right"/>
                      <w:rPr>
                        <w:rFonts w:cs="Arial"/>
                        <w:i/>
                        <w:iCs/>
                        <w:sz w:val="18"/>
                        <w:szCs w:val="18"/>
                      </w:rPr>
                    </w:pPr>
                    <w:r w:rsidRPr="00CB6844">
                      <w:rPr>
                        <w:rFonts w:cs="Arial"/>
                        <w:i/>
                        <w:iCs/>
                        <w:sz w:val="18"/>
                        <w:szCs w:val="18"/>
                      </w:rPr>
                      <w:t>-0,1</w:t>
                    </w:r>
                  </w:p>
                </w:tc>
                <w:tc>
                  <w:tcPr>
                    <w:tcW w:w="569" w:type="pct"/>
                    <w:tcBorders>
                      <w:top w:val="nil"/>
                      <w:left w:val="nil"/>
                      <w:bottom w:val="nil"/>
                      <w:right w:val="nil"/>
                    </w:tcBorders>
                    <w:shd w:val="clear" w:color="auto" w:fill="auto"/>
                    <w:noWrap/>
                    <w:vAlign w:val="bottom"/>
                    <w:hideMark/>
                  </w:tcPr>
                  <w:p w:rsidRPr="00CB6844" w:rsidR="002318A8" w:rsidRDefault="002318A8" w14:paraId="46D117F7" w14:textId="77777777">
                    <w:pPr>
                      <w:jc w:val="right"/>
                      <w:rPr>
                        <w:rFonts w:cs="Arial"/>
                        <w:i/>
                        <w:iCs/>
                        <w:sz w:val="18"/>
                        <w:szCs w:val="18"/>
                      </w:rPr>
                    </w:pPr>
                    <w:r w:rsidRPr="00CB6844">
                      <w:rPr>
                        <w:rFonts w:cs="Arial"/>
                        <w:i/>
                        <w:iCs/>
                        <w:sz w:val="18"/>
                        <w:szCs w:val="18"/>
                      </w:rPr>
                      <w:t>-0,1</w:t>
                    </w:r>
                  </w:p>
                </w:tc>
              </w:tr>
              <w:tr w:rsidRPr="00CB6844" w:rsidR="002318A8" w:rsidTr="00CE3CDC" w14:paraId="53FD30F9"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6B7EDBF" w14:textId="77777777">
                    <w:pPr>
                      <w:jc w:val="right"/>
                      <w:rPr>
                        <w:rFonts w:cs="Arial"/>
                        <w:i/>
                        <w:iCs/>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59286904"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7E5193DE"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1AA2AE8D"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6E0F1749" w14:textId="77777777">
                    <w:pPr>
                      <w:rPr>
                        <w:rFonts w:ascii="Times New Roman" w:hAnsi="Times New Roman"/>
                        <w:sz w:val="20"/>
                        <w:szCs w:val="20"/>
                      </w:rPr>
                    </w:pPr>
                  </w:p>
                </w:tc>
              </w:tr>
              <w:tr w:rsidRPr="00CB6844" w:rsidR="002318A8" w:rsidTr="00CE3CDC" w14:paraId="5D0F4BFB"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334C9833" w14:textId="77777777">
                    <w:pPr>
                      <w:rPr>
                        <w:rFonts w:cs="Arial"/>
                        <w:i/>
                        <w:iCs/>
                        <w:sz w:val="18"/>
                        <w:szCs w:val="18"/>
                      </w:rPr>
                    </w:pPr>
                    <w:r w:rsidRPr="00CB6844">
                      <w:rPr>
                        <w:rFonts w:cs="Arial"/>
                        <w:i/>
                        <w:iCs/>
                        <w:sz w:val="18"/>
                        <w:szCs w:val="18"/>
                      </w:rPr>
                      <w:t>Infrastructuur</w:t>
                    </w:r>
                  </w:p>
                </w:tc>
                <w:tc>
                  <w:tcPr>
                    <w:tcW w:w="451" w:type="pct"/>
                    <w:tcBorders>
                      <w:top w:val="nil"/>
                      <w:left w:val="nil"/>
                      <w:bottom w:val="nil"/>
                      <w:right w:val="nil"/>
                    </w:tcBorders>
                    <w:shd w:val="clear" w:color="auto" w:fill="auto"/>
                    <w:noWrap/>
                    <w:vAlign w:val="bottom"/>
                    <w:hideMark/>
                  </w:tcPr>
                  <w:p w:rsidRPr="00CB6844" w:rsidR="002318A8" w:rsidRDefault="002318A8" w14:paraId="1C77AAE8" w14:textId="77777777">
                    <w:pPr>
                      <w:jc w:val="right"/>
                      <w:rPr>
                        <w:rFonts w:cs="Arial"/>
                        <w:i/>
                        <w:iCs/>
                        <w:sz w:val="18"/>
                        <w:szCs w:val="18"/>
                      </w:rPr>
                    </w:pPr>
                    <w:r w:rsidRPr="00CB6844">
                      <w:rPr>
                        <w:rFonts w:cs="Arial"/>
                        <w:i/>
                        <w:iCs/>
                        <w:sz w:val="18"/>
                        <w:szCs w:val="18"/>
                      </w:rPr>
                      <w:t>0</w:t>
                    </w:r>
                    <w:r>
                      <w:rPr>
                        <w:rFonts w:cs="Arial"/>
                        <w:i/>
                        <w:iCs/>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35E4399C" w14:textId="77777777">
                    <w:pPr>
                      <w:jc w:val="right"/>
                      <w:rPr>
                        <w:rFonts w:cs="Arial"/>
                        <w:i/>
                        <w:iCs/>
                        <w:sz w:val="18"/>
                        <w:szCs w:val="18"/>
                      </w:rPr>
                    </w:pPr>
                    <w:r w:rsidRPr="00CB6844">
                      <w:rPr>
                        <w:rFonts w:cs="Arial"/>
                        <w:i/>
                        <w:iCs/>
                        <w:sz w:val="18"/>
                        <w:szCs w:val="18"/>
                      </w:rPr>
                      <w:t>-1</w:t>
                    </w:r>
                    <w:r>
                      <w:rPr>
                        <w:rFonts w:cs="Arial"/>
                        <w:i/>
                        <w:iCs/>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0F82D969" w14:textId="77777777">
                    <w:pPr>
                      <w:jc w:val="right"/>
                      <w:rPr>
                        <w:rFonts w:cs="Arial"/>
                        <w:i/>
                        <w:iCs/>
                        <w:sz w:val="18"/>
                        <w:szCs w:val="18"/>
                      </w:rPr>
                    </w:pPr>
                    <w:r w:rsidRPr="00CB6844">
                      <w:rPr>
                        <w:rFonts w:cs="Arial"/>
                        <w:i/>
                        <w:iCs/>
                        <w:sz w:val="18"/>
                        <w:szCs w:val="18"/>
                      </w:rPr>
                      <w:t>1</w:t>
                    </w:r>
                    <w:r>
                      <w:rPr>
                        <w:rFonts w:cs="Arial"/>
                        <w:i/>
                        <w:iCs/>
                        <w:sz w:val="18"/>
                        <w:szCs w:val="18"/>
                      </w:rPr>
                      <w:t>,0</w:t>
                    </w:r>
                  </w:p>
                </w:tc>
                <w:tc>
                  <w:tcPr>
                    <w:tcW w:w="569" w:type="pct"/>
                    <w:tcBorders>
                      <w:top w:val="nil"/>
                      <w:left w:val="nil"/>
                      <w:bottom w:val="nil"/>
                      <w:right w:val="nil"/>
                    </w:tcBorders>
                    <w:shd w:val="clear" w:color="auto" w:fill="auto"/>
                    <w:noWrap/>
                    <w:vAlign w:val="bottom"/>
                    <w:hideMark/>
                  </w:tcPr>
                  <w:p w:rsidRPr="00CB6844" w:rsidR="002318A8" w:rsidRDefault="002318A8" w14:paraId="29DB4C6A" w14:textId="77777777">
                    <w:pPr>
                      <w:jc w:val="right"/>
                      <w:rPr>
                        <w:rFonts w:cs="Arial"/>
                        <w:i/>
                        <w:iCs/>
                        <w:sz w:val="18"/>
                        <w:szCs w:val="18"/>
                      </w:rPr>
                    </w:pPr>
                    <w:r w:rsidRPr="00CB6844">
                      <w:rPr>
                        <w:rFonts w:cs="Arial"/>
                        <w:i/>
                        <w:iCs/>
                        <w:sz w:val="18"/>
                        <w:szCs w:val="18"/>
                      </w:rPr>
                      <w:t>0</w:t>
                    </w:r>
                    <w:r>
                      <w:rPr>
                        <w:rFonts w:cs="Arial"/>
                        <w:i/>
                        <w:iCs/>
                        <w:sz w:val="18"/>
                        <w:szCs w:val="18"/>
                      </w:rPr>
                      <w:t>,0</w:t>
                    </w:r>
                  </w:p>
                </w:tc>
              </w:tr>
              <w:tr w:rsidRPr="00CB6844" w:rsidR="002318A8" w:rsidTr="00CE3CDC" w14:paraId="37F83675"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2EE2D558" w14:textId="77777777">
                    <w:pPr>
                      <w:jc w:val="right"/>
                      <w:rPr>
                        <w:rFonts w:cs="Arial"/>
                        <w:i/>
                        <w:iCs/>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4F1F5FCB"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01AACBE3"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105C6E7A"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4506FBD7" w14:textId="77777777">
                    <w:pPr>
                      <w:rPr>
                        <w:rFonts w:ascii="Times New Roman" w:hAnsi="Times New Roman"/>
                        <w:sz w:val="20"/>
                        <w:szCs w:val="20"/>
                      </w:rPr>
                    </w:pPr>
                  </w:p>
                </w:tc>
              </w:tr>
              <w:tr w:rsidRPr="00CB6844" w:rsidR="002318A8" w:rsidTr="00CE3CDC" w14:paraId="1E39CA21"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484DE7B1" w14:textId="77777777">
                    <w:pPr>
                      <w:rPr>
                        <w:rFonts w:cs="Arial"/>
                        <w:i/>
                        <w:iCs/>
                        <w:sz w:val="18"/>
                        <w:szCs w:val="18"/>
                      </w:rPr>
                    </w:pPr>
                    <w:r w:rsidRPr="00CB6844">
                      <w:rPr>
                        <w:rFonts w:cs="Arial"/>
                        <w:i/>
                        <w:iCs/>
                        <w:sz w:val="18"/>
                        <w:szCs w:val="18"/>
                      </w:rPr>
                      <w:t>Stikstof</w:t>
                    </w:r>
                  </w:p>
                </w:tc>
                <w:tc>
                  <w:tcPr>
                    <w:tcW w:w="451" w:type="pct"/>
                    <w:tcBorders>
                      <w:top w:val="nil"/>
                      <w:left w:val="nil"/>
                      <w:bottom w:val="nil"/>
                      <w:right w:val="nil"/>
                    </w:tcBorders>
                    <w:shd w:val="clear" w:color="auto" w:fill="auto"/>
                    <w:noWrap/>
                    <w:vAlign w:val="bottom"/>
                    <w:hideMark/>
                  </w:tcPr>
                  <w:p w:rsidRPr="00CB6844" w:rsidR="002318A8" w:rsidRDefault="002318A8" w14:paraId="6FBE4C30" w14:textId="77777777">
                    <w:pPr>
                      <w:jc w:val="right"/>
                      <w:rPr>
                        <w:rFonts w:cs="Arial"/>
                        <w:i/>
                        <w:iCs/>
                        <w:sz w:val="18"/>
                        <w:szCs w:val="18"/>
                      </w:rPr>
                    </w:pPr>
                    <w:r w:rsidRPr="00CB6844">
                      <w:rPr>
                        <w:rFonts w:cs="Arial"/>
                        <w:i/>
                        <w:iCs/>
                        <w:sz w:val="18"/>
                        <w:szCs w:val="18"/>
                      </w:rPr>
                      <w:t>0,2</w:t>
                    </w:r>
                  </w:p>
                </w:tc>
                <w:tc>
                  <w:tcPr>
                    <w:tcW w:w="352" w:type="pct"/>
                    <w:tcBorders>
                      <w:top w:val="nil"/>
                      <w:left w:val="nil"/>
                      <w:bottom w:val="nil"/>
                      <w:right w:val="nil"/>
                    </w:tcBorders>
                    <w:shd w:val="clear" w:color="auto" w:fill="auto"/>
                    <w:noWrap/>
                    <w:vAlign w:val="bottom"/>
                    <w:hideMark/>
                  </w:tcPr>
                  <w:p w:rsidRPr="00CB6844" w:rsidR="002318A8" w:rsidRDefault="002318A8" w14:paraId="727DB3F0" w14:textId="77777777">
                    <w:pPr>
                      <w:jc w:val="right"/>
                      <w:rPr>
                        <w:rFonts w:cs="Arial"/>
                        <w:i/>
                        <w:iCs/>
                        <w:sz w:val="18"/>
                        <w:szCs w:val="18"/>
                      </w:rPr>
                    </w:pPr>
                    <w:r w:rsidRPr="00CB6844">
                      <w:rPr>
                        <w:rFonts w:cs="Arial"/>
                        <w:i/>
                        <w:iCs/>
                        <w:sz w:val="18"/>
                        <w:szCs w:val="18"/>
                      </w:rPr>
                      <w:t>0</w:t>
                    </w:r>
                    <w:r>
                      <w:rPr>
                        <w:rFonts w:cs="Arial"/>
                        <w:i/>
                        <w:iCs/>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5B6CEA9B" w14:textId="77777777">
                    <w:pPr>
                      <w:jc w:val="right"/>
                      <w:rPr>
                        <w:rFonts w:cs="Arial"/>
                        <w:i/>
                        <w:iCs/>
                        <w:sz w:val="18"/>
                        <w:szCs w:val="18"/>
                      </w:rPr>
                    </w:pPr>
                    <w:r w:rsidRPr="00CB6844">
                      <w:rPr>
                        <w:rFonts w:cs="Arial"/>
                        <w:i/>
                        <w:iCs/>
                        <w:sz w:val="18"/>
                        <w:szCs w:val="18"/>
                      </w:rPr>
                      <w:t>0</w:t>
                    </w:r>
                    <w:r>
                      <w:rPr>
                        <w:rFonts w:cs="Arial"/>
                        <w:i/>
                        <w:iCs/>
                        <w:sz w:val="18"/>
                        <w:szCs w:val="18"/>
                      </w:rPr>
                      <w:t>,0</w:t>
                    </w:r>
                  </w:p>
                </w:tc>
                <w:tc>
                  <w:tcPr>
                    <w:tcW w:w="569" w:type="pct"/>
                    <w:tcBorders>
                      <w:top w:val="nil"/>
                      <w:left w:val="nil"/>
                      <w:bottom w:val="nil"/>
                      <w:right w:val="nil"/>
                    </w:tcBorders>
                    <w:shd w:val="clear" w:color="auto" w:fill="auto"/>
                    <w:noWrap/>
                    <w:vAlign w:val="bottom"/>
                    <w:hideMark/>
                  </w:tcPr>
                  <w:p w:rsidRPr="00CB6844" w:rsidR="002318A8" w:rsidRDefault="002318A8" w14:paraId="7C713637" w14:textId="77777777">
                    <w:pPr>
                      <w:jc w:val="right"/>
                      <w:rPr>
                        <w:rFonts w:cs="Arial"/>
                        <w:i/>
                        <w:iCs/>
                        <w:sz w:val="18"/>
                        <w:szCs w:val="18"/>
                      </w:rPr>
                    </w:pPr>
                    <w:r w:rsidRPr="00CB6844">
                      <w:rPr>
                        <w:rFonts w:cs="Arial"/>
                        <w:i/>
                        <w:iCs/>
                        <w:sz w:val="18"/>
                        <w:szCs w:val="18"/>
                      </w:rPr>
                      <w:t>0</w:t>
                    </w:r>
                    <w:r>
                      <w:rPr>
                        <w:rFonts w:cs="Arial"/>
                        <w:i/>
                        <w:iCs/>
                        <w:sz w:val="18"/>
                        <w:szCs w:val="18"/>
                      </w:rPr>
                      <w:t>,0</w:t>
                    </w:r>
                  </w:p>
                </w:tc>
              </w:tr>
              <w:tr w:rsidRPr="00CB6844" w:rsidR="002318A8" w:rsidTr="00CE3CDC" w14:paraId="2D0E596D"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2A0C0811" w14:textId="77777777">
                    <w:pPr>
                      <w:jc w:val="right"/>
                      <w:rPr>
                        <w:rFonts w:cs="Arial"/>
                        <w:i/>
                        <w:iCs/>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2A9E30DF"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11C59370"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63B5DA8B"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528E02CD" w14:textId="77777777">
                    <w:pPr>
                      <w:rPr>
                        <w:rFonts w:ascii="Times New Roman" w:hAnsi="Times New Roman"/>
                        <w:sz w:val="20"/>
                        <w:szCs w:val="20"/>
                      </w:rPr>
                    </w:pPr>
                  </w:p>
                </w:tc>
              </w:tr>
              <w:tr w:rsidRPr="00CB6844" w:rsidR="002318A8" w:rsidTr="00CE3CDC" w14:paraId="38F8D717"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1A89741B" w14:textId="77777777">
                    <w:pPr>
                      <w:rPr>
                        <w:rFonts w:cs="Arial"/>
                        <w:i/>
                        <w:iCs/>
                        <w:sz w:val="18"/>
                        <w:szCs w:val="18"/>
                      </w:rPr>
                    </w:pPr>
                    <w:r w:rsidRPr="00CB6844">
                      <w:rPr>
                        <w:rFonts w:cs="Arial"/>
                        <w:i/>
                        <w:iCs/>
                        <w:sz w:val="18"/>
                        <w:szCs w:val="18"/>
                      </w:rPr>
                      <w:t>Overig Rijk</w:t>
                    </w:r>
                  </w:p>
                </w:tc>
                <w:tc>
                  <w:tcPr>
                    <w:tcW w:w="451" w:type="pct"/>
                    <w:tcBorders>
                      <w:top w:val="nil"/>
                      <w:left w:val="nil"/>
                      <w:bottom w:val="nil"/>
                      <w:right w:val="nil"/>
                    </w:tcBorders>
                    <w:shd w:val="clear" w:color="auto" w:fill="auto"/>
                    <w:noWrap/>
                    <w:vAlign w:val="bottom"/>
                    <w:hideMark/>
                  </w:tcPr>
                  <w:p w:rsidRPr="00CB6844" w:rsidR="002318A8" w:rsidRDefault="002318A8" w14:paraId="2637EA8E" w14:textId="77777777">
                    <w:pPr>
                      <w:jc w:val="right"/>
                      <w:rPr>
                        <w:rFonts w:cs="Arial"/>
                        <w:i/>
                        <w:iCs/>
                        <w:sz w:val="18"/>
                        <w:szCs w:val="18"/>
                      </w:rPr>
                    </w:pPr>
                    <w:r w:rsidRPr="00CB6844">
                      <w:rPr>
                        <w:rFonts w:cs="Arial"/>
                        <w:i/>
                        <w:iCs/>
                        <w:sz w:val="18"/>
                        <w:szCs w:val="18"/>
                      </w:rPr>
                      <w:t>-1,5</w:t>
                    </w:r>
                  </w:p>
                </w:tc>
                <w:tc>
                  <w:tcPr>
                    <w:tcW w:w="352" w:type="pct"/>
                    <w:tcBorders>
                      <w:top w:val="nil"/>
                      <w:left w:val="nil"/>
                      <w:bottom w:val="nil"/>
                      <w:right w:val="nil"/>
                    </w:tcBorders>
                    <w:shd w:val="clear" w:color="auto" w:fill="auto"/>
                    <w:noWrap/>
                    <w:vAlign w:val="bottom"/>
                    <w:hideMark/>
                  </w:tcPr>
                  <w:p w:rsidRPr="00CB6844" w:rsidR="002318A8" w:rsidRDefault="002318A8" w14:paraId="4A2E0CA5" w14:textId="77777777">
                    <w:pPr>
                      <w:jc w:val="right"/>
                      <w:rPr>
                        <w:rFonts w:cs="Arial"/>
                        <w:i/>
                        <w:iCs/>
                        <w:sz w:val="18"/>
                        <w:szCs w:val="18"/>
                      </w:rPr>
                    </w:pPr>
                    <w:r w:rsidRPr="00CB6844">
                      <w:rPr>
                        <w:rFonts w:cs="Arial"/>
                        <w:i/>
                        <w:iCs/>
                        <w:sz w:val="18"/>
                        <w:szCs w:val="18"/>
                      </w:rPr>
                      <w:t>-2,1</w:t>
                    </w:r>
                  </w:p>
                </w:tc>
                <w:tc>
                  <w:tcPr>
                    <w:tcW w:w="352" w:type="pct"/>
                    <w:tcBorders>
                      <w:top w:val="nil"/>
                      <w:left w:val="nil"/>
                      <w:bottom w:val="nil"/>
                      <w:right w:val="nil"/>
                    </w:tcBorders>
                    <w:shd w:val="clear" w:color="auto" w:fill="auto"/>
                    <w:noWrap/>
                    <w:vAlign w:val="bottom"/>
                    <w:hideMark/>
                  </w:tcPr>
                  <w:p w:rsidRPr="00CB6844" w:rsidR="002318A8" w:rsidRDefault="002318A8" w14:paraId="63A80595" w14:textId="77777777">
                    <w:pPr>
                      <w:jc w:val="right"/>
                      <w:rPr>
                        <w:rFonts w:cs="Arial"/>
                        <w:i/>
                        <w:iCs/>
                        <w:sz w:val="18"/>
                        <w:szCs w:val="18"/>
                      </w:rPr>
                    </w:pPr>
                    <w:r w:rsidRPr="00CB6844">
                      <w:rPr>
                        <w:rFonts w:cs="Arial"/>
                        <w:i/>
                        <w:iCs/>
                        <w:sz w:val="18"/>
                        <w:szCs w:val="18"/>
                      </w:rPr>
                      <w:t>-1,2</w:t>
                    </w:r>
                  </w:p>
                </w:tc>
                <w:tc>
                  <w:tcPr>
                    <w:tcW w:w="569" w:type="pct"/>
                    <w:tcBorders>
                      <w:top w:val="nil"/>
                      <w:left w:val="nil"/>
                      <w:bottom w:val="nil"/>
                      <w:right w:val="nil"/>
                    </w:tcBorders>
                    <w:shd w:val="clear" w:color="auto" w:fill="auto"/>
                    <w:noWrap/>
                    <w:vAlign w:val="bottom"/>
                    <w:hideMark/>
                  </w:tcPr>
                  <w:p w:rsidRPr="00CB6844" w:rsidR="002318A8" w:rsidRDefault="002318A8" w14:paraId="3FEB17B2" w14:textId="77777777">
                    <w:pPr>
                      <w:jc w:val="right"/>
                      <w:rPr>
                        <w:rFonts w:cs="Arial"/>
                        <w:i/>
                        <w:iCs/>
                        <w:sz w:val="18"/>
                        <w:szCs w:val="18"/>
                      </w:rPr>
                    </w:pPr>
                    <w:r w:rsidRPr="00CB6844">
                      <w:rPr>
                        <w:rFonts w:cs="Arial"/>
                        <w:i/>
                        <w:iCs/>
                        <w:sz w:val="18"/>
                        <w:szCs w:val="18"/>
                      </w:rPr>
                      <w:t>-0,6</w:t>
                    </w:r>
                  </w:p>
                </w:tc>
              </w:tr>
              <w:tr w:rsidRPr="00CB6844" w:rsidR="002318A8" w:rsidTr="00CE3CDC" w14:paraId="131A9F61"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3D605583" w14:textId="77777777">
                    <w:pPr>
                      <w:rPr>
                        <w:rFonts w:cs="Arial"/>
                        <w:sz w:val="18"/>
                        <w:szCs w:val="18"/>
                      </w:rPr>
                    </w:pPr>
                    <w:proofErr w:type="spellStart"/>
                    <w:r w:rsidRPr="00CB6844">
                      <w:rPr>
                        <w:rFonts w:cs="Arial"/>
                        <w:sz w:val="18"/>
                        <w:szCs w:val="18"/>
                      </w:rPr>
                      <w:t>w.v</w:t>
                    </w:r>
                    <w:proofErr w:type="spellEnd"/>
                    <w:r w:rsidRPr="00CB6844">
                      <w:rPr>
                        <w:rFonts w:cs="Arial"/>
                        <w:sz w:val="18"/>
                        <w:szCs w:val="18"/>
                      </w:rPr>
                      <w:t>. Additionele intensivering defensie</w:t>
                    </w:r>
                  </w:p>
                </w:tc>
                <w:tc>
                  <w:tcPr>
                    <w:tcW w:w="451" w:type="pct"/>
                    <w:tcBorders>
                      <w:top w:val="nil"/>
                      <w:left w:val="nil"/>
                      <w:bottom w:val="nil"/>
                      <w:right w:val="nil"/>
                    </w:tcBorders>
                    <w:shd w:val="clear" w:color="auto" w:fill="auto"/>
                    <w:noWrap/>
                    <w:vAlign w:val="bottom"/>
                    <w:hideMark/>
                  </w:tcPr>
                  <w:p w:rsidRPr="00CB6844" w:rsidR="002318A8" w:rsidRDefault="002318A8" w14:paraId="33BD595C"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0219DEF0"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358A5FBA" w14:textId="77777777">
                    <w:pPr>
                      <w:jc w:val="right"/>
                      <w:rPr>
                        <w:rFonts w:cs="Arial"/>
                        <w:sz w:val="18"/>
                        <w:szCs w:val="18"/>
                      </w:rPr>
                    </w:pPr>
                    <w:r w:rsidRPr="00CB6844">
                      <w:rPr>
                        <w:rFonts w:cs="Arial"/>
                        <w:sz w:val="18"/>
                        <w:szCs w:val="18"/>
                      </w:rPr>
                      <w:t>0,1</w:t>
                    </w:r>
                  </w:p>
                </w:tc>
                <w:tc>
                  <w:tcPr>
                    <w:tcW w:w="569" w:type="pct"/>
                    <w:tcBorders>
                      <w:top w:val="nil"/>
                      <w:left w:val="nil"/>
                      <w:bottom w:val="nil"/>
                      <w:right w:val="nil"/>
                    </w:tcBorders>
                    <w:shd w:val="clear" w:color="auto" w:fill="auto"/>
                    <w:noWrap/>
                    <w:vAlign w:val="bottom"/>
                    <w:hideMark/>
                  </w:tcPr>
                  <w:p w:rsidRPr="00CB6844" w:rsidR="002318A8" w:rsidRDefault="002318A8" w14:paraId="18872171" w14:textId="77777777">
                    <w:pPr>
                      <w:jc w:val="right"/>
                      <w:rPr>
                        <w:rFonts w:cs="Arial"/>
                        <w:sz w:val="18"/>
                        <w:szCs w:val="18"/>
                      </w:rPr>
                    </w:pPr>
                    <w:r w:rsidRPr="00CB6844">
                      <w:rPr>
                        <w:rFonts w:cs="Arial"/>
                        <w:sz w:val="18"/>
                        <w:szCs w:val="18"/>
                      </w:rPr>
                      <w:t>0,5</w:t>
                    </w:r>
                  </w:p>
                </w:tc>
              </w:tr>
              <w:tr w:rsidRPr="00CB6844" w:rsidR="002318A8" w:rsidTr="00CE3CDC" w14:paraId="2D501C53"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7F610FF8"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Dekking klimaatfonds</w:t>
                    </w:r>
                  </w:p>
                </w:tc>
                <w:tc>
                  <w:tcPr>
                    <w:tcW w:w="451" w:type="pct"/>
                    <w:tcBorders>
                      <w:top w:val="nil"/>
                      <w:left w:val="nil"/>
                      <w:bottom w:val="nil"/>
                      <w:right w:val="nil"/>
                    </w:tcBorders>
                    <w:shd w:val="clear" w:color="auto" w:fill="auto"/>
                    <w:noWrap/>
                    <w:vAlign w:val="bottom"/>
                    <w:hideMark/>
                  </w:tcPr>
                  <w:p w:rsidRPr="00CB6844" w:rsidR="002318A8" w:rsidRDefault="002318A8" w14:paraId="49AEA517"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4C0030E8" w14:textId="77777777">
                    <w:pPr>
                      <w:jc w:val="right"/>
                      <w:rPr>
                        <w:rFonts w:cs="Arial"/>
                        <w:sz w:val="18"/>
                        <w:szCs w:val="18"/>
                      </w:rPr>
                    </w:pPr>
                    <w:r w:rsidRPr="00CB6844">
                      <w:rPr>
                        <w:rFonts w:cs="Arial"/>
                        <w:sz w:val="18"/>
                        <w:szCs w:val="18"/>
                      </w:rPr>
                      <w:t>-0,2</w:t>
                    </w:r>
                  </w:p>
                </w:tc>
                <w:tc>
                  <w:tcPr>
                    <w:tcW w:w="352" w:type="pct"/>
                    <w:tcBorders>
                      <w:top w:val="nil"/>
                      <w:left w:val="nil"/>
                      <w:bottom w:val="nil"/>
                      <w:right w:val="nil"/>
                    </w:tcBorders>
                    <w:shd w:val="clear" w:color="auto" w:fill="auto"/>
                    <w:noWrap/>
                    <w:vAlign w:val="bottom"/>
                    <w:hideMark/>
                  </w:tcPr>
                  <w:p w:rsidRPr="00CB6844" w:rsidR="002318A8" w:rsidRDefault="002318A8" w14:paraId="3E610E0C" w14:textId="77777777">
                    <w:pPr>
                      <w:jc w:val="right"/>
                      <w:rPr>
                        <w:rFonts w:cs="Arial"/>
                        <w:sz w:val="18"/>
                        <w:szCs w:val="18"/>
                      </w:rPr>
                    </w:pPr>
                    <w:r w:rsidRPr="00CB6844">
                      <w:rPr>
                        <w:rFonts w:cs="Arial"/>
                        <w:sz w:val="18"/>
                        <w:szCs w:val="18"/>
                      </w:rPr>
                      <w:t>-0,2</w:t>
                    </w:r>
                  </w:p>
                </w:tc>
                <w:tc>
                  <w:tcPr>
                    <w:tcW w:w="569" w:type="pct"/>
                    <w:tcBorders>
                      <w:top w:val="nil"/>
                      <w:left w:val="nil"/>
                      <w:bottom w:val="nil"/>
                      <w:right w:val="nil"/>
                    </w:tcBorders>
                    <w:shd w:val="clear" w:color="auto" w:fill="auto"/>
                    <w:noWrap/>
                    <w:vAlign w:val="bottom"/>
                    <w:hideMark/>
                  </w:tcPr>
                  <w:p w:rsidRPr="00CB6844" w:rsidR="002318A8" w:rsidRDefault="002318A8" w14:paraId="2C64AD10" w14:textId="77777777">
                    <w:pPr>
                      <w:jc w:val="right"/>
                      <w:rPr>
                        <w:rFonts w:cs="Arial"/>
                        <w:sz w:val="18"/>
                        <w:szCs w:val="18"/>
                      </w:rPr>
                    </w:pPr>
                    <w:r w:rsidRPr="00CB6844">
                      <w:rPr>
                        <w:rFonts w:cs="Arial"/>
                        <w:sz w:val="18"/>
                        <w:szCs w:val="18"/>
                      </w:rPr>
                      <w:t>-0,2</w:t>
                    </w:r>
                  </w:p>
                </w:tc>
              </w:tr>
              <w:tr w:rsidRPr="00CB6844" w:rsidR="002318A8" w:rsidTr="00CE3CDC" w14:paraId="25018888"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755B6A00" w14:textId="77777777">
                    <w:pPr>
                      <w:rPr>
                        <w:rFonts w:cs="Arial"/>
                        <w:sz w:val="18"/>
                        <w:szCs w:val="18"/>
                      </w:rPr>
                    </w:pPr>
                    <w:r w:rsidRPr="00CB6844">
                      <w:rPr>
                        <w:rFonts w:cs="Arial"/>
                        <w:sz w:val="18"/>
                        <w:szCs w:val="18"/>
                      </w:rPr>
                      <w:t xml:space="preserve">      </w:t>
                    </w:r>
                    <w:r>
                      <w:rPr>
                        <w:rFonts w:cs="Arial"/>
                        <w:sz w:val="18"/>
                        <w:szCs w:val="18"/>
                      </w:rPr>
                      <w:t xml:space="preserve">  </w:t>
                    </w:r>
                    <w:proofErr w:type="spellStart"/>
                    <w:r w:rsidRPr="00CB6844">
                      <w:rPr>
                        <w:rFonts w:cs="Arial"/>
                        <w:sz w:val="18"/>
                        <w:szCs w:val="18"/>
                      </w:rPr>
                      <w:t>Uitfaseren</w:t>
                    </w:r>
                    <w:proofErr w:type="spellEnd"/>
                    <w:r w:rsidRPr="00CB6844">
                      <w:rPr>
                        <w:rFonts w:cs="Arial"/>
                        <w:sz w:val="18"/>
                        <w:szCs w:val="18"/>
                      </w:rPr>
                      <w:t xml:space="preserve"> onderwijskansenregeling   </w:t>
                    </w:r>
                  </w:p>
                </w:tc>
                <w:tc>
                  <w:tcPr>
                    <w:tcW w:w="451" w:type="pct"/>
                    <w:tcBorders>
                      <w:top w:val="nil"/>
                      <w:left w:val="nil"/>
                      <w:bottom w:val="nil"/>
                      <w:right w:val="nil"/>
                    </w:tcBorders>
                    <w:shd w:val="clear" w:color="auto" w:fill="auto"/>
                    <w:noWrap/>
                    <w:vAlign w:val="bottom"/>
                    <w:hideMark/>
                  </w:tcPr>
                  <w:p w:rsidRPr="00CB6844" w:rsidR="002318A8" w:rsidRDefault="002318A8" w14:paraId="4EFE77A3"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134088F3" w14:textId="77777777">
                    <w:pPr>
                      <w:jc w:val="right"/>
                      <w:rPr>
                        <w:rFonts w:cs="Arial"/>
                        <w:sz w:val="18"/>
                        <w:szCs w:val="18"/>
                      </w:rPr>
                    </w:pPr>
                    <w:r w:rsidRPr="00CB6844">
                      <w:rPr>
                        <w:rFonts w:cs="Arial"/>
                        <w:sz w:val="18"/>
                        <w:szCs w:val="18"/>
                      </w:rPr>
                      <w:t>0</w:t>
                    </w:r>
                    <w:r>
                      <w:rPr>
                        <w:rFonts w:cs="Arial"/>
                        <w:sz w:val="18"/>
                        <w:szCs w:val="18"/>
                      </w:rPr>
                      <w:t>,0</w:t>
                    </w:r>
                  </w:p>
                </w:tc>
                <w:tc>
                  <w:tcPr>
                    <w:tcW w:w="352" w:type="pct"/>
                    <w:tcBorders>
                      <w:top w:val="nil"/>
                      <w:left w:val="nil"/>
                      <w:bottom w:val="nil"/>
                      <w:right w:val="nil"/>
                    </w:tcBorders>
                    <w:shd w:val="clear" w:color="auto" w:fill="auto"/>
                    <w:noWrap/>
                    <w:vAlign w:val="bottom"/>
                    <w:hideMark/>
                  </w:tcPr>
                  <w:p w:rsidRPr="00CB6844" w:rsidR="002318A8" w:rsidRDefault="002318A8" w14:paraId="2DD298DC" w14:textId="77777777">
                    <w:pPr>
                      <w:jc w:val="right"/>
                      <w:rPr>
                        <w:rFonts w:cs="Arial"/>
                        <w:sz w:val="18"/>
                        <w:szCs w:val="18"/>
                      </w:rPr>
                    </w:pPr>
                    <w:r w:rsidRPr="00CB6844">
                      <w:rPr>
                        <w:rFonts w:cs="Arial"/>
                        <w:sz w:val="18"/>
                        <w:szCs w:val="18"/>
                      </w:rPr>
                      <w:t>-0,1</w:t>
                    </w:r>
                  </w:p>
                </w:tc>
                <w:tc>
                  <w:tcPr>
                    <w:tcW w:w="569" w:type="pct"/>
                    <w:tcBorders>
                      <w:top w:val="nil"/>
                      <w:left w:val="nil"/>
                      <w:bottom w:val="nil"/>
                      <w:right w:val="nil"/>
                    </w:tcBorders>
                    <w:shd w:val="clear" w:color="auto" w:fill="auto"/>
                    <w:noWrap/>
                    <w:vAlign w:val="bottom"/>
                    <w:hideMark/>
                  </w:tcPr>
                  <w:p w:rsidRPr="00CB6844" w:rsidR="002318A8" w:rsidRDefault="002318A8" w14:paraId="033F0DD0" w14:textId="77777777">
                    <w:pPr>
                      <w:jc w:val="right"/>
                      <w:rPr>
                        <w:rFonts w:cs="Arial"/>
                        <w:sz w:val="18"/>
                        <w:szCs w:val="18"/>
                      </w:rPr>
                    </w:pPr>
                    <w:r w:rsidRPr="00CB6844">
                      <w:rPr>
                        <w:rFonts w:cs="Arial"/>
                        <w:sz w:val="18"/>
                        <w:szCs w:val="18"/>
                      </w:rPr>
                      <w:t>-0,2</w:t>
                    </w:r>
                  </w:p>
                </w:tc>
              </w:tr>
              <w:tr w:rsidRPr="00CB6844" w:rsidR="002318A8" w:rsidTr="00CE3CDC" w14:paraId="76D2C766"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46DF8414" w14:textId="77777777">
                    <w:pPr>
                      <w:rPr>
                        <w:rFonts w:cs="Arial"/>
                        <w:sz w:val="18"/>
                        <w:szCs w:val="18"/>
                      </w:rPr>
                    </w:pPr>
                    <w:r w:rsidRPr="00CB6844">
                      <w:rPr>
                        <w:rFonts w:cs="Arial"/>
                        <w:sz w:val="18"/>
                        <w:szCs w:val="18"/>
                      </w:rPr>
                      <w:t xml:space="preserve">      </w:t>
                    </w:r>
                    <w:r>
                      <w:rPr>
                        <w:rFonts w:cs="Arial"/>
                        <w:sz w:val="18"/>
                        <w:szCs w:val="18"/>
                      </w:rPr>
                      <w:t xml:space="preserve">  </w:t>
                    </w:r>
                    <w:r w:rsidRPr="00CB6844">
                      <w:rPr>
                        <w:rFonts w:cs="Arial"/>
                        <w:sz w:val="18"/>
                        <w:szCs w:val="18"/>
                      </w:rPr>
                      <w:t xml:space="preserve">Aanvullende </w:t>
                    </w:r>
                    <w:proofErr w:type="spellStart"/>
                    <w:r w:rsidRPr="00CB6844">
                      <w:rPr>
                        <w:rFonts w:cs="Arial"/>
                        <w:sz w:val="18"/>
                        <w:szCs w:val="18"/>
                      </w:rPr>
                      <w:t>onderuitputting</w:t>
                    </w:r>
                    <w:proofErr w:type="spellEnd"/>
                    <w:r w:rsidRPr="00CB6844">
                      <w:rPr>
                        <w:rFonts w:cs="Arial"/>
                        <w:sz w:val="18"/>
                        <w:szCs w:val="18"/>
                      </w:rPr>
                      <w:t xml:space="preserve"> </w:t>
                    </w:r>
                  </w:p>
                </w:tc>
                <w:tc>
                  <w:tcPr>
                    <w:tcW w:w="451" w:type="pct"/>
                    <w:tcBorders>
                      <w:top w:val="nil"/>
                      <w:left w:val="nil"/>
                      <w:bottom w:val="nil"/>
                      <w:right w:val="nil"/>
                    </w:tcBorders>
                    <w:shd w:val="clear" w:color="auto" w:fill="auto"/>
                    <w:noWrap/>
                    <w:vAlign w:val="bottom"/>
                    <w:hideMark/>
                  </w:tcPr>
                  <w:p w:rsidRPr="00CB6844" w:rsidR="002318A8" w:rsidRDefault="002318A8" w14:paraId="07DAC65D" w14:textId="77777777">
                    <w:pPr>
                      <w:jc w:val="right"/>
                      <w:rPr>
                        <w:rFonts w:cs="Arial"/>
                        <w:sz w:val="18"/>
                        <w:szCs w:val="18"/>
                      </w:rPr>
                    </w:pPr>
                    <w:r w:rsidRPr="00CB6844">
                      <w:rPr>
                        <w:rFonts w:cs="Arial"/>
                        <w:sz w:val="18"/>
                        <w:szCs w:val="18"/>
                      </w:rPr>
                      <w:t>-0,7</w:t>
                    </w:r>
                  </w:p>
                </w:tc>
                <w:tc>
                  <w:tcPr>
                    <w:tcW w:w="352" w:type="pct"/>
                    <w:tcBorders>
                      <w:top w:val="nil"/>
                      <w:left w:val="nil"/>
                      <w:bottom w:val="nil"/>
                      <w:right w:val="nil"/>
                    </w:tcBorders>
                    <w:shd w:val="clear" w:color="auto" w:fill="auto"/>
                    <w:noWrap/>
                    <w:vAlign w:val="bottom"/>
                    <w:hideMark/>
                  </w:tcPr>
                  <w:p w:rsidRPr="00CB6844" w:rsidR="002318A8" w:rsidRDefault="002318A8" w14:paraId="6EF8A21E" w14:textId="77777777">
                    <w:pPr>
                      <w:jc w:val="right"/>
                      <w:rPr>
                        <w:rFonts w:cs="Arial"/>
                        <w:sz w:val="18"/>
                        <w:szCs w:val="18"/>
                      </w:rPr>
                    </w:pPr>
                    <w:r w:rsidRPr="00CB6844">
                      <w:rPr>
                        <w:rFonts w:cs="Arial"/>
                        <w:sz w:val="18"/>
                        <w:szCs w:val="18"/>
                      </w:rPr>
                      <w:t>-1,5</w:t>
                    </w:r>
                  </w:p>
                </w:tc>
                <w:tc>
                  <w:tcPr>
                    <w:tcW w:w="352" w:type="pct"/>
                    <w:tcBorders>
                      <w:top w:val="nil"/>
                      <w:left w:val="nil"/>
                      <w:bottom w:val="nil"/>
                      <w:right w:val="nil"/>
                    </w:tcBorders>
                    <w:shd w:val="clear" w:color="auto" w:fill="auto"/>
                    <w:noWrap/>
                    <w:vAlign w:val="bottom"/>
                    <w:hideMark/>
                  </w:tcPr>
                  <w:p w:rsidRPr="00CB6844" w:rsidR="002318A8" w:rsidRDefault="002318A8" w14:paraId="53704BEA" w14:textId="77777777">
                    <w:pPr>
                      <w:jc w:val="right"/>
                      <w:rPr>
                        <w:rFonts w:cs="Arial"/>
                        <w:sz w:val="18"/>
                        <w:szCs w:val="18"/>
                      </w:rPr>
                    </w:pPr>
                    <w:r w:rsidRPr="00CB6844">
                      <w:rPr>
                        <w:rFonts w:cs="Arial"/>
                        <w:sz w:val="18"/>
                        <w:szCs w:val="18"/>
                      </w:rPr>
                      <w:t>-1,5</w:t>
                    </w:r>
                  </w:p>
                </w:tc>
                <w:tc>
                  <w:tcPr>
                    <w:tcW w:w="569" w:type="pct"/>
                    <w:tcBorders>
                      <w:top w:val="nil"/>
                      <w:left w:val="nil"/>
                      <w:bottom w:val="nil"/>
                      <w:right w:val="nil"/>
                    </w:tcBorders>
                    <w:shd w:val="clear" w:color="auto" w:fill="auto"/>
                    <w:noWrap/>
                    <w:vAlign w:val="bottom"/>
                    <w:hideMark/>
                  </w:tcPr>
                  <w:p w:rsidRPr="00CB6844" w:rsidR="002318A8" w:rsidRDefault="002318A8" w14:paraId="161D22F5" w14:textId="77777777">
                    <w:pPr>
                      <w:jc w:val="right"/>
                      <w:rPr>
                        <w:rFonts w:cs="Arial"/>
                        <w:sz w:val="18"/>
                        <w:szCs w:val="18"/>
                      </w:rPr>
                    </w:pPr>
                    <w:r w:rsidRPr="00CB6844">
                      <w:rPr>
                        <w:rFonts w:cs="Arial"/>
                        <w:sz w:val="18"/>
                        <w:szCs w:val="18"/>
                      </w:rPr>
                      <w:t>-0,7</w:t>
                    </w:r>
                  </w:p>
                </w:tc>
              </w:tr>
              <w:tr w:rsidRPr="00CB6844" w:rsidR="002318A8" w:rsidTr="00CE3CDC" w14:paraId="64BD45A6"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0F388F51" w14:textId="77777777">
                    <w:pPr>
                      <w:jc w:val="right"/>
                      <w:rPr>
                        <w:rFonts w:cs="Arial"/>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07DEC243"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07CF41C9"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351B6D66"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7840B06D" w14:textId="77777777">
                    <w:pPr>
                      <w:rPr>
                        <w:rFonts w:ascii="Times New Roman" w:hAnsi="Times New Roman"/>
                        <w:sz w:val="20"/>
                        <w:szCs w:val="20"/>
                      </w:rPr>
                    </w:pPr>
                  </w:p>
                </w:tc>
              </w:tr>
              <w:tr w:rsidRPr="00CB6844" w:rsidR="002318A8" w:rsidTr="00CE3CDC" w14:paraId="3CC32BDD"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4C25DB7A" w14:textId="77777777">
                    <w:pPr>
                      <w:rPr>
                        <w:rFonts w:cs="Arial"/>
                        <w:i/>
                        <w:iCs/>
                        <w:sz w:val="18"/>
                        <w:szCs w:val="18"/>
                      </w:rPr>
                    </w:pPr>
                    <w:r w:rsidRPr="00CB6844">
                      <w:rPr>
                        <w:rFonts w:cs="Arial"/>
                        <w:i/>
                        <w:iCs/>
                        <w:sz w:val="18"/>
                        <w:szCs w:val="18"/>
                      </w:rPr>
                      <w:t>Generieke maatregelen</w:t>
                    </w:r>
                  </w:p>
                </w:tc>
                <w:tc>
                  <w:tcPr>
                    <w:tcW w:w="451" w:type="pct"/>
                    <w:tcBorders>
                      <w:top w:val="nil"/>
                      <w:left w:val="nil"/>
                      <w:bottom w:val="nil"/>
                      <w:right w:val="nil"/>
                    </w:tcBorders>
                    <w:shd w:val="clear" w:color="auto" w:fill="auto"/>
                    <w:noWrap/>
                    <w:vAlign w:val="bottom"/>
                    <w:hideMark/>
                  </w:tcPr>
                  <w:p w:rsidRPr="00CB6844" w:rsidR="002318A8" w:rsidRDefault="002318A8" w14:paraId="6361BFEB" w14:textId="77777777">
                    <w:pPr>
                      <w:jc w:val="right"/>
                      <w:rPr>
                        <w:rFonts w:cs="Arial"/>
                        <w:i/>
                        <w:iCs/>
                        <w:sz w:val="18"/>
                        <w:szCs w:val="18"/>
                      </w:rPr>
                    </w:pPr>
                    <w:r w:rsidRPr="00CB6844">
                      <w:rPr>
                        <w:rFonts w:cs="Arial"/>
                        <w:i/>
                        <w:iCs/>
                        <w:sz w:val="18"/>
                        <w:szCs w:val="18"/>
                      </w:rPr>
                      <w:t>-0,7</w:t>
                    </w:r>
                  </w:p>
                </w:tc>
                <w:tc>
                  <w:tcPr>
                    <w:tcW w:w="352" w:type="pct"/>
                    <w:tcBorders>
                      <w:top w:val="nil"/>
                      <w:left w:val="nil"/>
                      <w:bottom w:val="nil"/>
                      <w:right w:val="nil"/>
                    </w:tcBorders>
                    <w:shd w:val="clear" w:color="auto" w:fill="auto"/>
                    <w:noWrap/>
                    <w:vAlign w:val="bottom"/>
                    <w:hideMark/>
                  </w:tcPr>
                  <w:p w:rsidRPr="00CB6844" w:rsidR="002318A8" w:rsidRDefault="002318A8" w14:paraId="380C8A17" w14:textId="77777777">
                    <w:pPr>
                      <w:jc w:val="right"/>
                      <w:rPr>
                        <w:rFonts w:cs="Arial"/>
                        <w:i/>
                        <w:iCs/>
                        <w:sz w:val="18"/>
                        <w:szCs w:val="18"/>
                      </w:rPr>
                    </w:pPr>
                    <w:r w:rsidRPr="00CB6844">
                      <w:rPr>
                        <w:rFonts w:cs="Arial"/>
                        <w:i/>
                        <w:iCs/>
                        <w:sz w:val="18"/>
                        <w:szCs w:val="18"/>
                      </w:rPr>
                      <w:t>-1,1</w:t>
                    </w:r>
                  </w:p>
                </w:tc>
                <w:tc>
                  <w:tcPr>
                    <w:tcW w:w="352" w:type="pct"/>
                    <w:tcBorders>
                      <w:top w:val="nil"/>
                      <w:left w:val="nil"/>
                      <w:bottom w:val="nil"/>
                      <w:right w:val="nil"/>
                    </w:tcBorders>
                    <w:shd w:val="clear" w:color="auto" w:fill="auto"/>
                    <w:noWrap/>
                    <w:vAlign w:val="bottom"/>
                    <w:hideMark/>
                  </w:tcPr>
                  <w:p w:rsidRPr="00CB6844" w:rsidR="002318A8" w:rsidRDefault="002318A8" w14:paraId="541A6786" w14:textId="77777777">
                    <w:pPr>
                      <w:jc w:val="right"/>
                      <w:rPr>
                        <w:rFonts w:cs="Arial"/>
                        <w:i/>
                        <w:iCs/>
                        <w:sz w:val="18"/>
                        <w:szCs w:val="18"/>
                      </w:rPr>
                    </w:pPr>
                    <w:r w:rsidRPr="00CB6844">
                      <w:rPr>
                        <w:rFonts w:cs="Arial"/>
                        <w:i/>
                        <w:iCs/>
                        <w:sz w:val="18"/>
                        <w:szCs w:val="18"/>
                      </w:rPr>
                      <w:t>-1,4</w:t>
                    </w:r>
                  </w:p>
                </w:tc>
                <w:tc>
                  <w:tcPr>
                    <w:tcW w:w="569" w:type="pct"/>
                    <w:tcBorders>
                      <w:top w:val="nil"/>
                      <w:left w:val="nil"/>
                      <w:bottom w:val="nil"/>
                      <w:right w:val="nil"/>
                    </w:tcBorders>
                    <w:shd w:val="clear" w:color="auto" w:fill="auto"/>
                    <w:noWrap/>
                    <w:vAlign w:val="bottom"/>
                    <w:hideMark/>
                  </w:tcPr>
                  <w:p w:rsidRPr="00CB6844" w:rsidR="002318A8" w:rsidRDefault="002318A8" w14:paraId="14027159" w14:textId="77777777">
                    <w:pPr>
                      <w:jc w:val="right"/>
                      <w:rPr>
                        <w:rFonts w:cs="Arial"/>
                        <w:i/>
                        <w:iCs/>
                        <w:sz w:val="18"/>
                        <w:szCs w:val="18"/>
                      </w:rPr>
                    </w:pPr>
                    <w:r w:rsidRPr="00CB6844">
                      <w:rPr>
                        <w:rFonts w:cs="Arial"/>
                        <w:i/>
                        <w:iCs/>
                        <w:sz w:val="18"/>
                        <w:szCs w:val="18"/>
                      </w:rPr>
                      <w:t>-1,6</w:t>
                    </w:r>
                  </w:p>
                </w:tc>
              </w:tr>
              <w:tr w:rsidRPr="00CB6844" w:rsidR="002318A8" w:rsidTr="00CE3CDC" w14:paraId="04BA5DDE"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26769088" w14:textId="77777777">
                    <w:pPr>
                      <w:rPr>
                        <w:rFonts w:cs="Arial"/>
                        <w:sz w:val="18"/>
                        <w:szCs w:val="18"/>
                      </w:rPr>
                    </w:pPr>
                    <w:proofErr w:type="spellStart"/>
                    <w:r w:rsidRPr="00CB6844">
                      <w:rPr>
                        <w:rFonts w:cs="Arial"/>
                        <w:sz w:val="18"/>
                        <w:szCs w:val="18"/>
                      </w:rPr>
                      <w:t>w.v</w:t>
                    </w:r>
                    <w:proofErr w:type="spellEnd"/>
                    <w:r w:rsidRPr="00CB6844">
                      <w:rPr>
                        <w:rFonts w:cs="Arial"/>
                        <w:sz w:val="18"/>
                        <w:szCs w:val="18"/>
                      </w:rPr>
                      <w:t>. Inhouden prijsbijstelling</w:t>
                    </w:r>
                  </w:p>
                </w:tc>
                <w:tc>
                  <w:tcPr>
                    <w:tcW w:w="451" w:type="pct"/>
                    <w:tcBorders>
                      <w:top w:val="nil"/>
                      <w:left w:val="nil"/>
                      <w:bottom w:val="nil"/>
                      <w:right w:val="nil"/>
                    </w:tcBorders>
                    <w:shd w:val="clear" w:color="auto" w:fill="auto"/>
                    <w:noWrap/>
                    <w:vAlign w:val="bottom"/>
                    <w:hideMark/>
                  </w:tcPr>
                  <w:p w:rsidRPr="00CB6844" w:rsidR="002318A8" w:rsidRDefault="002318A8" w14:paraId="2D9383AE" w14:textId="77777777">
                    <w:pPr>
                      <w:jc w:val="right"/>
                      <w:rPr>
                        <w:rFonts w:cs="Arial"/>
                        <w:sz w:val="18"/>
                        <w:szCs w:val="18"/>
                      </w:rPr>
                    </w:pPr>
                    <w:r w:rsidRPr="00CB6844">
                      <w:rPr>
                        <w:rFonts w:cs="Arial"/>
                        <w:sz w:val="18"/>
                        <w:szCs w:val="18"/>
                      </w:rPr>
                      <w:t>-0,6</w:t>
                    </w:r>
                  </w:p>
                </w:tc>
                <w:tc>
                  <w:tcPr>
                    <w:tcW w:w="352" w:type="pct"/>
                    <w:tcBorders>
                      <w:top w:val="nil"/>
                      <w:left w:val="nil"/>
                      <w:bottom w:val="nil"/>
                      <w:right w:val="nil"/>
                    </w:tcBorders>
                    <w:shd w:val="clear" w:color="auto" w:fill="auto"/>
                    <w:noWrap/>
                    <w:vAlign w:val="bottom"/>
                    <w:hideMark/>
                  </w:tcPr>
                  <w:p w:rsidRPr="00CB6844" w:rsidR="002318A8" w:rsidRDefault="002318A8" w14:paraId="0F2F6EA0" w14:textId="77777777">
                    <w:pPr>
                      <w:jc w:val="right"/>
                      <w:rPr>
                        <w:rFonts w:cs="Arial"/>
                        <w:sz w:val="18"/>
                        <w:szCs w:val="18"/>
                      </w:rPr>
                    </w:pPr>
                    <w:r w:rsidRPr="00CB6844">
                      <w:rPr>
                        <w:rFonts w:cs="Arial"/>
                        <w:sz w:val="18"/>
                        <w:szCs w:val="18"/>
                      </w:rPr>
                      <w:t>-0,4</w:t>
                    </w:r>
                  </w:p>
                </w:tc>
                <w:tc>
                  <w:tcPr>
                    <w:tcW w:w="352" w:type="pct"/>
                    <w:tcBorders>
                      <w:top w:val="nil"/>
                      <w:left w:val="nil"/>
                      <w:bottom w:val="nil"/>
                      <w:right w:val="nil"/>
                    </w:tcBorders>
                    <w:shd w:val="clear" w:color="auto" w:fill="auto"/>
                    <w:noWrap/>
                    <w:vAlign w:val="bottom"/>
                    <w:hideMark/>
                  </w:tcPr>
                  <w:p w:rsidRPr="00CB6844" w:rsidR="002318A8" w:rsidRDefault="002318A8" w14:paraId="29B39D62" w14:textId="77777777">
                    <w:pPr>
                      <w:jc w:val="right"/>
                      <w:rPr>
                        <w:rFonts w:cs="Arial"/>
                        <w:sz w:val="18"/>
                        <w:szCs w:val="18"/>
                      </w:rPr>
                    </w:pPr>
                    <w:r w:rsidRPr="00CB6844">
                      <w:rPr>
                        <w:rFonts w:cs="Arial"/>
                        <w:sz w:val="18"/>
                        <w:szCs w:val="18"/>
                      </w:rPr>
                      <w:t>-0,6</w:t>
                    </w:r>
                  </w:p>
                </w:tc>
                <w:tc>
                  <w:tcPr>
                    <w:tcW w:w="569" w:type="pct"/>
                    <w:tcBorders>
                      <w:top w:val="nil"/>
                      <w:left w:val="nil"/>
                      <w:bottom w:val="nil"/>
                      <w:right w:val="nil"/>
                    </w:tcBorders>
                    <w:shd w:val="clear" w:color="auto" w:fill="auto"/>
                    <w:noWrap/>
                    <w:vAlign w:val="bottom"/>
                    <w:hideMark/>
                  </w:tcPr>
                  <w:p w:rsidRPr="00CB6844" w:rsidR="002318A8" w:rsidRDefault="002318A8" w14:paraId="6AA98759" w14:textId="77777777">
                    <w:pPr>
                      <w:jc w:val="right"/>
                      <w:rPr>
                        <w:rFonts w:cs="Arial"/>
                        <w:sz w:val="18"/>
                        <w:szCs w:val="18"/>
                      </w:rPr>
                    </w:pPr>
                    <w:r w:rsidRPr="00CB6844">
                      <w:rPr>
                        <w:rFonts w:cs="Arial"/>
                        <w:sz w:val="18"/>
                        <w:szCs w:val="18"/>
                      </w:rPr>
                      <w:t>-0,7</w:t>
                    </w:r>
                  </w:p>
                </w:tc>
              </w:tr>
              <w:tr w:rsidRPr="00CB6844" w:rsidR="002318A8" w:rsidTr="00CE3CDC" w14:paraId="48C080F3" w14:textId="77777777">
                <w:trPr>
                  <w:trHeight w:val="260"/>
                </w:trPr>
                <w:tc>
                  <w:tcPr>
                    <w:tcW w:w="3275" w:type="pct"/>
                    <w:tcBorders>
                      <w:top w:val="nil"/>
                      <w:left w:val="nil"/>
                      <w:bottom w:val="nil"/>
                      <w:right w:val="nil"/>
                    </w:tcBorders>
                    <w:shd w:val="clear" w:color="auto" w:fill="auto"/>
                    <w:noWrap/>
                    <w:vAlign w:val="bottom"/>
                    <w:hideMark/>
                  </w:tcPr>
                  <w:p w:rsidRPr="00CB6844" w:rsidR="002318A8" w:rsidRDefault="002318A8" w14:paraId="7CAFBCC6" w14:textId="77777777">
                    <w:pPr>
                      <w:jc w:val="right"/>
                      <w:rPr>
                        <w:rFonts w:cs="Arial"/>
                        <w:sz w:val="18"/>
                        <w:szCs w:val="18"/>
                      </w:rPr>
                    </w:pPr>
                  </w:p>
                </w:tc>
                <w:tc>
                  <w:tcPr>
                    <w:tcW w:w="451" w:type="pct"/>
                    <w:tcBorders>
                      <w:top w:val="nil"/>
                      <w:left w:val="nil"/>
                      <w:bottom w:val="nil"/>
                      <w:right w:val="nil"/>
                    </w:tcBorders>
                    <w:shd w:val="clear" w:color="auto" w:fill="auto"/>
                    <w:noWrap/>
                    <w:vAlign w:val="bottom"/>
                    <w:hideMark/>
                  </w:tcPr>
                  <w:p w:rsidRPr="00CB6844" w:rsidR="002318A8" w:rsidRDefault="002318A8" w14:paraId="7CEA01CB"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3853D157" w14:textId="77777777">
                    <w:pPr>
                      <w:rPr>
                        <w:rFonts w:ascii="Times New Roman" w:hAnsi="Times New Roman"/>
                        <w:sz w:val="20"/>
                        <w:szCs w:val="20"/>
                      </w:rPr>
                    </w:pPr>
                  </w:p>
                </w:tc>
                <w:tc>
                  <w:tcPr>
                    <w:tcW w:w="352" w:type="pct"/>
                    <w:tcBorders>
                      <w:top w:val="nil"/>
                      <w:left w:val="nil"/>
                      <w:bottom w:val="nil"/>
                      <w:right w:val="nil"/>
                    </w:tcBorders>
                    <w:shd w:val="clear" w:color="auto" w:fill="auto"/>
                    <w:noWrap/>
                    <w:vAlign w:val="bottom"/>
                    <w:hideMark/>
                  </w:tcPr>
                  <w:p w:rsidRPr="00CB6844" w:rsidR="002318A8" w:rsidRDefault="002318A8" w14:paraId="0292D58B" w14:textId="77777777">
                    <w:pPr>
                      <w:rPr>
                        <w:rFonts w:ascii="Times New Roman" w:hAnsi="Times New Roman"/>
                        <w:sz w:val="20"/>
                        <w:szCs w:val="20"/>
                      </w:rPr>
                    </w:pPr>
                  </w:p>
                </w:tc>
                <w:tc>
                  <w:tcPr>
                    <w:tcW w:w="569" w:type="pct"/>
                    <w:tcBorders>
                      <w:top w:val="nil"/>
                      <w:left w:val="nil"/>
                      <w:bottom w:val="nil"/>
                      <w:right w:val="nil"/>
                    </w:tcBorders>
                    <w:shd w:val="clear" w:color="auto" w:fill="auto"/>
                    <w:noWrap/>
                    <w:vAlign w:val="bottom"/>
                    <w:hideMark/>
                  </w:tcPr>
                  <w:p w:rsidRPr="00CB6844" w:rsidR="002318A8" w:rsidRDefault="002318A8" w14:paraId="5616EE4A" w14:textId="77777777">
                    <w:pPr>
                      <w:rPr>
                        <w:rFonts w:ascii="Times New Roman" w:hAnsi="Times New Roman"/>
                        <w:sz w:val="20"/>
                        <w:szCs w:val="20"/>
                      </w:rPr>
                    </w:pPr>
                  </w:p>
                </w:tc>
              </w:tr>
              <w:tr w:rsidRPr="00CB6844" w:rsidR="002318A8" w:rsidTr="00CE3CDC" w14:paraId="7D3152B9" w14:textId="77777777">
                <w:trPr>
                  <w:trHeight w:val="260"/>
                </w:trPr>
                <w:tc>
                  <w:tcPr>
                    <w:tcW w:w="3275" w:type="pct"/>
                    <w:tcBorders>
                      <w:top w:val="nil"/>
                      <w:left w:val="nil"/>
                      <w:bottom w:val="single" w:color="auto" w:sz="12" w:space="0"/>
                      <w:right w:val="nil"/>
                    </w:tcBorders>
                    <w:shd w:val="clear" w:color="auto" w:fill="auto"/>
                    <w:noWrap/>
                    <w:vAlign w:val="bottom"/>
                    <w:hideMark/>
                  </w:tcPr>
                  <w:p w:rsidRPr="00CB6844" w:rsidR="002318A8" w:rsidRDefault="002318A8" w14:paraId="1C1FC29F" w14:textId="77777777">
                    <w:pPr>
                      <w:rPr>
                        <w:rFonts w:cs="Arial"/>
                        <w:sz w:val="18"/>
                        <w:szCs w:val="18"/>
                      </w:rPr>
                    </w:pPr>
                    <w:r w:rsidRPr="00CB6844">
                      <w:rPr>
                        <w:rFonts w:cs="Arial"/>
                        <w:sz w:val="18"/>
                        <w:szCs w:val="18"/>
                      </w:rPr>
                      <w:t>Totaal</w:t>
                    </w:r>
                  </w:p>
                </w:tc>
                <w:tc>
                  <w:tcPr>
                    <w:tcW w:w="451" w:type="pct"/>
                    <w:tcBorders>
                      <w:top w:val="nil"/>
                      <w:left w:val="nil"/>
                      <w:bottom w:val="single" w:color="auto" w:sz="12" w:space="0"/>
                      <w:right w:val="nil"/>
                    </w:tcBorders>
                    <w:shd w:val="clear" w:color="auto" w:fill="auto"/>
                    <w:noWrap/>
                    <w:vAlign w:val="bottom"/>
                    <w:hideMark/>
                  </w:tcPr>
                  <w:p w:rsidRPr="00CB6844" w:rsidR="002318A8" w:rsidRDefault="002318A8" w14:paraId="097A0729" w14:textId="77777777">
                    <w:pPr>
                      <w:jc w:val="right"/>
                      <w:rPr>
                        <w:rFonts w:cs="Arial"/>
                        <w:sz w:val="18"/>
                        <w:szCs w:val="18"/>
                      </w:rPr>
                    </w:pPr>
                    <w:r w:rsidRPr="00CB6844">
                      <w:rPr>
                        <w:rFonts w:cs="Arial"/>
                        <w:sz w:val="18"/>
                        <w:szCs w:val="18"/>
                      </w:rPr>
                      <w:t>-0,4</w:t>
                    </w:r>
                  </w:p>
                </w:tc>
                <w:tc>
                  <w:tcPr>
                    <w:tcW w:w="352" w:type="pct"/>
                    <w:tcBorders>
                      <w:top w:val="nil"/>
                      <w:left w:val="nil"/>
                      <w:bottom w:val="single" w:color="auto" w:sz="12" w:space="0"/>
                      <w:right w:val="nil"/>
                    </w:tcBorders>
                    <w:shd w:val="clear" w:color="auto" w:fill="auto"/>
                    <w:noWrap/>
                    <w:vAlign w:val="bottom"/>
                    <w:hideMark/>
                  </w:tcPr>
                  <w:p w:rsidRPr="00CB6844" w:rsidR="002318A8" w:rsidRDefault="002318A8" w14:paraId="2971689E" w14:textId="77777777">
                    <w:pPr>
                      <w:jc w:val="right"/>
                      <w:rPr>
                        <w:rFonts w:cs="Arial"/>
                        <w:sz w:val="18"/>
                        <w:szCs w:val="18"/>
                      </w:rPr>
                    </w:pPr>
                    <w:r w:rsidRPr="00CB6844">
                      <w:rPr>
                        <w:rFonts w:cs="Arial"/>
                        <w:sz w:val="18"/>
                        <w:szCs w:val="18"/>
                      </w:rPr>
                      <w:t>-0,5</w:t>
                    </w:r>
                  </w:p>
                </w:tc>
                <w:tc>
                  <w:tcPr>
                    <w:tcW w:w="352" w:type="pct"/>
                    <w:tcBorders>
                      <w:top w:val="nil"/>
                      <w:left w:val="nil"/>
                      <w:bottom w:val="single" w:color="auto" w:sz="12" w:space="0"/>
                      <w:right w:val="nil"/>
                    </w:tcBorders>
                    <w:shd w:val="clear" w:color="auto" w:fill="auto"/>
                    <w:noWrap/>
                    <w:vAlign w:val="bottom"/>
                    <w:hideMark/>
                  </w:tcPr>
                  <w:p w:rsidRPr="00CB6844" w:rsidR="002318A8" w:rsidRDefault="002318A8" w14:paraId="7EC73C21" w14:textId="77777777">
                    <w:pPr>
                      <w:jc w:val="right"/>
                      <w:rPr>
                        <w:rFonts w:cs="Arial"/>
                        <w:sz w:val="18"/>
                        <w:szCs w:val="18"/>
                      </w:rPr>
                    </w:pPr>
                    <w:r w:rsidRPr="00CB6844">
                      <w:rPr>
                        <w:rFonts w:cs="Arial"/>
                        <w:sz w:val="18"/>
                        <w:szCs w:val="18"/>
                      </w:rPr>
                      <w:t>0,5</w:t>
                    </w:r>
                  </w:p>
                </w:tc>
                <w:tc>
                  <w:tcPr>
                    <w:tcW w:w="569" w:type="pct"/>
                    <w:tcBorders>
                      <w:top w:val="nil"/>
                      <w:left w:val="nil"/>
                      <w:bottom w:val="single" w:color="auto" w:sz="12" w:space="0"/>
                      <w:right w:val="nil"/>
                    </w:tcBorders>
                    <w:shd w:val="clear" w:color="auto" w:fill="auto"/>
                    <w:noWrap/>
                    <w:vAlign w:val="bottom"/>
                    <w:hideMark/>
                  </w:tcPr>
                  <w:p w:rsidRPr="00CB6844" w:rsidR="002318A8" w:rsidRDefault="002318A8" w14:paraId="3C5AA9D0" w14:textId="77777777">
                    <w:pPr>
                      <w:jc w:val="right"/>
                      <w:rPr>
                        <w:rFonts w:cs="Arial"/>
                        <w:sz w:val="18"/>
                        <w:szCs w:val="18"/>
                      </w:rPr>
                    </w:pPr>
                    <w:r w:rsidRPr="00CB6844">
                      <w:rPr>
                        <w:rFonts w:cs="Arial"/>
                        <w:sz w:val="18"/>
                        <w:szCs w:val="18"/>
                      </w:rPr>
                      <w:t>-0,4</w:t>
                    </w:r>
                  </w:p>
                </w:tc>
              </w:tr>
              <w:tr w:rsidRPr="00CB6844" w:rsidR="002318A8" w:rsidTr="00CE3CDC" w14:paraId="07419A3D" w14:textId="77777777">
                <w:trPr>
                  <w:trHeight w:val="260"/>
                </w:trPr>
                <w:tc>
                  <w:tcPr>
                    <w:tcW w:w="3275" w:type="pct"/>
                    <w:tcBorders>
                      <w:top w:val="single" w:color="auto" w:sz="12" w:space="0"/>
                      <w:left w:val="nil"/>
                      <w:bottom w:val="nil"/>
                      <w:right w:val="nil"/>
                    </w:tcBorders>
                    <w:shd w:val="clear" w:color="auto" w:fill="auto"/>
                    <w:noWrap/>
                    <w:vAlign w:val="bottom"/>
                    <w:hideMark/>
                  </w:tcPr>
                  <w:p w:rsidRPr="00CB6844" w:rsidR="002318A8" w:rsidRDefault="002318A8" w14:paraId="683F6BF4" w14:textId="77777777">
                    <w:pPr>
                      <w:rPr>
                        <w:rFonts w:cs="Arial"/>
                        <w:i/>
                        <w:iCs/>
                        <w:sz w:val="18"/>
                        <w:szCs w:val="18"/>
                      </w:rPr>
                    </w:pPr>
                    <w:r w:rsidRPr="00CB6844">
                      <w:rPr>
                        <w:rFonts w:cs="Arial"/>
                        <w:i/>
                        <w:iCs/>
                        <w:sz w:val="18"/>
                        <w:szCs w:val="18"/>
                      </w:rPr>
                      <w:t>Bron: Voorjaarsnota 2025</w:t>
                    </w:r>
                  </w:p>
                </w:tc>
                <w:tc>
                  <w:tcPr>
                    <w:tcW w:w="451" w:type="pct"/>
                    <w:tcBorders>
                      <w:top w:val="single" w:color="auto" w:sz="12" w:space="0"/>
                      <w:left w:val="nil"/>
                      <w:bottom w:val="nil"/>
                      <w:right w:val="nil"/>
                    </w:tcBorders>
                    <w:shd w:val="clear" w:color="auto" w:fill="auto"/>
                    <w:noWrap/>
                    <w:vAlign w:val="bottom"/>
                    <w:hideMark/>
                  </w:tcPr>
                  <w:p w:rsidRPr="00CB6844" w:rsidR="002318A8" w:rsidRDefault="002318A8" w14:paraId="641D6D71" w14:textId="77777777">
                    <w:pPr>
                      <w:rPr>
                        <w:rFonts w:cs="Arial"/>
                        <w:sz w:val="18"/>
                        <w:szCs w:val="18"/>
                      </w:rPr>
                    </w:pPr>
                  </w:p>
                </w:tc>
                <w:tc>
                  <w:tcPr>
                    <w:tcW w:w="352" w:type="pct"/>
                    <w:tcBorders>
                      <w:top w:val="single" w:color="auto" w:sz="12" w:space="0"/>
                      <w:left w:val="nil"/>
                      <w:bottom w:val="nil"/>
                      <w:right w:val="nil"/>
                    </w:tcBorders>
                    <w:shd w:val="clear" w:color="auto" w:fill="auto"/>
                    <w:noWrap/>
                    <w:vAlign w:val="bottom"/>
                    <w:hideMark/>
                  </w:tcPr>
                  <w:p w:rsidRPr="00CB6844" w:rsidR="002318A8" w:rsidRDefault="002318A8" w14:paraId="57FC8747" w14:textId="77777777">
                    <w:pPr>
                      <w:rPr>
                        <w:rFonts w:ascii="Times New Roman" w:hAnsi="Times New Roman"/>
                        <w:sz w:val="20"/>
                        <w:szCs w:val="20"/>
                      </w:rPr>
                    </w:pPr>
                  </w:p>
                </w:tc>
                <w:tc>
                  <w:tcPr>
                    <w:tcW w:w="352" w:type="pct"/>
                    <w:tcBorders>
                      <w:top w:val="single" w:color="auto" w:sz="12" w:space="0"/>
                      <w:left w:val="nil"/>
                      <w:bottom w:val="nil"/>
                      <w:right w:val="nil"/>
                    </w:tcBorders>
                    <w:shd w:val="clear" w:color="auto" w:fill="auto"/>
                    <w:noWrap/>
                    <w:vAlign w:val="bottom"/>
                    <w:hideMark/>
                  </w:tcPr>
                  <w:p w:rsidRPr="00CB6844" w:rsidR="002318A8" w:rsidRDefault="002318A8" w14:paraId="0DDE98F8" w14:textId="77777777">
                    <w:pPr>
                      <w:rPr>
                        <w:rFonts w:ascii="Times New Roman" w:hAnsi="Times New Roman"/>
                        <w:sz w:val="20"/>
                        <w:szCs w:val="20"/>
                      </w:rPr>
                    </w:pPr>
                  </w:p>
                </w:tc>
                <w:tc>
                  <w:tcPr>
                    <w:tcW w:w="569" w:type="pct"/>
                    <w:tcBorders>
                      <w:top w:val="single" w:color="auto" w:sz="12" w:space="0"/>
                      <w:left w:val="nil"/>
                      <w:bottom w:val="nil"/>
                      <w:right w:val="nil"/>
                    </w:tcBorders>
                    <w:shd w:val="clear" w:color="auto" w:fill="auto"/>
                    <w:noWrap/>
                    <w:vAlign w:val="bottom"/>
                    <w:hideMark/>
                  </w:tcPr>
                  <w:p w:rsidRPr="00CB6844" w:rsidR="002318A8" w:rsidRDefault="002318A8" w14:paraId="2F9F2455" w14:textId="77777777">
                    <w:pPr>
                      <w:rPr>
                        <w:rFonts w:ascii="Times New Roman" w:hAnsi="Times New Roman"/>
                        <w:sz w:val="20"/>
                        <w:szCs w:val="20"/>
                      </w:rPr>
                    </w:pPr>
                  </w:p>
                </w:tc>
              </w:tr>
            </w:tbl>
            <w:p w:rsidR="002318A8" w:rsidP="002318A8" w:rsidRDefault="002318A8" w14:paraId="7AC6C2F7" w14:textId="77777777"/>
            <w:p w:rsidR="002318A8" w:rsidP="002318A8" w:rsidRDefault="002318A8" w14:paraId="36326F66" w14:textId="77777777">
              <w:r>
                <w:t xml:space="preserve">De uitgaven aan militaire en humanitaire steun voor Oekraïne zijn buiten het uitgavenkader geplaatst. Deze uitgaven belasten het EMU-saldo en hoeven niet gedekt te worden door ombuigingen. Ook de rentelasten op de staatsschuld vallen buiten het uitgavenkader. De uitgaven aan militaire ondersteuning voor Oekraïne zijn in de voorjaarsnota met €3,7 mld. verhoogd voor de jaren 2025-2027. De uitgaven voor opvang voor ontheemden uit Oekraïne vallen lager uit in 2025 en 2026. In 2027 en 2028 zijn extra middelen gereserveerd vooruitlopend op een mogelijke verlening van de Richtlijn Tijdelijke Bescherming. De meevallers en tegenvallers voor de opvang voor ontheemden vallen nagenoeg tegen elkaar weg. De afdeling begrijpt de reservering, maar merkt op dat de facto hierdoor een 100%-eindejaarsmarge is gecreëerd voor deze post, wat niet is opgenomen in de begrotingsregels. </w:t>
              </w:r>
            </w:p>
            <w:p w:rsidR="002318A8" w:rsidP="002318A8" w:rsidRDefault="002318A8" w14:paraId="47E864A9" w14:textId="77777777"/>
            <w:p w:rsidR="002318A8" w:rsidP="002318A8" w:rsidRDefault="002318A8" w14:paraId="396A819C" w14:textId="77777777">
              <w:pPr>
                <w:rPr>
                  <w:i/>
                  <w:iCs/>
                </w:rPr>
              </w:pPr>
              <w:r>
                <w:rPr>
                  <w:i/>
                  <w:iCs/>
                </w:rPr>
                <w:t xml:space="preserve">De toetsing voor 2025 en 2026 </w:t>
              </w:r>
            </w:p>
            <w:p w:rsidR="002318A8" w:rsidP="002318A8" w:rsidRDefault="002318A8" w14:paraId="45FB0BD2" w14:textId="77777777">
              <w:r>
                <w:lastRenderedPageBreak/>
                <w:t>De kaderrelevante uitgaven liggen in de berekeningen van de Voorjaarsnota 2025</w:t>
              </w:r>
            </w:p>
            <w:p w:rsidR="002318A8" w:rsidP="002318A8" w:rsidRDefault="002318A8" w14:paraId="4B016270" w14:textId="77777777">
              <w:r>
                <w:t>in 2025 en 2026 onder de uitgavenplafonds</w:t>
              </w:r>
              <w:r w:rsidRPr="008C5BF1">
                <w:t>. Ook als de gehele kabinetsperiode 2025-2028</w:t>
              </w:r>
              <w:r>
                <w:t xml:space="preserve"> (formeel geen onderdeel van de begrotingstoetsing)</w:t>
              </w:r>
              <w:r w:rsidRPr="008C5BF1">
                <w:t xml:space="preserve"> wordt beschouwd</w:t>
              </w:r>
              <w:r>
                <w:t>,</w:t>
              </w:r>
              <w:r w:rsidRPr="008C5BF1">
                <w:t xml:space="preserve"> is sprake van onderschrijding, al zijn er verschillen tussen de jaren.</w:t>
              </w:r>
              <w:r>
                <w:t xml:space="preserve"> Dit beeld is in lijn met het maatregelenpakket uit de Voorjaarsnota, waarbij extra uitgaven en bezuinigingen elkaar ongeveer in evenwicht houden. </w:t>
              </w:r>
            </w:p>
            <w:p w:rsidR="002318A8" w:rsidP="002318A8" w:rsidRDefault="002318A8" w14:paraId="0F2A32CA" w14:textId="77777777"/>
            <w:p w:rsidR="002318A8" w:rsidP="002318A8" w:rsidRDefault="002318A8" w14:paraId="60EB2987" w14:textId="77777777">
              <w:r>
                <w:t xml:space="preserve">Het uitgavenplafond uit de Miljoenennota 2025 is conform de begrotingsregels aangepast vanwege de ontwikkeling van de lonen en de prijzen en de </w:t>
              </w:r>
              <w:proofErr w:type="spellStart"/>
              <w:r>
                <w:t>ww</w:t>
              </w:r>
              <w:proofErr w:type="spellEnd"/>
              <w:r>
                <w:t xml:space="preserve">- en </w:t>
              </w:r>
              <w:proofErr w:type="spellStart"/>
              <w:r>
                <w:t>bijstandsuitgaven</w:t>
              </w:r>
              <w:proofErr w:type="spellEnd"/>
              <w:r>
                <w:t xml:space="preserve"> die niet het gevolg zijn van beleidsmaatregelen. De ontwikkeling van het gemeente- en provinciefonds hangt mede af van de prijsontwikkeling van het bbp. Dit is een prijsaanpassing die derhalve eveneens leidt tot een aanpassing van de uitgavenkaders.</w:t>
              </w:r>
            </w:p>
            <w:p w:rsidR="002318A8" w:rsidP="002318A8" w:rsidRDefault="002318A8" w14:paraId="38A4F816" w14:textId="77777777"/>
            <w:p w:rsidR="002318A8" w:rsidP="002318A8" w:rsidRDefault="002318A8" w14:paraId="2BCE27E1" w14:textId="77777777">
              <w:r>
                <w:t xml:space="preserve">De interpretatie van de begrotingstoets wordt bemoeilijkt door de aanwezigheid van kasschuiven en </w:t>
              </w:r>
              <w:proofErr w:type="spellStart"/>
              <w:r>
                <w:t>onderuitputting</w:t>
              </w:r>
              <w:proofErr w:type="spellEnd"/>
              <w:r>
                <w:t xml:space="preserve">. De uitgavenplafonds zijn aangepast op basis van de kasschuiven. De Afdeling merkt op dat in de begrotingsregels van de Miljoenennota niet staat dat kasschuiven een reden zijn voor het aanpassen van de uitgavenplafonds. Dit roept de vraag op of deze correcties moeten worden gezien als een invulling van het advies van de expertgroep realistisch ramen om de gebudgetteerde uitgaven en de daadwerkelijke uitgaven meer in lijn te brengen. </w:t>
              </w:r>
            </w:p>
            <w:p w:rsidR="002318A8" w:rsidP="002318A8" w:rsidRDefault="002318A8" w14:paraId="1EDCABF2" w14:textId="77777777">
              <w:r>
                <w:br w:type="page"/>
              </w:r>
            </w:p>
            <w:tbl>
              <w:tblPr>
                <w:tblW w:w="5000" w:type="pct"/>
                <w:tblCellMar>
                  <w:left w:w="70" w:type="dxa"/>
                  <w:right w:w="70" w:type="dxa"/>
                </w:tblCellMar>
                <w:tblLook w:val="04A0" w:firstRow="1" w:lastRow="0" w:firstColumn="1" w:lastColumn="0" w:noHBand="0" w:noVBand="1"/>
              </w:tblPr>
              <w:tblGrid>
                <w:gridCol w:w="4806"/>
                <w:gridCol w:w="970"/>
                <w:gridCol w:w="909"/>
                <w:gridCol w:w="909"/>
                <w:gridCol w:w="909"/>
              </w:tblGrid>
              <w:tr w:rsidRPr="003426BA" w:rsidR="002318A8" w:rsidTr="00CE3CDC" w14:paraId="0222F489" w14:textId="77777777">
                <w:trPr>
                  <w:trHeight w:val="240"/>
                </w:trPr>
                <w:tc>
                  <w:tcPr>
                    <w:tcW w:w="3364" w:type="pct"/>
                    <w:gridSpan w:val="2"/>
                    <w:tcBorders>
                      <w:top w:val="nil"/>
                      <w:left w:val="nil"/>
                      <w:bottom w:val="single" w:color="auto" w:sz="12" w:space="0"/>
                      <w:right w:val="nil"/>
                    </w:tcBorders>
                    <w:shd w:val="clear" w:color="auto" w:fill="auto"/>
                    <w:noWrap/>
                    <w:vAlign w:val="bottom"/>
                    <w:hideMark/>
                  </w:tcPr>
                  <w:p w:rsidRPr="003426BA" w:rsidR="002318A8" w:rsidRDefault="002318A8" w14:paraId="12BD2827" w14:textId="77777777">
                    <w:pPr>
                      <w:rPr>
                        <w:rFonts w:cs="Arial"/>
                        <w:b/>
                        <w:bCs/>
                        <w:sz w:val="18"/>
                        <w:szCs w:val="18"/>
                      </w:rPr>
                    </w:pPr>
                    <w:r w:rsidRPr="003426BA">
                      <w:rPr>
                        <w:rFonts w:cs="Arial"/>
                        <w:b/>
                        <w:bCs/>
                        <w:sz w:val="18"/>
                        <w:szCs w:val="18"/>
                      </w:rPr>
                      <w:lastRenderedPageBreak/>
                      <w:t xml:space="preserve">Tabel </w:t>
                    </w:r>
                    <w:r>
                      <w:rPr>
                        <w:rFonts w:cs="Arial"/>
                        <w:b/>
                        <w:bCs/>
                        <w:sz w:val="18"/>
                        <w:szCs w:val="18"/>
                      </w:rPr>
                      <w:t>8</w:t>
                    </w:r>
                    <w:r w:rsidRPr="003426BA">
                      <w:rPr>
                        <w:rFonts w:cs="Arial"/>
                        <w:b/>
                        <w:bCs/>
                        <w:sz w:val="18"/>
                        <w:szCs w:val="18"/>
                      </w:rPr>
                      <w:t>: Uitgavenplafond o.b.v. Voorjaarsnota 2025-2028</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7DBA0D59" w14:textId="77777777">
                    <w:pPr>
                      <w:rPr>
                        <w:rFonts w:cs="Arial"/>
                        <w:sz w:val="18"/>
                        <w:szCs w:val="18"/>
                      </w:rPr>
                    </w:pPr>
                    <w:r w:rsidRPr="003426BA">
                      <w:rPr>
                        <w:rFonts w:cs="Arial"/>
                        <w:sz w:val="18"/>
                        <w:szCs w:val="18"/>
                      </w:rPr>
                      <w:t> </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659EFD7A" w14:textId="77777777">
                    <w:pPr>
                      <w:rPr>
                        <w:rFonts w:cs="Arial"/>
                        <w:sz w:val="18"/>
                        <w:szCs w:val="18"/>
                      </w:rPr>
                    </w:pPr>
                    <w:r w:rsidRPr="003426BA">
                      <w:rPr>
                        <w:rFonts w:cs="Arial"/>
                        <w:sz w:val="18"/>
                        <w:szCs w:val="18"/>
                      </w:rPr>
                      <w:t> </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1F6F0BC3" w14:textId="77777777">
                    <w:pPr>
                      <w:rPr>
                        <w:rFonts w:cs="Arial"/>
                        <w:sz w:val="18"/>
                        <w:szCs w:val="18"/>
                      </w:rPr>
                    </w:pPr>
                    <w:r w:rsidRPr="003426BA">
                      <w:rPr>
                        <w:rFonts w:cs="Arial"/>
                        <w:sz w:val="18"/>
                        <w:szCs w:val="18"/>
                      </w:rPr>
                      <w:t> </w:t>
                    </w:r>
                  </w:p>
                </w:tc>
              </w:tr>
              <w:tr w:rsidRPr="003426BA" w:rsidR="002318A8" w:rsidTr="00CE3CDC" w14:paraId="018F080F" w14:textId="77777777">
                <w:trPr>
                  <w:trHeight w:val="240"/>
                </w:trPr>
                <w:tc>
                  <w:tcPr>
                    <w:tcW w:w="2836" w:type="pct"/>
                    <w:tcBorders>
                      <w:top w:val="single" w:color="auto" w:sz="12" w:space="0"/>
                      <w:left w:val="nil"/>
                      <w:bottom w:val="single" w:color="auto" w:sz="12" w:space="0"/>
                      <w:right w:val="nil"/>
                    </w:tcBorders>
                    <w:shd w:val="clear" w:color="auto" w:fill="auto"/>
                    <w:noWrap/>
                    <w:vAlign w:val="bottom"/>
                    <w:hideMark/>
                  </w:tcPr>
                  <w:p w:rsidRPr="003426BA" w:rsidR="002318A8" w:rsidRDefault="002318A8" w14:paraId="120BE432" w14:textId="77777777">
                    <w:pPr>
                      <w:rPr>
                        <w:rFonts w:cs="Arial"/>
                        <w:sz w:val="18"/>
                        <w:szCs w:val="18"/>
                      </w:rPr>
                    </w:pPr>
                    <w:r w:rsidRPr="003426BA">
                      <w:rPr>
                        <w:rFonts w:cs="Arial"/>
                        <w:sz w:val="18"/>
                        <w:szCs w:val="18"/>
                      </w:rPr>
                      <w:t> </w:t>
                    </w:r>
                  </w:p>
                </w:tc>
                <w:tc>
                  <w:tcPr>
                    <w:tcW w:w="527"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6D3DFD06" w14:textId="77777777">
                    <w:pPr>
                      <w:jc w:val="right"/>
                      <w:rPr>
                        <w:rFonts w:cs="Arial"/>
                        <w:b/>
                        <w:bCs/>
                        <w:sz w:val="18"/>
                        <w:szCs w:val="18"/>
                      </w:rPr>
                    </w:pPr>
                    <w:r w:rsidRPr="00EF0DAB">
                      <w:rPr>
                        <w:rFonts w:cs="Arial"/>
                        <w:b/>
                        <w:bCs/>
                        <w:sz w:val="18"/>
                        <w:szCs w:val="18"/>
                      </w:rPr>
                      <w:t>2025</w:t>
                    </w:r>
                  </w:p>
                </w:tc>
                <w:tc>
                  <w:tcPr>
                    <w:tcW w:w="545"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7E20BC1F" w14:textId="77777777">
                    <w:pPr>
                      <w:jc w:val="right"/>
                      <w:rPr>
                        <w:rFonts w:cs="Arial"/>
                        <w:b/>
                        <w:bCs/>
                        <w:sz w:val="18"/>
                        <w:szCs w:val="18"/>
                      </w:rPr>
                    </w:pPr>
                    <w:r w:rsidRPr="00EF0DAB">
                      <w:rPr>
                        <w:rFonts w:cs="Arial"/>
                        <w:b/>
                        <w:bCs/>
                        <w:sz w:val="18"/>
                        <w:szCs w:val="18"/>
                      </w:rPr>
                      <w:t>2026</w:t>
                    </w:r>
                  </w:p>
                </w:tc>
                <w:tc>
                  <w:tcPr>
                    <w:tcW w:w="545"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48DDF5A9" w14:textId="77777777">
                    <w:pPr>
                      <w:jc w:val="right"/>
                      <w:rPr>
                        <w:rFonts w:cs="Arial"/>
                        <w:b/>
                        <w:bCs/>
                        <w:sz w:val="18"/>
                        <w:szCs w:val="18"/>
                      </w:rPr>
                    </w:pPr>
                    <w:r w:rsidRPr="00EF0DAB">
                      <w:rPr>
                        <w:rFonts w:cs="Arial"/>
                        <w:b/>
                        <w:bCs/>
                        <w:sz w:val="18"/>
                        <w:szCs w:val="18"/>
                      </w:rPr>
                      <w:t>2027</w:t>
                    </w:r>
                  </w:p>
                </w:tc>
                <w:tc>
                  <w:tcPr>
                    <w:tcW w:w="545"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06262CBD" w14:textId="77777777">
                    <w:pPr>
                      <w:jc w:val="right"/>
                      <w:rPr>
                        <w:rFonts w:cs="Arial"/>
                        <w:b/>
                        <w:bCs/>
                        <w:sz w:val="18"/>
                        <w:szCs w:val="18"/>
                      </w:rPr>
                    </w:pPr>
                    <w:r w:rsidRPr="00EF0DAB">
                      <w:rPr>
                        <w:rFonts w:cs="Arial"/>
                        <w:b/>
                        <w:bCs/>
                        <w:sz w:val="18"/>
                        <w:szCs w:val="18"/>
                      </w:rPr>
                      <w:t>2028</w:t>
                    </w:r>
                  </w:p>
                </w:tc>
              </w:tr>
              <w:tr w:rsidRPr="003426BA" w:rsidR="002318A8" w:rsidTr="00CE3CDC" w14:paraId="78B8FFE4" w14:textId="77777777">
                <w:trPr>
                  <w:trHeight w:val="240"/>
                </w:trPr>
                <w:tc>
                  <w:tcPr>
                    <w:tcW w:w="2836" w:type="pct"/>
                    <w:tcBorders>
                      <w:top w:val="single" w:color="auto" w:sz="12" w:space="0"/>
                      <w:left w:val="nil"/>
                      <w:bottom w:val="nil"/>
                      <w:right w:val="nil"/>
                    </w:tcBorders>
                    <w:shd w:val="clear" w:color="auto" w:fill="auto"/>
                    <w:noWrap/>
                    <w:vAlign w:val="bottom"/>
                    <w:hideMark/>
                  </w:tcPr>
                  <w:p w:rsidRPr="003426BA" w:rsidR="002318A8" w:rsidRDefault="002318A8" w14:paraId="6734E02B" w14:textId="77777777">
                    <w:pPr>
                      <w:jc w:val="right"/>
                      <w:rPr>
                        <w:rFonts w:cs="Arial"/>
                        <w:sz w:val="18"/>
                        <w:szCs w:val="18"/>
                      </w:rPr>
                    </w:pPr>
                  </w:p>
                </w:tc>
                <w:tc>
                  <w:tcPr>
                    <w:tcW w:w="527" w:type="pct"/>
                    <w:tcBorders>
                      <w:top w:val="single" w:color="auto" w:sz="12" w:space="0"/>
                      <w:left w:val="nil"/>
                      <w:bottom w:val="nil"/>
                      <w:right w:val="nil"/>
                    </w:tcBorders>
                    <w:shd w:val="clear" w:color="auto" w:fill="auto"/>
                    <w:noWrap/>
                    <w:vAlign w:val="bottom"/>
                    <w:hideMark/>
                  </w:tcPr>
                  <w:p w:rsidRPr="003426BA" w:rsidR="002318A8" w:rsidRDefault="002318A8" w14:paraId="7288BEB7" w14:textId="77777777">
                    <w:pPr>
                      <w:rPr>
                        <w:rFonts w:cs="Arial"/>
                        <w:sz w:val="18"/>
                        <w:szCs w:val="18"/>
                      </w:rPr>
                    </w:pPr>
                    <w:r w:rsidRPr="003426BA">
                      <w:rPr>
                        <w:rFonts w:cs="Arial"/>
                        <w:sz w:val="18"/>
                        <w:szCs w:val="18"/>
                      </w:rPr>
                      <w:t>Mld</w:t>
                    </w:r>
                    <w:r>
                      <w:rPr>
                        <w:rFonts w:cs="Arial"/>
                        <w:sz w:val="18"/>
                        <w:szCs w:val="18"/>
                      </w:rPr>
                      <w:t>.</w:t>
                    </w:r>
                    <w:r w:rsidRPr="003426BA">
                      <w:rPr>
                        <w:rFonts w:cs="Arial"/>
                        <w:sz w:val="18"/>
                        <w:szCs w:val="18"/>
                      </w:rPr>
                      <w:t xml:space="preserve"> Euro</w:t>
                    </w:r>
                  </w:p>
                </w:tc>
                <w:tc>
                  <w:tcPr>
                    <w:tcW w:w="545" w:type="pct"/>
                    <w:tcBorders>
                      <w:top w:val="single" w:color="auto" w:sz="12" w:space="0"/>
                      <w:left w:val="nil"/>
                      <w:bottom w:val="nil"/>
                      <w:right w:val="nil"/>
                    </w:tcBorders>
                    <w:shd w:val="clear" w:color="auto" w:fill="auto"/>
                    <w:noWrap/>
                    <w:vAlign w:val="bottom"/>
                    <w:hideMark/>
                  </w:tcPr>
                  <w:p w:rsidRPr="003426BA" w:rsidR="002318A8" w:rsidRDefault="002318A8" w14:paraId="030969C5" w14:textId="77777777">
                    <w:pPr>
                      <w:rPr>
                        <w:rFonts w:cs="Arial"/>
                        <w:sz w:val="18"/>
                        <w:szCs w:val="18"/>
                      </w:rPr>
                    </w:pPr>
                  </w:p>
                </w:tc>
                <w:tc>
                  <w:tcPr>
                    <w:tcW w:w="545" w:type="pct"/>
                    <w:tcBorders>
                      <w:top w:val="single" w:color="auto" w:sz="12" w:space="0"/>
                      <w:left w:val="nil"/>
                      <w:bottom w:val="nil"/>
                      <w:right w:val="nil"/>
                    </w:tcBorders>
                    <w:shd w:val="clear" w:color="auto" w:fill="auto"/>
                    <w:noWrap/>
                    <w:vAlign w:val="bottom"/>
                    <w:hideMark/>
                  </w:tcPr>
                  <w:p w:rsidRPr="003426BA" w:rsidR="002318A8" w:rsidRDefault="002318A8" w14:paraId="1B2B64A3" w14:textId="77777777">
                    <w:pPr>
                      <w:rPr>
                        <w:rFonts w:ascii="Times New Roman" w:hAnsi="Times New Roman"/>
                        <w:sz w:val="20"/>
                        <w:szCs w:val="20"/>
                      </w:rPr>
                    </w:pPr>
                  </w:p>
                </w:tc>
                <w:tc>
                  <w:tcPr>
                    <w:tcW w:w="545" w:type="pct"/>
                    <w:tcBorders>
                      <w:top w:val="single" w:color="auto" w:sz="12" w:space="0"/>
                      <w:left w:val="nil"/>
                      <w:bottom w:val="nil"/>
                      <w:right w:val="nil"/>
                    </w:tcBorders>
                    <w:shd w:val="clear" w:color="auto" w:fill="auto"/>
                    <w:noWrap/>
                    <w:vAlign w:val="bottom"/>
                    <w:hideMark/>
                  </w:tcPr>
                  <w:p w:rsidRPr="003426BA" w:rsidR="002318A8" w:rsidRDefault="002318A8" w14:paraId="6AC0924A" w14:textId="77777777">
                    <w:pPr>
                      <w:rPr>
                        <w:rFonts w:ascii="Times New Roman" w:hAnsi="Times New Roman"/>
                        <w:sz w:val="20"/>
                        <w:szCs w:val="20"/>
                      </w:rPr>
                    </w:pPr>
                  </w:p>
                </w:tc>
              </w:tr>
              <w:tr w:rsidRPr="003426BA" w:rsidR="002318A8" w:rsidTr="00CE3CDC" w14:paraId="26418649"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6C3DB3F4" w14:textId="77777777">
                    <w:pPr>
                      <w:rPr>
                        <w:rFonts w:cs="Arial"/>
                        <w:sz w:val="18"/>
                        <w:szCs w:val="18"/>
                      </w:rPr>
                    </w:pPr>
                    <w:r w:rsidRPr="003426BA">
                      <w:rPr>
                        <w:rFonts w:cs="Arial"/>
                        <w:sz w:val="18"/>
                        <w:szCs w:val="18"/>
                      </w:rPr>
                      <w:t>Miljoenennota 2025 (A)</w:t>
                    </w:r>
                  </w:p>
                </w:tc>
                <w:tc>
                  <w:tcPr>
                    <w:tcW w:w="527" w:type="pct"/>
                    <w:tcBorders>
                      <w:top w:val="nil"/>
                      <w:left w:val="nil"/>
                      <w:bottom w:val="nil"/>
                      <w:right w:val="nil"/>
                    </w:tcBorders>
                    <w:shd w:val="clear" w:color="auto" w:fill="auto"/>
                    <w:noWrap/>
                    <w:vAlign w:val="bottom"/>
                    <w:hideMark/>
                  </w:tcPr>
                  <w:p w:rsidRPr="003426BA" w:rsidR="002318A8" w:rsidRDefault="002318A8" w14:paraId="162D87A9" w14:textId="77777777">
                    <w:pPr>
                      <w:jc w:val="right"/>
                      <w:rPr>
                        <w:rFonts w:cs="Arial"/>
                        <w:sz w:val="18"/>
                        <w:szCs w:val="18"/>
                      </w:rPr>
                    </w:pPr>
                    <w:r w:rsidRPr="003426BA">
                      <w:rPr>
                        <w:rFonts w:cs="Arial"/>
                        <w:sz w:val="18"/>
                        <w:szCs w:val="18"/>
                      </w:rPr>
                      <w:t>427,0</w:t>
                    </w:r>
                  </w:p>
                </w:tc>
                <w:tc>
                  <w:tcPr>
                    <w:tcW w:w="545" w:type="pct"/>
                    <w:tcBorders>
                      <w:top w:val="nil"/>
                      <w:left w:val="nil"/>
                      <w:bottom w:val="nil"/>
                      <w:right w:val="nil"/>
                    </w:tcBorders>
                    <w:shd w:val="clear" w:color="auto" w:fill="auto"/>
                    <w:noWrap/>
                    <w:vAlign w:val="bottom"/>
                    <w:hideMark/>
                  </w:tcPr>
                  <w:p w:rsidRPr="003426BA" w:rsidR="002318A8" w:rsidRDefault="002318A8" w14:paraId="6BBA2726" w14:textId="77777777">
                    <w:pPr>
                      <w:jc w:val="right"/>
                      <w:rPr>
                        <w:rFonts w:cs="Arial"/>
                        <w:sz w:val="18"/>
                        <w:szCs w:val="18"/>
                      </w:rPr>
                    </w:pPr>
                    <w:r w:rsidRPr="003426BA">
                      <w:rPr>
                        <w:rFonts w:cs="Arial"/>
                        <w:sz w:val="18"/>
                        <w:szCs w:val="18"/>
                      </w:rPr>
                      <w:t>455,0</w:t>
                    </w:r>
                  </w:p>
                </w:tc>
                <w:tc>
                  <w:tcPr>
                    <w:tcW w:w="545" w:type="pct"/>
                    <w:tcBorders>
                      <w:top w:val="nil"/>
                      <w:left w:val="nil"/>
                      <w:bottom w:val="nil"/>
                      <w:right w:val="nil"/>
                    </w:tcBorders>
                    <w:shd w:val="clear" w:color="auto" w:fill="auto"/>
                    <w:noWrap/>
                    <w:vAlign w:val="bottom"/>
                    <w:hideMark/>
                  </w:tcPr>
                  <w:p w:rsidRPr="003426BA" w:rsidR="002318A8" w:rsidRDefault="002318A8" w14:paraId="5F7CC4F4" w14:textId="77777777">
                    <w:pPr>
                      <w:jc w:val="right"/>
                      <w:rPr>
                        <w:rFonts w:cs="Arial"/>
                        <w:sz w:val="18"/>
                        <w:szCs w:val="18"/>
                      </w:rPr>
                    </w:pPr>
                    <w:r w:rsidRPr="003426BA">
                      <w:rPr>
                        <w:rFonts w:cs="Arial"/>
                        <w:sz w:val="18"/>
                        <w:szCs w:val="18"/>
                      </w:rPr>
                      <w:t>476,9</w:t>
                    </w:r>
                  </w:p>
                </w:tc>
                <w:tc>
                  <w:tcPr>
                    <w:tcW w:w="545" w:type="pct"/>
                    <w:tcBorders>
                      <w:top w:val="nil"/>
                      <w:left w:val="nil"/>
                      <w:bottom w:val="nil"/>
                      <w:right w:val="nil"/>
                    </w:tcBorders>
                    <w:shd w:val="clear" w:color="auto" w:fill="auto"/>
                    <w:noWrap/>
                    <w:vAlign w:val="bottom"/>
                    <w:hideMark/>
                  </w:tcPr>
                  <w:p w:rsidRPr="003426BA" w:rsidR="002318A8" w:rsidRDefault="002318A8" w14:paraId="509CB110" w14:textId="77777777">
                    <w:pPr>
                      <w:jc w:val="right"/>
                      <w:rPr>
                        <w:rFonts w:cs="Arial"/>
                        <w:sz w:val="18"/>
                        <w:szCs w:val="18"/>
                      </w:rPr>
                    </w:pPr>
                    <w:r w:rsidRPr="003426BA">
                      <w:rPr>
                        <w:rFonts w:cs="Arial"/>
                        <w:sz w:val="18"/>
                        <w:szCs w:val="18"/>
                      </w:rPr>
                      <w:t>494,2</w:t>
                    </w:r>
                  </w:p>
                </w:tc>
              </w:tr>
              <w:tr w:rsidRPr="003426BA" w:rsidR="002318A8" w:rsidTr="00CE3CDC" w14:paraId="7366672A"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3AC95F55" w14:textId="77777777">
                    <w:pPr>
                      <w:jc w:val="right"/>
                      <w:rPr>
                        <w:rFonts w:cs="Arial"/>
                        <w:sz w:val="18"/>
                        <w:szCs w:val="18"/>
                      </w:rPr>
                    </w:pPr>
                  </w:p>
                </w:tc>
                <w:tc>
                  <w:tcPr>
                    <w:tcW w:w="527" w:type="pct"/>
                    <w:tcBorders>
                      <w:top w:val="nil"/>
                      <w:left w:val="nil"/>
                      <w:bottom w:val="nil"/>
                      <w:right w:val="nil"/>
                    </w:tcBorders>
                    <w:shd w:val="clear" w:color="auto" w:fill="auto"/>
                    <w:noWrap/>
                    <w:vAlign w:val="bottom"/>
                    <w:hideMark/>
                  </w:tcPr>
                  <w:p w:rsidRPr="003426BA" w:rsidR="002318A8" w:rsidRDefault="002318A8" w14:paraId="5A5B1E4A"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74A5D1A0"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1867D1AD"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61E398B6" w14:textId="77777777">
                    <w:pPr>
                      <w:rPr>
                        <w:rFonts w:ascii="Times New Roman" w:hAnsi="Times New Roman"/>
                        <w:sz w:val="20"/>
                        <w:szCs w:val="20"/>
                      </w:rPr>
                    </w:pPr>
                  </w:p>
                </w:tc>
              </w:tr>
              <w:tr w:rsidRPr="003426BA" w:rsidR="002318A8" w:rsidTr="00CE3CDC" w14:paraId="26A6E5E6"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3A90A96C" w14:textId="77777777">
                    <w:pPr>
                      <w:rPr>
                        <w:rFonts w:cs="Arial"/>
                        <w:sz w:val="18"/>
                        <w:szCs w:val="18"/>
                      </w:rPr>
                    </w:pPr>
                    <w:r w:rsidRPr="003426BA">
                      <w:rPr>
                        <w:rFonts w:cs="Arial"/>
                        <w:sz w:val="18"/>
                        <w:szCs w:val="18"/>
                      </w:rPr>
                      <w:t>Kadercorrecties</w:t>
                    </w:r>
                  </w:p>
                </w:tc>
                <w:tc>
                  <w:tcPr>
                    <w:tcW w:w="527" w:type="pct"/>
                    <w:tcBorders>
                      <w:top w:val="nil"/>
                      <w:left w:val="nil"/>
                      <w:bottom w:val="nil"/>
                      <w:right w:val="nil"/>
                    </w:tcBorders>
                    <w:shd w:val="clear" w:color="auto" w:fill="auto"/>
                    <w:noWrap/>
                    <w:vAlign w:val="bottom"/>
                    <w:hideMark/>
                  </w:tcPr>
                  <w:p w:rsidRPr="003426BA" w:rsidR="002318A8" w:rsidRDefault="002318A8" w14:paraId="5AC0751E" w14:textId="77777777">
                    <w:pPr>
                      <w:rPr>
                        <w:rFonts w:cs="Arial"/>
                        <w:sz w:val="18"/>
                        <w:szCs w:val="18"/>
                      </w:rPr>
                    </w:pPr>
                  </w:p>
                </w:tc>
                <w:tc>
                  <w:tcPr>
                    <w:tcW w:w="545" w:type="pct"/>
                    <w:tcBorders>
                      <w:top w:val="nil"/>
                      <w:left w:val="nil"/>
                      <w:bottom w:val="nil"/>
                      <w:right w:val="nil"/>
                    </w:tcBorders>
                    <w:shd w:val="clear" w:color="auto" w:fill="auto"/>
                    <w:noWrap/>
                    <w:vAlign w:val="bottom"/>
                    <w:hideMark/>
                  </w:tcPr>
                  <w:p w:rsidRPr="003426BA" w:rsidR="002318A8" w:rsidRDefault="002318A8" w14:paraId="2459D46B"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2536E284"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459CAD08" w14:textId="77777777">
                    <w:pPr>
                      <w:rPr>
                        <w:rFonts w:ascii="Times New Roman" w:hAnsi="Times New Roman"/>
                        <w:sz w:val="20"/>
                        <w:szCs w:val="20"/>
                      </w:rPr>
                    </w:pPr>
                  </w:p>
                </w:tc>
              </w:tr>
              <w:tr w:rsidRPr="003426BA" w:rsidR="002318A8" w:rsidTr="00CE3CDC" w14:paraId="167B786A"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6BCE61CC" w14:textId="77777777">
                    <w:pPr>
                      <w:rPr>
                        <w:rFonts w:cs="Arial"/>
                        <w:sz w:val="18"/>
                        <w:szCs w:val="18"/>
                      </w:rPr>
                    </w:pPr>
                    <w:r w:rsidRPr="003426BA">
                      <w:rPr>
                        <w:rFonts w:cs="Arial"/>
                        <w:sz w:val="18"/>
                        <w:szCs w:val="18"/>
                      </w:rPr>
                      <w:t>Nominale ontwikkeling</w:t>
                    </w:r>
                  </w:p>
                </w:tc>
                <w:tc>
                  <w:tcPr>
                    <w:tcW w:w="527" w:type="pct"/>
                    <w:tcBorders>
                      <w:top w:val="nil"/>
                      <w:left w:val="nil"/>
                      <w:bottom w:val="nil"/>
                      <w:right w:val="nil"/>
                    </w:tcBorders>
                    <w:shd w:val="clear" w:color="auto" w:fill="auto"/>
                    <w:noWrap/>
                    <w:vAlign w:val="bottom"/>
                    <w:hideMark/>
                  </w:tcPr>
                  <w:p w:rsidRPr="003426BA" w:rsidR="002318A8" w:rsidRDefault="002318A8" w14:paraId="678AC69E" w14:textId="77777777">
                    <w:pPr>
                      <w:jc w:val="right"/>
                      <w:rPr>
                        <w:rFonts w:cs="Arial"/>
                        <w:sz w:val="18"/>
                        <w:szCs w:val="18"/>
                      </w:rPr>
                    </w:pPr>
                    <w:r w:rsidRPr="003426BA">
                      <w:rPr>
                        <w:rFonts w:cs="Arial"/>
                        <w:sz w:val="18"/>
                        <w:szCs w:val="18"/>
                      </w:rPr>
                      <w:t>0,8</w:t>
                    </w:r>
                  </w:p>
                </w:tc>
                <w:tc>
                  <w:tcPr>
                    <w:tcW w:w="545" w:type="pct"/>
                    <w:tcBorders>
                      <w:top w:val="nil"/>
                      <w:left w:val="nil"/>
                      <w:bottom w:val="nil"/>
                      <w:right w:val="nil"/>
                    </w:tcBorders>
                    <w:shd w:val="clear" w:color="auto" w:fill="auto"/>
                    <w:noWrap/>
                    <w:vAlign w:val="bottom"/>
                    <w:hideMark/>
                  </w:tcPr>
                  <w:p w:rsidRPr="003426BA" w:rsidR="002318A8" w:rsidRDefault="002318A8" w14:paraId="51F290CF" w14:textId="77777777">
                    <w:pPr>
                      <w:jc w:val="right"/>
                      <w:rPr>
                        <w:rFonts w:cs="Arial"/>
                        <w:sz w:val="18"/>
                        <w:szCs w:val="18"/>
                      </w:rPr>
                    </w:pPr>
                    <w:r w:rsidRPr="003426BA">
                      <w:rPr>
                        <w:rFonts w:cs="Arial"/>
                        <w:sz w:val="18"/>
                        <w:szCs w:val="18"/>
                      </w:rPr>
                      <w:t>1,9</w:t>
                    </w:r>
                  </w:p>
                </w:tc>
                <w:tc>
                  <w:tcPr>
                    <w:tcW w:w="545" w:type="pct"/>
                    <w:tcBorders>
                      <w:top w:val="nil"/>
                      <w:left w:val="nil"/>
                      <w:bottom w:val="nil"/>
                      <w:right w:val="nil"/>
                    </w:tcBorders>
                    <w:shd w:val="clear" w:color="auto" w:fill="auto"/>
                    <w:noWrap/>
                    <w:vAlign w:val="bottom"/>
                    <w:hideMark/>
                  </w:tcPr>
                  <w:p w:rsidRPr="003426BA" w:rsidR="002318A8" w:rsidRDefault="002318A8" w14:paraId="61AA473D" w14:textId="77777777">
                    <w:pPr>
                      <w:jc w:val="right"/>
                      <w:rPr>
                        <w:rFonts w:cs="Arial"/>
                        <w:sz w:val="18"/>
                        <w:szCs w:val="18"/>
                      </w:rPr>
                    </w:pPr>
                    <w:r w:rsidRPr="003426BA">
                      <w:rPr>
                        <w:rFonts w:cs="Arial"/>
                        <w:sz w:val="18"/>
                        <w:szCs w:val="18"/>
                      </w:rPr>
                      <w:t>2,4</w:t>
                    </w:r>
                  </w:p>
                </w:tc>
                <w:tc>
                  <w:tcPr>
                    <w:tcW w:w="545" w:type="pct"/>
                    <w:tcBorders>
                      <w:top w:val="nil"/>
                      <w:left w:val="nil"/>
                      <w:bottom w:val="nil"/>
                      <w:right w:val="nil"/>
                    </w:tcBorders>
                    <w:shd w:val="clear" w:color="auto" w:fill="auto"/>
                    <w:noWrap/>
                    <w:vAlign w:val="bottom"/>
                    <w:hideMark/>
                  </w:tcPr>
                  <w:p w:rsidRPr="003426BA" w:rsidR="002318A8" w:rsidRDefault="002318A8" w14:paraId="5C7BDA88" w14:textId="77777777">
                    <w:pPr>
                      <w:jc w:val="right"/>
                      <w:rPr>
                        <w:rFonts w:cs="Arial"/>
                        <w:sz w:val="18"/>
                        <w:szCs w:val="18"/>
                      </w:rPr>
                    </w:pPr>
                    <w:r w:rsidRPr="003426BA">
                      <w:rPr>
                        <w:rFonts w:cs="Arial"/>
                        <w:sz w:val="18"/>
                        <w:szCs w:val="18"/>
                      </w:rPr>
                      <w:t>1,8</w:t>
                    </w:r>
                  </w:p>
                </w:tc>
              </w:tr>
              <w:tr w:rsidRPr="003426BA" w:rsidR="002318A8" w:rsidTr="00CE3CDC" w14:paraId="3F72BA6A"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19C7284B" w14:textId="77777777">
                    <w:pPr>
                      <w:rPr>
                        <w:rFonts w:cs="Arial"/>
                        <w:sz w:val="18"/>
                        <w:szCs w:val="18"/>
                      </w:rPr>
                    </w:pPr>
                    <w:r w:rsidRPr="003426BA">
                      <w:rPr>
                        <w:rFonts w:cs="Arial"/>
                        <w:sz w:val="18"/>
                        <w:szCs w:val="18"/>
                      </w:rPr>
                      <w:t>WW- en bijstand</w:t>
                    </w:r>
                  </w:p>
                </w:tc>
                <w:tc>
                  <w:tcPr>
                    <w:tcW w:w="527" w:type="pct"/>
                    <w:tcBorders>
                      <w:top w:val="nil"/>
                      <w:left w:val="nil"/>
                      <w:bottom w:val="nil"/>
                      <w:right w:val="nil"/>
                    </w:tcBorders>
                    <w:shd w:val="clear" w:color="auto" w:fill="auto"/>
                    <w:noWrap/>
                    <w:vAlign w:val="bottom"/>
                    <w:hideMark/>
                  </w:tcPr>
                  <w:p w:rsidRPr="003426BA" w:rsidR="002318A8" w:rsidRDefault="002318A8" w14:paraId="0861780D" w14:textId="77777777">
                    <w:pPr>
                      <w:jc w:val="right"/>
                      <w:rPr>
                        <w:rFonts w:cs="Arial"/>
                        <w:sz w:val="18"/>
                        <w:szCs w:val="18"/>
                      </w:rPr>
                    </w:pPr>
                    <w:r w:rsidRPr="003426BA">
                      <w:rPr>
                        <w:rFonts w:cs="Arial"/>
                        <w:sz w:val="18"/>
                        <w:szCs w:val="18"/>
                      </w:rPr>
                      <w:t>-0,4</w:t>
                    </w:r>
                  </w:p>
                </w:tc>
                <w:tc>
                  <w:tcPr>
                    <w:tcW w:w="545" w:type="pct"/>
                    <w:tcBorders>
                      <w:top w:val="nil"/>
                      <w:left w:val="nil"/>
                      <w:bottom w:val="nil"/>
                      <w:right w:val="nil"/>
                    </w:tcBorders>
                    <w:shd w:val="clear" w:color="auto" w:fill="auto"/>
                    <w:noWrap/>
                    <w:vAlign w:val="bottom"/>
                    <w:hideMark/>
                  </w:tcPr>
                  <w:p w:rsidRPr="003426BA" w:rsidR="002318A8" w:rsidRDefault="002318A8" w14:paraId="1E47440C" w14:textId="77777777">
                    <w:pPr>
                      <w:jc w:val="right"/>
                      <w:rPr>
                        <w:rFonts w:cs="Arial"/>
                        <w:sz w:val="18"/>
                        <w:szCs w:val="18"/>
                      </w:rPr>
                    </w:pPr>
                    <w:r w:rsidRPr="003426BA">
                      <w:rPr>
                        <w:rFonts w:cs="Arial"/>
                        <w:sz w:val="18"/>
                        <w:szCs w:val="18"/>
                      </w:rPr>
                      <w:t>-0,5</w:t>
                    </w:r>
                  </w:p>
                </w:tc>
                <w:tc>
                  <w:tcPr>
                    <w:tcW w:w="545" w:type="pct"/>
                    <w:tcBorders>
                      <w:top w:val="nil"/>
                      <w:left w:val="nil"/>
                      <w:bottom w:val="nil"/>
                      <w:right w:val="nil"/>
                    </w:tcBorders>
                    <w:shd w:val="clear" w:color="auto" w:fill="auto"/>
                    <w:noWrap/>
                    <w:vAlign w:val="bottom"/>
                    <w:hideMark/>
                  </w:tcPr>
                  <w:p w:rsidRPr="003426BA" w:rsidR="002318A8" w:rsidRDefault="002318A8" w14:paraId="2F0A321D" w14:textId="77777777">
                    <w:pPr>
                      <w:jc w:val="right"/>
                      <w:rPr>
                        <w:rFonts w:cs="Arial"/>
                        <w:sz w:val="18"/>
                        <w:szCs w:val="18"/>
                      </w:rPr>
                    </w:pPr>
                    <w:r w:rsidRPr="003426BA">
                      <w:rPr>
                        <w:rFonts w:cs="Arial"/>
                        <w:sz w:val="18"/>
                        <w:szCs w:val="18"/>
                      </w:rPr>
                      <w:t>-0,6</w:t>
                    </w:r>
                  </w:p>
                </w:tc>
                <w:tc>
                  <w:tcPr>
                    <w:tcW w:w="545" w:type="pct"/>
                    <w:tcBorders>
                      <w:top w:val="nil"/>
                      <w:left w:val="nil"/>
                      <w:bottom w:val="nil"/>
                      <w:right w:val="nil"/>
                    </w:tcBorders>
                    <w:shd w:val="clear" w:color="auto" w:fill="auto"/>
                    <w:noWrap/>
                    <w:vAlign w:val="bottom"/>
                    <w:hideMark/>
                  </w:tcPr>
                  <w:p w:rsidRPr="003426BA" w:rsidR="002318A8" w:rsidRDefault="002318A8" w14:paraId="35314D64" w14:textId="77777777">
                    <w:pPr>
                      <w:jc w:val="right"/>
                      <w:rPr>
                        <w:rFonts w:cs="Arial"/>
                        <w:sz w:val="18"/>
                        <w:szCs w:val="18"/>
                      </w:rPr>
                    </w:pPr>
                    <w:r w:rsidRPr="003426BA">
                      <w:rPr>
                        <w:rFonts w:cs="Arial"/>
                        <w:sz w:val="18"/>
                        <w:szCs w:val="18"/>
                      </w:rPr>
                      <w:t>-0,7</w:t>
                    </w:r>
                  </w:p>
                </w:tc>
              </w:tr>
              <w:tr w:rsidRPr="003426BA" w:rsidR="002318A8" w:rsidTr="00CE3CDC" w14:paraId="4C88927F"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2F663A1E" w14:textId="77777777">
                    <w:pPr>
                      <w:rPr>
                        <w:rFonts w:cs="Arial"/>
                        <w:sz w:val="18"/>
                        <w:szCs w:val="18"/>
                      </w:rPr>
                    </w:pPr>
                    <w:r w:rsidRPr="003426BA">
                      <w:rPr>
                        <w:rFonts w:cs="Arial"/>
                        <w:sz w:val="18"/>
                        <w:szCs w:val="18"/>
                      </w:rPr>
                      <w:t>Kasschuiven</w:t>
                    </w:r>
                  </w:p>
                </w:tc>
                <w:tc>
                  <w:tcPr>
                    <w:tcW w:w="527" w:type="pct"/>
                    <w:tcBorders>
                      <w:top w:val="nil"/>
                      <w:left w:val="nil"/>
                      <w:bottom w:val="nil"/>
                      <w:right w:val="nil"/>
                    </w:tcBorders>
                    <w:shd w:val="clear" w:color="auto" w:fill="auto"/>
                    <w:noWrap/>
                    <w:vAlign w:val="bottom"/>
                    <w:hideMark/>
                  </w:tcPr>
                  <w:p w:rsidRPr="003426BA" w:rsidR="002318A8" w:rsidRDefault="002318A8" w14:paraId="7FD060EB" w14:textId="77777777">
                    <w:pPr>
                      <w:jc w:val="right"/>
                      <w:rPr>
                        <w:rFonts w:cs="Arial"/>
                        <w:sz w:val="18"/>
                        <w:szCs w:val="18"/>
                      </w:rPr>
                    </w:pPr>
                    <w:r w:rsidRPr="003426BA">
                      <w:rPr>
                        <w:rFonts w:cs="Arial"/>
                        <w:sz w:val="18"/>
                        <w:szCs w:val="18"/>
                      </w:rPr>
                      <w:t>-2,0</w:t>
                    </w:r>
                  </w:p>
                </w:tc>
                <w:tc>
                  <w:tcPr>
                    <w:tcW w:w="545" w:type="pct"/>
                    <w:tcBorders>
                      <w:top w:val="nil"/>
                      <w:left w:val="nil"/>
                      <w:bottom w:val="nil"/>
                      <w:right w:val="nil"/>
                    </w:tcBorders>
                    <w:shd w:val="clear" w:color="auto" w:fill="auto"/>
                    <w:noWrap/>
                    <w:vAlign w:val="bottom"/>
                    <w:hideMark/>
                  </w:tcPr>
                  <w:p w:rsidRPr="003426BA" w:rsidR="002318A8" w:rsidRDefault="002318A8" w14:paraId="78231745" w14:textId="77777777">
                    <w:pPr>
                      <w:jc w:val="right"/>
                      <w:rPr>
                        <w:rFonts w:cs="Arial"/>
                        <w:sz w:val="18"/>
                        <w:szCs w:val="18"/>
                      </w:rPr>
                    </w:pPr>
                    <w:r w:rsidRPr="003426BA">
                      <w:rPr>
                        <w:rFonts w:cs="Arial"/>
                        <w:sz w:val="18"/>
                        <w:szCs w:val="18"/>
                      </w:rPr>
                      <w:t>-7,1</w:t>
                    </w:r>
                  </w:p>
                </w:tc>
                <w:tc>
                  <w:tcPr>
                    <w:tcW w:w="545" w:type="pct"/>
                    <w:tcBorders>
                      <w:top w:val="nil"/>
                      <w:left w:val="nil"/>
                      <w:bottom w:val="nil"/>
                      <w:right w:val="nil"/>
                    </w:tcBorders>
                    <w:shd w:val="clear" w:color="auto" w:fill="auto"/>
                    <w:noWrap/>
                    <w:vAlign w:val="bottom"/>
                    <w:hideMark/>
                  </w:tcPr>
                  <w:p w:rsidRPr="003426BA" w:rsidR="002318A8" w:rsidRDefault="002318A8" w14:paraId="7540B4AA" w14:textId="77777777">
                    <w:pPr>
                      <w:jc w:val="right"/>
                      <w:rPr>
                        <w:rFonts w:cs="Arial"/>
                        <w:sz w:val="18"/>
                        <w:szCs w:val="18"/>
                      </w:rPr>
                    </w:pPr>
                    <w:r w:rsidRPr="003426BA">
                      <w:rPr>
                        <w:rFonts w:cs="Arial"/>
                        <w:sz w:val="18"/>
                        <w:szCs w:val="18"/>
                      </w:rPr>
                      <w:t>2,8</w:t>
                    </w:r>
                  </w:p>
                </w:tc>
                <w:tc>
                  <w:tcPr>
                    <w:tcW w:w="545" w:type="pct"/>
                    <w:tcBorders>
                      <w:top w:val="nil"/>
                      <w:left w:val="nil"/>
                      <w:bottom w:val="nil"/>
                      <w:right w:val="nil"/>
                    </w:tcBorders>
                    <w:shd w:val="clear" w:color="auto" w:fill="auto"/>
                    <w:noWrap/>
                    <w:vAlign w:val="bottom"/>
                    <w:hideMark/>
                  </w:tcPr>
                  <w:p w:rsidRPr="003426BA" w:rsidR="002318A8" w:rsidRDefault="002318A8" w14:paraId="4E5FCEAD" w14:textId="77777777">
                    <w:pPr>
                      <w:jc w:val="right"/>
                      <w:rPr>
                        <w:rFonts w:cs="Arial"/>
                        <w:sz w:val="18"/>
                        <w:szCs w:val="18"/>
                      </w:rPr>
                    </w:pPr>
                    <w:r w:rsidRPr="003426BA">
                      <w:rPr>
                        <w:rFonts w:cs="Arial"/>
                        <w:sz w:val="18"/>
                        <w:szCs w:val="18"/>
                      </w:rPr>
                      <w:t>1,7</w:t>
                    </w:r>
                  </w:p>
                </w:tc>
              </w:tr>
              <w:tr w:rsidRPr="003426BA" w:rsidR="002318A8" w:rsidTr="00CE3CDC" w14:paraId="68E34093"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2E68EF33" w14:textId="77777777">
                    <w:pPr>
                      <w:rPr>
                        <w:rFonts w:cs="Arial"/>
                        <w:sz w:val="18"/>
                        <w:szCs w:val="18"/>
                      </w:rPr>
                    </w:pPr>
                    <w:r w:rsidRPr="003426BA">
                      <w:rPr>
                        <w:rFonts w:cs="Arial"/>
                        <w:sz w:val="18"/>
                        <w:szCs w:val="18"/>
                      </w:rPr>
                      <w:t>Bijstelling prijs accres (gemeenten en provincies)</w:t>
                    </w:r>
                  </w:p>
                </w:tc>
                <w:tc>
                  <w:tcPr>
                    <w:tcW w:w="527" w:type="pct"/>
                    <w:tcBorders>
                      <w:top w:val="nil"/>
                      <w:left w:val="nil"/>
                      <w:bottom w:val="nil"/>
                      <w:right w:val="nil"/>
                    </w:tcBorders>
                    <w:shd w:val="clear" w:color="auto" w:fill="auto"/>
                    <w:noWrap/>
                    <w:vAlign w:val="bottom"/>
                    <w:hideMark/>
                  </w:tcPr>
                  <w:p w:rsidRPr="003426BA" w:rsidR="002318A8" w:rsidRDefault="002318A8" w14:paraId="0AAD41EF" w14:textId="77777777">
                    <w:pPr>
                      <w:jc w:val="right"/>
                      <w:rPr>
                        <w:rFonts w:cs="Arial"/>
                        <w:sz w:val="18"/>
                        <w:szCs w:val="18"/>
                      </w:rPr>
                    </w:pPr>
                    <w:r w:rsidRPr="003426BA">
                      <w:rPr>
                        <w:rFonts w:cs="Arial"/>
                        <w:sz w:val="18"/>
                        <w:szCs w:val="18"/>
                      </w:rPr>
                      <w:t>0,5</w:t>
                    </w:r>
                  </w:p>
                </w:tc>
                <w:tc>
                  <w:tcPr>
                    <w:tcW w:w="545" w:type="pct"/>
                    <w:tcBorders>
                      <w:top w:val="nil"/>
                      <w:left w:val="nil"/>
                      <w:bottom w:val="nil"/>
                      <w:right w:val="nil"/>
                    </w:tcBorders>
                    <w:shd w:val="clear" w:color="auto" w:fill="auto"/>
                    <w:noWrap/>
                    <w:vAlign w:val="bottom"/>
                    <w:hideMark/>
                  </w:tcPr>
                  <w:p w:rsidRPr="003426BA" w:rsidR="002318A8" w:rsidRDefault="002318A8" w14:paraId="33C72F76" w14:textId="77777777">
                    <w:pPr>
                      <w:jc w:val="right"/>
                      <w:rPr>
                        <w:rFonts w:cs="Arial"/>
                        <w:sz w:val="18"/>
                        <w:szCs w:val="18"/>
                      </w:rPr>
                    </w:pPr>
                    <w:r w:rsidRPr="003426BA">
                      <w:rPr>
                        <w:rFonts w:cs="Arial"/>
                        <w:sz w:val="18"/>
                        <w:szCs w:val="18"/>
                      </w:rPr>
                      <w:t>0,6</w:t>
                    </w:r>
                  </w:p>
                </w:tc>
                <w:tc>
                  <w:tcPr>
                    <w:tcW w:w="545" w:type="pct"/>
                    <w:tcBorders>
                      <w:top w:val="nil"/>
                      <w:left w:val="nil"/>
                      <w:bottom w:val="nil"/>
                      <w:right w:val="nil"/>
                    </w:tcBorders>
                    <w:shd w:val="clear" w:color="auto" w:fill="auto"/>
                    <w:noWrap/>
                    <w:vAlign w:val="bottom"/>
                    <w:hideMark/>
                  </w:tcPr>
                  <w:p w:rsidRPr="003426BA" w:rsidR="002318A8" w:rsidRDefault="002318A8" w14:paraId="7B74A033" w14:textId="77777777">
                    <w:pPr>
                      <w:jc w:val="right"/>
                      <w:rPr>
                        <w:rFonts w:cs="Arial"/>
                        <w:sz w:val="18"/>
                        <w:szCs w:val="18"/>
                      </w:rPr>
                    </w:pPr>
                    <w:r w:rsidRPr="003426BA">
                      <w:rPr>
                        <w:rFonts w:cs="Arial"/>
                        <w:sz w:val="18"/>
                        <w:szCs w:val="18"/>
                      </w:rPr>
                      <w:t>0,7</w:t>
                    </w:r>
                  </w:p>
                </w:tc>
                <w:tc>
                  <w:tcPr>
                    <w:tcW w:w="545" w:type="pct"/>
                    <w:tcBorders>
                      <w:top w:val="nil"/>
                      <w:left w:val="nil"/>
                      <w:bottom w:val="nil"/>
                      <w:right w:val="nil"/>
                    </w:tcBorders>
                    <w:shd w:val="clear" w:color="auto" w:fill="auto"/>
                    <w:noWrap/>
                    <w:vAlign w:val="bottom"/>
                    <w:hideMark/>
                  </w:tcPr>
                  <w:p w:rsidRPr="003426BA" w:rsidR="002318A8" w:rsidRDefault="002318A8" w14:paraId="4432B8AB" w14:textId="77777777">
                    <w:pPr>
                      <w:jc w:val="right"/>
                      <w:rPr>
                        <w:rFonts w:cs="Arial"/>
                        <w:sz w:val="18"/>
                        <w:szCs w:val="18"/>
                      </w:rPr>
                    </w:pPr>
                    <w:r w:rsidRPr="003426BA">
                      <w:rPr>
                        <w:rFonts w:cs="Arial"/>
                        <w:sz w:val="18"/>
                        <w:szCs w:val="18"/>
                      </w:rPr>
                      <w:t>0,8</w:t>
                    </w:r>
                  </w:p>
                </w:tc>
              </w:tr>
              <w:tr w:rsidRPr="003426BA" w:rsidR="002318A8" w:rsidTr="00CE3CDC" w14:paraId="31EA15B7"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71313A0A" w14:textId="77777777">
                    <w:pPr>
                      <w:rPr>
                        <w:rFonts w:cs="Arial"/>
                        <w:sz w:val="18"/>
                        <w:szCs w:val="18"/>
                      </w:rPr>
                    </w:pPr>
                    <w:r w:rsidRPr="003426BA">
                      <w:rPr>
                        <w:rFonts w:cs="Arial"/>
                        <w:sz w:val="18"/>
                        <w:szCs w:val="18"/>
                      </w:rPr>
                      <w:t>Overig</w:t>
                    </w:r>
                  </w:p>
                </w:tc>
                <w:tc>
                  <w:tcPr>
                    <w:tcW w:w="527" w:type="pct"/>
                    <w:tcBorders>
                      <w:top w:val="nil"/>
                      <w:left w:val="nil"/>
                      <w:bottom w:val="nil"/>
                      <w:right w:val="nil"/>
                    </w:tcBorders>
                    <w:shd w:val="clear" w:color="auto" w:fill="auto"/>
                    <w:noWrap/>
                    <w:vAlign w:val="bottom"/>
                    <w:hideMark/>
                  </w:tcPr>
                  <w:p w:rsidRPr="003426BA" w:rsidR="002318A8" w:rsidRDefault="002318A8" w14:paraId="088C8E64" w14:textId="77777777">
                    <w:pPr>
                      <w:jc w:val="right"/>
                      <w:rPr>
                        <w:rFonts w:cs="Arial"/>
                        <w:sz w:val="18"/>
                        <w:szCs w:val="18"/>
                      </w:rPr>
                    </w:pPr>
                    <w:r w:rsidRPr="003426BA">
                      <w:rPr>
                        <w:rFonts w:cs="Arial"/>
                        <w:sz w:val="18"/>
                        <w:szCs w:val="18"/>
                      </w:rPr>
                      <w:t>0,2</w:t>
                    </w:r>
                  </w:p>
                </w:tc>
                <w:tc>
                  <w:tcPr>
                    <w:tcW w:w="545" w:type="pct"/>
                    <w:tcBorders>
                      <w:top w:val="nil"/>
                      <w:left w:val="nil"/>
                      <w:bottom w:val="nil"/>
                      <w:right w:val="nil"/>
                    </w:tcBorders>
                    <w:shd w:val="clear" w:color="auto" w:fill="auto"/>
                    <w:noWrap/>
                    <w:vAlign w:val="bottom"/>
                    <w:hideMark/>
                  </w:tcPr>
                  <w:p w:rsidRPr="003426BA" w:rsidR="002318A8" w:rsidRDefault="002318A8" w14:paraId="133F5671" w14:textId="77777777">
                    <w:pPr>
                      <w:jc w:val="right"/>
                      <w:rPr>
                        <w:rFonts w:cs="Arial"/>
                        <w:sz w:val="18"/>
                        <w:szCs w:val="18"/>
                      </w:rPr>
                    </w:pPr>
                    <w:r w:rsidRPr="003426BA">
                      <w:rPr>
                        <w:rFonts w:cs="Arial"/>
                        <w:sz w:val="18"/>
                        <w:szCs w:val="18"/>
                      </w:rPr>
                      <w:t>0,3</w:t>
                    </w:r>
                  </w:p>
                </w:tc>
                <w:tc>
                  <w:tcPr>
                    <w:tcW w:w="545" w:type="pct"/>
                    <w:tcBorders>
                      <w:top w:val="nil"/>
                      <w:left w:val="nil"/>
                      <w:bottom w:val="nil"/>
                      <w:right w:val="nil"/>
                    </w:tcBorders>
                    <w:shd w:val="clear" w:color="auto" w:fill="auto"/>
                    <w:noWrap/>
                    <w:vAlign w:val="bottom"/>
                    <w:hideMark/>
                  </w:tcPr>
                  <w:p w:rsidRPr="003426BA" w:rsidR="002318A8" w:rsidRDefault="002318A8" w14:paraId="7FE3E4CB" w14:textId="77777777">
                    <w:pPr>
                      <w:jc w:val="right"/>
                      <w:rPr>
                        <w:rFonts w:cs="Arial"/>
                        <w:sz w:val="18"/>
                        <w:szCs w:val="18"/>
                      </w:rPr>
                    </w:pPr>
                    <w:r w:rsidRPr="003426BA">
                      <w:rPr>
                        <w:rFonts w:cs="Arial"/>
                        <w:sz w:val="18"/>
                        <w:szCs w:val="18"/>
                      </w:rPr>
                      <w:t>0,3</w:t>
                    </w:r>
                  </w:p>
                </w:tc>
                <w:tc>
                  <w:tcPr>
                    <w:tcW w:w="545" w:type="pct"/>
                    <w:tcBorders>
                      <w:top w:val="nil"/>
                      <w:left w:val="nil"/>
                      <w:bottom w:val="nil"/>
                      <w:right w:val="nil"/>
                    </w:tcBorders>
                    <w:shd w:val="clear" w:color="auto" w:fill="auto"/>
                    <w:noWrap/>
                    <w:vAlign w:val="bottom"/>
                    <w:hideMark/>
                  </w:tcPr>
                  <w:p w:rsidRPr="003426BA" w:rsidR="002318A8" w:rsidRDefault="002318A8" w14:paraId="64CD4557" w14:textId="77777777">
                    <w:pPr>
                      <w:jc w:val="right"/>
                      <w:rPr>
                        <w:rFonts w:cs="Arial"/>
                        <w:sz w:val="18"/>
                        <w:szCs w:val="18"/>
                      </w:rPr>
                    </w:pPr>
                    <w:r w:rsidRPr="003426BA">
                      <w:rPr>
                        <w:rFonts w:cs="Arial"/>
                        <w:sz w:val="18"/>
                        <w:szCs w:val="18"/>
                      </w:rPr>
                      <w:t>0,3</w:t>
                    </w:r>
                  </w:p>
                </w:tc>
              </w:tr>
              <w:tr w:rsidRPr="003426BA" w:rsidR="002318A8" w:rsidTr="00CE3CDC" w14:paraId="74CC1C3B"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7C4FD1A9" w14:textId="77777777">
                    <w:pPr>
                      <w:jc w:val="right"/>
                      <w:rPr>
                        <w:rFonts w:cs="Arial"/>
                        <w:sz w:val="18"/>
                        <w:szCs w:val="18"/>
                      </w:rPr>
                    </w:pPr>
                  </w:p>
                </w:tc>
                <w:tc>
                  <w:tcPr>
                    <w:tcW w:w="527" w:type="pct"/>
                    <w:tcBorders>
                      <w:top w:val="nil"/>
                      <w:left w:val="nil"/>
                      <w:bottom w:val="nil"/>
                      <w:right w:val="nil"/>
                    </w:tcBorders>
                    <w:shd w:val="clear" w:color="auto" w:fill="auto"/>
                    <w:noWrap/>
                    <w:vAlign w:val="bottom"/>
                    <w:hideMark/>
                  </w:tcPr>
                  <w:p w:rsidRPr="003426BA" w:rsidR="002318A8" w:rsidRDefault="002318A8" w14:paraId="1D2B4BD7"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21092BEF"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77E72578"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79956EE4" w14:textId="77777777">
                    <w:pPr>
                      <w:rPr>
                        <w:rFonts w:ascii="Times New Roman" w:hAnsi="Times New Roman"/>
                        <w:sz w:val="20"/>
                        <w:szCs w:val="20"/>
                      </w:rPr>
                    </w:pPr>
                  </w:p>
                </w:tc>
              </w:tr>
              <w:tr w:rsidRPr="003426BA" w:rsidR="002318A8" w:rsidTr="00CE3CDC" w14:paraId="5E24A632"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556409EE" w14:textId="77777777">
                    <w:pPr>
                      <w:rPr>
                        <w:rFonts w:cs="Arial"/>
                        <w:sz w:val="18"/>
                        <w:szCs w:val="18"/>
                      </w:rPr>
                    </w:pPr>
                    <w:r w:rsidRPr="003426BA">
                      <w:rPr>
                        <w:rFonts w:cs="Arial"/>
                        <w:sz w:val="18"/>
                        <w:szCs w:val="18"/>
                      </w:rPr>
                      <w:t>Totaal correctie kader (B)</w:t>
                    </w:r>
                  </w:p>
                </w:tc>
                <w:tc>
                  <w:tcPr>
                    <w:tcW w:w="527" w:type="pct"/>
                    <w:tcBorders>
                      <w:top w:val="nil"/>
                      <w:left w:val="nil"/>
                      <w:bottom w:val="nil"/>
                      <w:right w:val="nil"/>
                    </w:tcBorders>
                    <w:shd w:val="clear" w:color="auto" w:fill="auto"/>
                    <w:noWrap/>
                    <w:vAlign w:val="bottom"/>
                    <w:hideMark/>
                  </w:tcPr>
                  <w:p w:rsidRPr="003426BA" w:rsidR="002318A8" w:rsidRDefault="002318A8" w14:paraId="79DDCB18" w14:textId="77777777">
                    <w:pPr>
                      <w:jc w:val="right"/>
                      <w:rPr>
                        <w:rFonts w:cs="Arial"/>
                        <w:sz w:val="18"/>
                        <w:szCs w:val="18"/>
                      </w:rPr>
                    </w:pPr>
                    <w:r w:rsidRPr="003426BA">
                      <w:rPr>
                        <w:rFonts w:cs="Arial"/>
                        <w:sz w:val="18"/>
                        <w:szCs w:val="18"/>
                      </w:rPr>
                      <w:t>-0,9</w:t>
                    </w:r>
                  </w:p>
                </w:tc>
                <w:tc>
                  <w:tcPr>
                    <w:tcW w:w="545" w:type="pct"/>
                    <w:tcBorders>
                      <w:top w:val="nil"/>
                      <w:left w:val="nil"/>
                      <w:bottom w:val="nil"/>
                      <w:right w:val="nil"/>
                    </w:tcBorders>
                    <w:shd w:val="clear" w:color="auto" w:fill="auto"/>
                    <w:noWrap/>
                    <w:vAlign w:val="bottom"/>
                    <w:hideMark/>
                  </w:tcPr>
                  <w:p w:rsidRPr="003426BA" w:rsidR="002318A8" w:rsidRDefault="002318A8" w14:paraId="4CC55D8A" w14:textId="77777777">
                    <w:pPr>
                      <w:jc w:val="right"/>
                      <w:rPr>
                        <w:rFonts w:cs="Arial"/>
                        <w:sz w:val="18"/>
                        <w:szCs w:val="18"/>
                      </w:rPr>
                    </w:pPr>
                    <w:r w:rsidRPr="003426BA">
                      <w:rPr>
                        <w:rFonts w:cs="Arial"/>
                        <w:sz w:val="18"/>
                        <w:szCs w:val="18"/>
                      </w:rPr>
                      <w:t>-4,8</w:t>
                    </w:r>
                  </w:p>
                </w:tc>
                <w:tc>
                  <w:tcPr>
                    <w:tcW w:w="545" w:type="pct"/>
                    <w:tcBorders>
                      <w:top w:val="nil"/>
                      <w:left w:val="nil"/>
                      <w:bottom w:val="nil"/>
                      <w:right w:val="nil"/>
                    </w:tcBorders>
                    <w:shd w:val="clear" w:color="auto" w:fill="auto"/>
                    <w:noWrap/>
                    <w:vAlign w:val="bottom"/>
                    <w:hideMark/>
                  </w:tcPr>
                  <w:p w:rsidRPr="003426BA" w:rsidR="002318A8" w:rsidRDefault="002318A8" w14:paraId="4AA260DB" w14:textId="77777777">
                    <w:pPr>
                      <w:jc w:val="right"/>
                      <w:rPr>
                        <w:rFonts w:cs="Arial"/>
                        <w:sz w:val="18"/>
                        <w:szCs w:val="18"/>
                      </w:rPr>
                    </w:pPr>
                    <w:r w:rsidRPr="003426BA">
                      <w:rPr>
                        <w:rFonts w:cs="Arial"/>
                        <w:sz w:val="18"/>
                        <w:szCs w:val="18"/>
                      </w:rPr>
                      <w:t>5,6</w:t>
                    </w:r>
                  </w:p>
                </w:tc>
                <w:tc>
                  <w:tcPr>
                    <w:tcW w:w="545" w:type="pct"/>
                    <w:tcBorders>
                      <w:top w:val="nil"/>
                      <w:left w:val="nil"/>
                      <w:bottom w:val="nil"/>
                      <w:right w:val="nil"/>
                    </w:tcBorders>
                    <w:shd w:val="clear" w:color="auto" w:fill="auto"/>
                    <w:noWrap/>
                    <w:vAlign w:val="bottom"/>
                    <w:hideMark/>
                  </w:tcPr>
                  <w:p w:rsidRPr="003426BA" w:rsidR="002318A8" w:rsidRDefault="002318A8" w14:paraId="526A96B6" w14:textId="77777777">
                    <w:pPr>
                      <w:jc w:val="right"/>
                      <w:rPr>
                        <w:rFonts w:cs="Arial"/>
                        <w:sz w:val="18"/>
                        <w:szCs w:val="18"/>
                      </w:rPr>
                    </w:pPr>
                    <w:r w:rsidRPr="003426BA">
                      <w:rPr>
                        <w:rFonts w:cs="Arial"/>
                        <w:sz w:val="18"/>
                        <w:szCs w:val="18"/>
                      </w:rPr>
                      <w:t>3,9</w:t>
                    </w:r>
                  </w:p>
                </w:tc>
              </w:tr>
              <w:tr w:rsidRPr="003426BA" w:rsidR="002318A8" w:rsidTr="00CE3CDC" w14:paraId="4CF11629"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3F08C373" w14:textId="77777777">
                    <w:pPr>
                      <w:jc w:val="right"/>
                      <w:rPr>
                        <w:rFonts w:cs="Arial"/>
                        <w:sz w:val="18"/>
                        <w:szCs w:val="18"/>
                      </w:rPr>
                    </w:pPr>
                  </w:p>
                </w:tc>
                <w:tc>
                  <w:tcPr>
                    <w:tcW w:w="527" w:type="pct"/>
                    <w:tcBorders>
                      <w:top w:val="nil"/>
                      <w:left w:val="nil"/>
                      <w:bottom w:val="nil"/>
                      <w:right w:val="nil"/>
                    </w:tcBorders>
                    <w:shd w:val="clear" w:color="auto" w:fill="auto"/>
                    <w:noWrap/>
                    <w:vAlign w:val="bottom"/>
                    <w:hideMark/>
                  </w:tcPr>
                  <w:p w:rsidRPr="003426BA" w:rsidR="002318A8" w:rsidRDefault="002318A8" w14:paraId="4E3EF336"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60052FB0"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4203614F" w14:textId="77777777">
                    <w:pPr>
                      <w:rPr>
                        <w:rFonts w:ascii="Times New Roman" w:hAnsi="Times New Roman"/>
                        <w:sz w:val="20"/>
                        <w:szCs w:val="20"/>
                      </w:rPr>
                    </w:pPr>
                  </w:p>
                </w:tc>
                <w:tc>
                  <w:tcPr>
                    <w:tcW w:w="545" w:type="pct"/>
                    <w:tcBorders>
                      <w:top w:val="nil"/>
                      <w:left w:val="nil"/>
                      <w:bottom w:val="nil"/>
                      <w:right w:val="nil"/>
                    </w:tcBorders>
                    <w:shd w:val="clear" w:color="auto" w:fill="auto"/>
                    <w:noWrap/>
                    <w:vAlign w:val="bottom"/>
                    <w:hideMark/>
                  </w:tcPr>
                  <w:p w:rsidRPr="003426BA" w:rsidR="002318A8" w:rsidRDefault="002318A8" w14:paraId="16B8DC88" w14:textId="77777777">
                    <w:pPr>
                      <w:rPr>
                        <w:rFonts w:ascii="Times New Roman" w:hAnsi="Times New Roman"/>
                        <w:sz w:val="20"/>
                        <w:szCs w:val="20"/>
                      </w:rPr>
                    </w:pPr>
                  </w:p>
                </w:tc>
              </w:tr>
              <w:tr w:rsidRPr="003426BA" w:rsidR="002318A8" w:rsidTr="00CE3CDC" w14:paraId="1882EA30"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57EC0B0B" w14:textId="77777777">
                    <w:pPr>
                      <w:rPr>
                        <w:rFonts w:cs="Arial"/>
                        <w:sz w:val="18"/>
                        <w:szCs w:val="18"/>
                      </w:rPr>
                    </w:pPr>
                    <w:r w:rsidRPr="003426BA">
                      <w:rPr>
                        <w:rFonts w:cs="Arial"/>
                        <w:sz w:val="18"/>
                        <w:szCs w:val="18"/>
                      </w:rPr>
                      <w:t>Uitgavenkader Voorjaarsnota 2025 (C=A+B)</w:t>
                    </w:r>
                  </w:p>
                </w:tc>
                <w:tc>
                  <w:tcPr>
                    <w:tcW w:w="527" w:type="pct"/>
                    <w:tcBorders>
                      <w:top w:val="nil"/>
                      <w:left w:val="nil"/>
                      <w:bottom w:val="nil"/>
                      <w:right w:val="nil"/>
                    </w:tcBorders>
                    <w:shd w:val="clear" w:color="auto" w:fill="auto"/>
                    <w:noWrap/>
                    <w:vAlign w:val="bottom"/>
                    <w:hideMark/>
                  </w:tcPr>
                  <w:p w:rsidRPr="003426BA" w:rsidR="002318A8" w:rsidRDefault="002318A8" w14:paraId="15709145" w14:textId="77777777">
                    <w:pPr>
                      <w:jc w:val="right"/>
                      <w:rPr>
                        <w:rFonts w:cs="Arial"/>
                        <w:sz w:val="18"/>
                        <w:szCs w:val="18"/>
                      </w:rPr>
                    </w:pPr>
                    <w:r w:rsidRPr="003426BA">
                      <w:rPr>
                        <w:rFonts w:cs="Arial"/>
                        <w:sz w:val="18"/>
                        <w:szCs w:val="18"/>
                      </w:rPr>
                      <w:t>426,</w:t>
                    </w:r>
                    <w:r>
                      <w:rPr>
                        <w:rFonts w:cs="Arial"/>
                        <w:sz w:val="18"/>
                        <w:szCs w:val="18"/>
                      </w:rPr>
                      <w:t>0</w:t>
                    </w:r>
                  </w:p>
                </w:tc>
                <w:tc>
                  <w:tcPr>
                    <w:tcW w:w="545" w:type="pct"/>
                    <w:tcBorders>
                      <w:top w:val="nil"/>
                      <w:left w:val="nil"/>
                      <w:bottom w:val="nil"/>
                      <w:right w:val="nil"/>
                    </w:tcBorders>
                    <w:shd w:val="clear" w:color="auto" w:fill="auto"/>
                    <w:noWrap/>
                    <w:vAlign w:val="bottom"/>
                    <w:hideMark/>
                  </w:tcPr>
                  <w:p w:rsidRPr="003426BA" w:rsidR="002318A8" w:rsidRDefault="002318A8" w14:paraId="1A81C99A" w14:textId="77777777">
                    <w:pPr>
                      <w:jc w:val="right"/>
                      <w:rPr>
                        <w:rFonts w:cs="Arial"/>
                        <w:sz w:val="18"/>
                        <w:szCs w:val="18"/>
                      </w:rPr>
                    </w:pPr>
                    <w:r w:rsidRPr="003426BA">
                      <w:rPr>
                        <w:rFonts w:cs="Arial"/>
                        <w:sz w:val="18"/>
                        <w:szCs w:val="18"/>
                      </w:rPr>
                      <w:t>450,2</w:t>
                    </w:r>
                  </w:p>
                </w:tc>
                <w:tc>
                  <w:tcPr>
                    <w:tcW w:w="545" w:type="pct"/>
                    <w:tcBorders>
                      <w:top w:val="nil"/>
                      <w:left w:val="nil"/>
                      <w:bottom w:val="nil"/>
                      <w:right w:val="nil"/>
                    </w:tcBorders>
                    <w:shd w:val="clear" w:color="auto" w:fill="auto"/>
                    <w:noWrap/>
                    <w:vAlign w:val="bottom"/>
                    <w:hideMark/>
                  </w:tcPr>
                  <w:p w:rsidRPr="003426BA" w:rsidR="002318A8" w:rsidRDefault="002318A8" w14:paraId="001FE201" w14:textId="77777777">
                    <w:pPr>
                      <w:jc w:val="right"/>
                      <w:rPr>
                        <w:rFonts w:cs="Arial"/>
                        <w:sz w:val="18"/>
                        <w:szCs w:val="18"/>
                      </w:rPr>
                    </w:pPr>
                    <w:r w:rsidRPr="003426BA">
                      <w:rPr>
                        <w:rFonts w:cs="Arial"/>
                        <w:sz w:val="18"/>
                        <w:szCs w:val="18"/>
                      </w:rPr>
                      <w:t>482,5</w:t>
                    </w:r>
                  </w:p>
                </w:tc>
                <w:tc>
                  <w:tcPr>
                    <w:tcW w:w="545" w:type="pct"/>
                    <w:tcBorders>
                      <w:top w:val="nil"/>
                      <w:left w:val="nil"/>
                      <w:bottom w:val="nil"/>
                      <w:right w:val="nil"/>
                    </w:tcBorders>
                    <w:shd w:val="clear" w:color="auto" w:fill="auto"/>
                    <w:noWrap/>
                    <w:vAlign w:val="bottom"/>
                    <w:hideMark/>
                  </w:tcPr>
                  <w:p w:rsidRPr="003426BA" w:rsidR="002318A8" w:rsidRDefault="002318A8" w14:paraId="622DF7A9" w14:textId="77777777">
                    <w:pPr>
                      <w:jc w:val="right"/>
                      <w:rPr>
                        <w:rFonts w:cs="Arial"/>
                        <w:sz w:val="18"/>
                        <w:szCs w:val="18"/>
                      </w:rPr>
                    </w:pPr>
                    <w:r w:rsidRPr="003426BA">
                      <w:rPr>
                        <w:rFonts w:cs="Arial"/>
                        <w:sz w:val="18"/>
                        <w:szCs w:val="18"/>
                      </w:rPr>
                      <w:t>498,</w:t>
                    </w:r>
                    <w:r>
                      <w:rPr>
                        <w:rFonts w:cs="Arial"/>
                        <w:sz w:val="18"/>
                        <w:szCs w:val="18"/>
                      </w:rPr>
                      <w:t>2</w:t>
                    </w:r>
                  </w:p>
                </w:tc>
              </w:tr>
              <w:tr w:rsidRPr="003426BA" w:rsidR="002318A8" w:rsidTr="00CE3CDC" w14:paraId="3492785C" w14:textId="77777777">
                <w:trPr>
                  <w:trHeight w:val="240"/>
                </w:trPr>
                <w:tc>
                  <w:tcPr>
                    <w:tcW w:w="2836" w:type="pct"/>
                    <w:tcBorders>
                      <w:top w:val="nil"/>
                      <w:left w:val="nil"/>
                      <w:bottom w:val="nil"/>
                      <w:right w:val="nil"/>
                    </w:tcBorders>
                    <w:shd w:val="clear" w:color="auto" w:fill="auto"/>
                    <w:noWrap/>
                    <w:vAlign w:val="bottom"/>
                    <w:hideMark/>
                  </w:tcPr>
                  <w:p w:rsidRPr="003426BA" w:rsidR="002318A8" w:rsidRDefault="002318A8" w14:paraId="715EE27D" w14:textId="77777777">
                    <w:pPr>
                      <w:rPr>
                        <w:rFonts w:cs="Arial"/>
                        <w:sz w:val="18"/>
                        <w:szCs w:val="18"/>
                      </w:rPr>
                    </w:pPr>
                    <w:r w:rsidRPr="003426BA">
                      <w:rPr>
                        <w:rFonts w:cs="Arial"/>
                        <w:sz w:val="18"/>
                        <w:szCs w:val="18"/>
                      </w:rPr>
                      <w:t>Reguliere uitgaven Voorjaarsnota 2025 (D)</w:t>
                    </w:r>
                  </w:p>
                </w:tc>
                <w:tc>
                  <w:tcPr>
                    <w:tcW w:w="527" w:type="pct"/>
                    <w:tcBorders>
                      <w:top w:val="nil"/>
                      <w:left w:val="nil"/>
                      <w:bottom w:val="nil"/>
                      <w:right w:val="nil"/>
                    </w:tcBorders>
                    <w:shd w:val="clear" w:color="auto" w:fill="auto"/>
                    <w:noWrap/>
                    <w:vAlign w:val="bottom"/>
                    <w:hideMark/>
                  </w:tcPr>
                  <w:p w:rsidRPr="003426BA" w:rsidR="002318A8" w:rsidRDefault="002318A8" w14:paraId="6023D84F" w14:textId="77777777">
                    <w:pPr>
                      <w:jc w:val="right"/>
                      <w:rPr>
                        <w:rFonts w:cs="Arial"/>
                        <w:sz w:val="18"/>
                        <w:szCs w:val="18"/>
                      </w:rPr>
                    </w:pPr>
                    <w:r w:rsidRPr="003426BA">
                      <w:rPr>
                        <w:rFonts w:cs="Arial"/>
                        <w:sz w:val="18"/>
                        <w:szCs w:val="18"/>
                      </w:rPr>
                      <w:t>425,</w:t>
                    </w:r>
                    <w:r>
                      <w:rPr>
                        <w:rFonts w:cs="Arial"/>
                        <w:sz w:val="18"/>
                        <w:szCs w:val="18"/>
                      </w:rPr>
                      <w:t>7</w:t>
                    </w:r>
                  </w:p>
                </w:tc>
                <w:tc>
                  <w:tcPr>
                    <w:tcW w:w="545" w:type="pct"/>
                    <w:tcBorders>
                      <w:top w:val="nil"/>
                      <w:left w:val="nil"/>
                      <w:bottom w:val="nil"/>
                      <w:right w:val="nil"/>
                    </w:tcBorders>
                    <w:shd w:val="clear" w:color="auto" w:fill="auto"/>
                    <w:noWrap/>
                    <w:vAlign w:val="bottom"/>
                    <w:hideMark/>
                  </w:tcPr>
                  <w:p w:rsidRPr="003426BA" w:rsidR="002318A8" w:rsidRDefault="002318A8" w14:paraId="5A2E3520" w14:textId="77777777">
                    <w:pPr>
                      <w:jc w:val="right"/>
                      <w:rPr>
                        <w:rFonts w:cs="Arial"/>
                        <w:sz w:val="18"/>
                        <w:szCs w:val="18"/>
                      </w:rPr>
                    </w:pPr>
                    <w:r w:rsidRPr="003426BA">
                      <w:rPr>
                        <w:rFonts w:cs="Arial"/>
                        <w:sz w:val="18"/>
                        <w:szCs w:val="18"/>
                      </w:rPr>
                      <w:t>449,9</w:t>
                    </w:r>
                  </w:p>
                </w:tc>
                <w:tc>
                  <w:tcPr>
                    <w:tcW w:w="545" w:type="pct"/>
                    <w:tcBorders>
                      <w:top w:val="nil"/>
                      <w:left w:val="nil"/>
                      <w:bottom w:val="nil"/>
                      <w:right w:val="nil"/>
                    </w:tcBorders>
                    <w:shd w:val="clear" w:color="auto" w:fill="auto"/>
                    <w:noWrap/>
                    <w:vAlign w:val="bottom"/>
                    <w:hideMark/>
                  </w:tcPr>
                  <w:p w:rsidRPr="003426BA" w:rsidR="002318A8" w:rsidRDefault="002318A8" w14:paraId="39B8F214" w14:textId="77777777">
                    <w:pPr>
                      <w:jc w:val="right"/>
                      <w:rPr>
                        <w:rFonts w:cs="Arial"/>
                        <w:sz w:val="18"/>
                        <w:szCs w:val="18"/>
                      </w:rPr>
                    </w:pPr>
                    <w:r w:rsidRPr="003426BA">
                      <w:rPr>
                        <w:rFonts w:cs="Arial"/>
                        <w:sz w:val="18"/>
                        <w:szCs w:val="18"/>
                      </w:rPr>
                      <w:t>482,9</w:t>
                    </w:r>
                  </w:p>
                </w:tc>
                <w:tc>
                  <w:tcPr>
                    <w:tcW w:w="545" w:type="pct"/>
                    <w:tcBorders>
                      <w:top w:val="nil"/>
                      <w:left w:val="nil"/>
                      <w:bottom w:val="nil"/>
                      <w:right w:val="nil"/>
                    </w:tcBorders>
                    <w:shd w:val="clear" w:color="auto" w:fill="auto"/>
                    <w:noWrap/>
                    <w:vAlign w:val="bottom"/>
                    <w:hideMark/>
                  </w:tcPr>
                  <w:p w:rsidRPr="003426BA" w:rsidR="002318A8" w:rsidRDefault="002318A8" w14:paraId="072BC0DC" w14:textId="77777777">
                    <w:pPr>
                      <w:jc w:val="right"/>
                      <w:rPr>
                        <w:rFonts w:cs="Arial"/>
                        <w:sz w:val="18"/>
                        <w:szCs w:val="18"/>
                      </w:rPr>
                    </w:pPr>
                    <w:r w:rsidRPr="003426BA">
                      <w:rPr>
                        <w:rFonts w:cs="Arial"/>
                        <w:sz w:val="18"/>
                        <w:szCs w:val="18"/>
                      </w:rPr>
                      <w:t>497,</w:t>
                    </w:r>
                    <w:r>
                      <w:rPr>
                        <w:rFonts w:cs="Arial"/>
                        <w:sz w:val="18"/>
                        <w:szCs w:val="18"/>
                      </w:rPr>
                      <w:t>7</w:t>
                    </w:r>
                  </w:p>
                </w:tc>
              </w:tr>
              <w:tr w:rsidRPr="003426BA" w:rsidR="002318A8" w:rsidTr="00CE3CDC" w14:paraId="0CFEE056" w14:textId="77777777">
                <w:trPr>
                  <w:trHeight w:val="240"/>
                </w:trPr>
                <w:tc>
                  <w:tcPr>
                    <w:tcW w:w="2836" w:type="pct"/>
                    <w:tcBorders>
                      <w:top w:val="nil"/>
                      <w:left w:val="nil"/>
                      <w:bottom w:val="single" w:color="auto" w:sz="12" w:space="0"/>
                      <w:right w:val="nil"/>
                    </w:tcBorders>
                    <w:shd w:val="clear" w:color="auto" w:fill="auto"/>
                    <w:noWrap/>
                    <w:vAlign w:val="bottom"/>
                    <w:hideMark/>
                  </w:tcPr>
                  <w:p w:rsidRPr="003426BA" w:rsidR="002318A8" w:rsidRDefault="002318A8" w14:paraId="7220435A" w14:textId="77777777">
                    <w:pPr>
                      <w:rPr>
                        <w:rFonts w:cs="Arial"/>
                        <w:sz w:val="18"/>
                        <w:szCs w:val="18"/>
                      </w:rPr>
                    </w:pPr>
                    <w:r w:rsidRPr="003426BA">
                      <w:rPr>
                        <w:rFonts w:cs="Arial"/>
                        <w:sz w:val="18"/>
                        <w:szCs w:val="18"/>
                      </w:rPr>
                      <w:t>Over/onderschrijding uitgavenkader (D-C)</w:t>
                    </w:r>
                  </w:p>
                </w:tc>
                <w:tc>
                  <w:tcPr>
                    <w:tcW w:w="527" w:type="pct"/>
                    <w:tcBorders>
                      <w:top w:val="nil"/>
                      <w:left w:val="nil"/>
                      <w:bottom w:val="single" w:color="auto" w:sz="12" w:space="0"/>
                      <w:right w:val="nil"/>
                    </w:tcBorders>
                    <w:shd w:val="clear" w:color="auto" w:fill="auto"/>
                    <w:noWrap/>
                    <w:vAlign w:val="bottom"/>
                    <w:hideMark/>
                  </w:tcPr>
                  <w:p w:rsidRPr="003426BA" w:rsidR="002318A8" w:rsidRDefault="002318A8" w14:paraId="5AC4BD0B" w14:textId="77777777">
                    <w:pPr>
                      <w:jc w:val="right"/>
                      <w:rPr>
                        <w:rFonts w:cs="Arial"/>
                        <w:sz w:val="18"/>
                        <w:szCs w:val="18"/>
                      </w:rPr>
                    </w:pPr>
                    <w:r w:rsidRPr="003426BA">
                      <w:rPr>
                        <w:rFonts w:cs="Arial"/>
                        <w:sz w:val="18"/>
                        <w:szCs w:val="18"/>
                      </w:rPr>
                      <w:t>-0,3</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489537D2" w14:textId="77777777">
                    <w:pPr>
                      <w:jc w:val="right"/>
                      <w:rPr>
                        <w:rFonts w:cs="Arial"/>
                        <w:sz w:val="18"/>
                        <w:szCs w:val="18"/>
                      </w:rPr>
                    </w:pPr>
                    <w:r w:rsidRPr="003426BA">
                      <w:rPr>
                        <w:rFonts w:cs="Arial"/>
                        <w:sz w:val="18"/>
                        <w:szCs w:val="18"/>
                      </w:rPr>
                      <w:t>-0,3</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1F8B518D" w14:textId="77777777">
                    <w:pPr>
                      <w:jc w:val="right"/>
                      <w:rPr>
                        <w:rFonts w:cs="Arial"/>
                        <w:sz w:val="18"/>
                        <w:szCs w:val="18"/>
                      </w:rPr>
                    </w:pPr>
                    <w:r w:rsidRPr="003426BA">
                      <w:rPr>
                        <w:rFonts w:cs="Arial"/>
                        <w:sz w:val="18"/>
                        <w:szCs w:val="18"/>
                      </w:rPr>
                      <w:t>0,4</w:t>
                    </w:r>
                  </w:p>
                </w:tc>
                <w:tc>
                  <w:tcPr>
                    <w:tcW w:w="545" w:type="pct"/>
                    <w:tcBorders>
                      <w:top w:val="nil"/>
                      <w:left w:val="nil"/>
                      <w:bottom w:val="single" w:color="auto" w:sz="12" w:space="0"/>
                      <w:right w:val="nil"/>
                    </w:tcBorders>
                    <w:shd w:val="clear" w:color="auto" w:fill="auto"/>
                    <w:noWrap/>
                    <w:vAlign w:val="bottom"/>
                    <w:hideMark/>
                  </w:tcPr>
                  <w:p w:rsidRPr="003426BA" w:rsidR="002318A8" w:rsidRDefault="002318A8" w14:paraId="3EC45508" w14:textId="77777777">
                    <w:pPr>
                      <w:jc w:val="right"/>
                      <w:rPr>
                        <w:rFonts w:cs="Arial"/>
                        <w:sz w:val="18"/>
                        <w:szCs w:val="18"/>
                      </w:rPr>
                    </w:pPr>
                    <w:r w:rsidRPr="003426BA">
                      <w:rPr>
                        <w:rFonts w:cs="Arial"/>
                        <w:sz w:val="18"/>
                        <w:szCs w:val="18"/>
                      </w:rPr>
                      <w:t>-0,5</w:t>
                    </w:r>
                  </w:p>
                </w:tc>
              </w:tr>
            </w:tbl>
            <w:p w:rsidRPr="00432AEE" w:rsidR="002318A8" w:rsidP="002318A8" w:rsidRDefault="002318A8" w14:paraId="28F10136" w14:textId="77777777">
              <w:pPr>
                <w:rPr>
                  <w:i/>
                  <w:iCs/>
                  <w:sz w:val="18"/>
                  <w:szCs w:val="18"/>
                </w:rPr>
              </w:pPr>
              <w:r w:rsidRPr="00432AEE">
                <w:rPr>
                  <w:i/>
                  <w:iCs/>
                  <w:sz w:val="18"/>
                  <w:szCs w:val="18"/>
                </w:rPr>
                <w:t>Bron: Voorjaarsnota 2025</w:t>
              </w:r>
              <w:r>
                <w:rPr>
                  <w:i/>
                  <w:iCs/>
                  <w:sz w:val="18"/>
                  <w:szCs w:val="18"/>
                </w:rPr>
                <w:t xml:space="preserve">. De overige correcties zijn niet meegenomen in de berekening van het uitgavenkader in de Voorjaarsnota 2025. Hierdoor wijkt het uitgavenkader ongeveer 0,3 mld. af van het uitgavenkader zoals gepubliceerd in de Voorjaarsnota 2025. De Raad van State sluit hiermee aan bij de cijfers van de Budgettaire Analyse Voorjaarsnota 2025 van het CPB. </w:t>
              </w:r>
            </w:p>
            <w:p w:rsidR="002318A8" w:rsidP="002318A8" w:rsidRDefault="002318A8" w14:paraId="40C83069" w14:textId="77777777">
              <w:pPr>
                <w:rPr>
                  <w:b/>
                  <w:bCs/>
                  <w:i/>
                  <w:iCs/>
                </w:rPr>
              </w:pPr>
            </w:p>
            <w:p w:rsidRPr="00C21B34" w:rsidR="002318A8" w:rsidP="002318A8" w:rsidRDefault="002318A8" w14:paraId="5AF60409" w14:textId="77777777">
              <w:r w:rsidRPr="00C21B34">
                <w:t xml:space="preserve">Als de plafonds worden afgezet tegen de CPB-raming van de uitgaven onder de kaders dan wordt de onderschrijding groter (zie tabel </w:t>
              </w:r>
              <w:r>
                <w:t>9</w:t>
              </w:r>
              <w:r w:rsidRPr="00C21B34">
                <w:t xml:space="preserve">). Dit komt vooral omdat het CPB meer </w:t>
              </w:r>
              <w:proofErr w:type="spellStart"/>
              <w:r w:rsidRPr="00C21B34">
                <w:t>onderuitputting</w:t>
              </w:r>
              <w:proofErr w:type="spellEnd"/>
              <w:r w:rsidRPr="00C21B34">
                <w:t xml:space="preserve"> verwacht dan het Ministerie van Financiën. </w:t>
              </w:r>
            </w:p>
            <w:p w:rsidR="002318A8" w:rsidP="002318A8" w:rsidRDefault="002318A8" w14:paraId="2B05A995" w14:textId="77777777">
              <w:pPr>
                <w:rPr>
                  <w:b/>
                  <w:bCs/>
                  <w:i/>
                  <w:iCs/>
                </w:rPr>
              </w:pPr>
            </w:p>
            <w:tbl>
              <w:tblPr>
                <w:tblW w:w="5000" w:type="pct"/>
                <w:tblCellMar>
                  <w:left w:w="70" w:type="dxa"/>
                  <w:right w:w="70" w:type="dxa"/>
                </w:tblCellMar>
                <w:tblLook w:val="04A0" w:firstRow="1" w:lastRow="0" w:firstColumn="1" w:lastColumn="0" w:noHBand="0" w:noVBand="1"/>
              </w:tblPr>
              <w:tblGrid>
                <w:gridCol w:w="4312"/>
                <w:gridCol w:w="1289"/>
                <w:gridCol w:w="820"/>
                <w:gridCol w:w="1041"/>
                <w:gridCol w:w="1041"/>
              </w:tblGrid>
              <w:tr w:rsidRPr="001938CC" w:rsidR="002318A8" w:rsidTr="00CE3CDC" w14:paraId="7269C3BB" w14:textId="77777777">
                <w:trPr>
                  <w:trHeight w:val="260"/>
                </w:trPr>
                <w:tc>
                  <w:tcPr>
                    <w:tcW w:w="3776" w:type="pct"/>
                    <w:gridSpan w:val="3"/>
                    <w:tcBorders>
                      <w:top w:val="nil"/>
                      <w:left w:val="nil"/>
                      <w:bottom w:val="single" w:color="auto" w:sz="12" w:space="0"/>
                      <w:right w:val="nil"/>
                    </w:tcBorders>
                    <w:shd w:val="clear" w:color="auto" w:fill="auto"/>
                    <w:noWrap/>
                    <w:vAlign w:val="bottom"/>
                    <w:hideMark/>
                  </w:tcPr>
                  <w:p w:rsidRPr="001938CC" w:rsidR="002318A8" w:rsidRDefault="002318A8" w14:paraId="13478A94" w14:textId="77777777">
                    <w:pPr>
                      <w:rPr>
                        <w:rFonts w:cs="Arial"/>
                        <w:b/>
                        <w:bCs/>
                        <w:sz w:val="18"/>
                        <w:szCs w:val="18"/>
                      </w:rPr>
                    </w:pPr>
                    <w:r w:rsidRPr="001938CC">
                      <w:rPr>
                        <w:rFonts w:cs="Arial"/>
                        <w:b/>
                        <w:bCs/>
                        <w:sz w:val="18"/>
                        <w:szCs w:val="18"/>
                      </w:rPr>
                      <w:t xml:space="preserve">Tabel </w:t>
                    </w:r>
                    <w:r>
                      <w:rPr>
                        <w:rFonts w:cs="Arial"/>
                        <w:b/>
                        <w:bCs/>
                        <w:sz w:val="18"/>
                        <w:szCs w:val="18"/>
                      </w:rPr>
                      <w:t>9:</w:t>
                    </w:r>
                    <w:r w:rsidRPr="001938CC">
                      <w:rPr>
                        <w:rFonts w:cs="Arial"/>
                        <w:b/>
                        <w:bCs/>
                        <w:sz w:val="18"/>
                        <w:szCs w:val="18"/>
                      </w:rPr>
                      <w:t xml:space="preserve"> Uitkomst</w:t>
                    </w:r>
                    <w:r>
                      <w:rPr>
                        <w:rFonts w:cs="Arial"/>
                        <w:b/>
                        <w:bCs/>
                        <w:sz w:val="18"/>
                        <w:szCs w:val="18"/>
                      </w:rPr>
                      <w:t xml:space="preserve"> </w:t>
                    </w:r>
                    <w:r w:rsidRPr="001938CC">
                      <w:rPr>
                        <w:rFonts w:cs="Arial"/>
                        <w:b/>
                        <w:bCs/>
                        <w:sz w:val="18"/>
                        <w:szCs w:val="18"/>
                      </w:rPr>
                      <w:t xml:space="preserve">toets uitgavenplafonds </w:t>
                    </w:r>
                    <w:r>
                      <w:rPr>
                        <w:rFonts w:cs="Arial"/>
                        <w:b/>
                        <w:bCs/>
                        <w:sz w:val="18"/>
                        <w:szCs w:val="18"/>
                      </w:rPr>
                      <w:t xml:space="preserve">o.b.v. CPB </w:t>
                    </w:r>
                  </w:p>
                </w:tc>
                <w:tc>
                  <w:tcPr>
                    <w:tcW w:w="612" w:type="pct"/>
                    <w:tcBorders>
                      <w:top w:val="nil"/>
                      <w:left w:val="nil"/>
                      <w:bottom w:val="single" w:color="auto" w:sz="12" w:space="0"/>
                      <w:right w:val="nil"/>
                    </w:tcBorders>
                    <w:shd w:val="clear" w:color="auto" w:fill="auto"/>
                    <w:noWrap/>
                    <w:vAlign w:val="bottom"/>
                    <w:hideMark/>
                  </w:tcPr>
                  <w:p w:rsidRPr="001938CC" w:rsidR="002318A8" w:rsidRDefault="002318A8" w14:paraId="3A9C1440" w14:textId="77777777">
                    <w:pPr>
                      <w:rPr>
                        <w:rFonts w:cs="Arial"/>
                        <w:sz w:val="18"/>
                        <w:szCs w:val="18"/>
                      </w:rPr>
                    </w:pPr>
                    <w:r w:rsidRPr="001938CC">
                      <w:rPr>
                        <w:rFonts w:cs="Arial"/>
                        <w:sz w:val="18"/>
                        <w:szCs w:val="18"/>
                      </w:rPr>
                      <w:t> </w:t>
                    </w:r>
                  </w:p>
                </w:tc>
                <w:tc>
                  <w:tcPr>
                    <w:tcW w:w="612" w:type="pct"/>
                    <w:tcBorders>
                      <w:top w:val="nil"/>
                      <w:left w:val="nil"/>
                      <w:bottom w:val="single" w:color="auto" w:sz="12" w:space="0"/>
                      <w:right w:val="nil"/>
                    </w:tcBorders>
                    <w:shd w:val="clear" w:color="auto" w:fill="auto"/>
                    <w:noWrap/>
                    <w:vAlign w:val="bottom"/>
                    <w:hideMark/>
                  </w:tcPr>
                  <w:p w:rsidRPr="001938CC" w:rsidR="002318A8" w:rsidRDefault="002318A8" w14:paraId="10C1B5D7" w14:textId="77777777">
                    <w:pPr>
                      <w:rPr>
                        <w:rFonts w:cs="Arial"/>
                        <w:sz w:val="18"/>
                        <w:szCs w:val="18"/>
                      </w:rPr>
                    </w:pPr>
                    <w:r w:rsidRPr="001938CC">
                      <w:rPr>
                        <w:rFonts w:cs="Arial"/>
                        <w:sz w:val="18"/>
                        <w:szCs w:val="18"/>
                      </w:rPr>
                      <w:t> </w:t>
                    </w:r>
                  </w:p>
                </w:tc>
              </w:tr>
              <w:tr w:rsidRPr="001938CC" w:rsidR="002318A8" w:rsidTr="00CE3CDC" w14:paraId="0D008DAD" w14:textId="77777777">
                <w:trPr>
                  <w:trHeight w:val="260"/>
                </w:trPr>
                <w:tc>
                  <w:tcPr>
                    <w:tcW w:w="2536" w:type="pct"/>
                    <w:tcBorders>
                      <w:top w:val="single" w:color="auto" w:sz="12" w:space="0"/>
                      <w:left w:val="nil"/>
                      <w:bottom w:val="single" w:color="auto" w:sz="12" w:space="0"/>
                      <w:right w:val="nil"/>
                    </w:tcBorders>
                    <w:shd w:val="clear" w:color="auto" w:fill="auto"/>
                    <w:noWrap/>
                    <w:vAlign w:val="bottom"/>
                    <w:hideMark/>
                  </w:tcPr>
                  <w:p w:rsidRPr="001938CC" w:rsidR="002318A8" w:rsidRDefault="002318A8" w14:paraId="5E86D9D6" w14:textId="77777777">
                    <w:pPr>
                      <w:rPr>
                        <w:rFonts w:cs="Arial"/>
                        <w:sz w:val="18"/>
                        <w:szCs w:val="18"/>
                      </w:rPr>
                    </w:pPr>
                    <w:r w:rsidRPr="001938CC">
                      <w:rPr>
                        <w:rFonts w:cs="Arial"/>
                        <w:sz w:val="18"/>
                        <w:szCs w:val="18"/>
                      </w:rPr>
                      <w:t> </w:t>
                    </w:r>
                  </w:p>
                </w:tc>
                <w:tc>
                  <w:tcPr>
                    <w:tcW w:w="758"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765FDF26" w14:textId="77777777">
                    <w:pPr>
                      <w:rPr>
                        <w:rFonts w:cs="Arial"/>
                        <w:b/>
                        <w:bCs/>
                        <w:sz w:val="18"/>
                        <w:szCs w:val="18"/>
                      </w:rPr>
                    </w:pPr>
                    <w:r w:rsidRPr="00EF0DAB">
                      <w:rPr>
                        <w:rFonts w:cs="Arial"/>
                        <w:b/>
                        <w:bCs/>
                        <w:sz w:val="18"/>
                        <w:szCs w:val="18"/>
                      </w:rPr>
                      <w:t>2025</w:t>
                    </w:r>
                  </w:p>
                </w:tc>
                <w:tc>
                  <w:tcPr>
                    <w:tcW w:w="482"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5700B109" w14:textId="77777777">
                    <w:pPr>
                      <w:rPr>
                        <w:rFonts w:cs="Arial"/>
                        <w:b/>
                        <w:bCs/>
                        <w:sz w:val="18"/>
                        <w:szCs w:val="18"/>
                      </w:rPr>
                    </w:pPr>
                    <w:r w:rsidRPr="00EF0DAB">
                      <w:rPr>
                        <w:rFonts w:cs="Arial"/>
                        <w:b/>
                        <w:bCs/>
                        <w:sz w:val="18"/>
                        <w:szCs w:val="18"/>
                      </w:rPr>
                      <w:t>2026</w:t>
                    </w:r>
                  </w:p>
                </w:tc>
                <w:tc>
                  <w:tcPr>
                    <w:tcW w:w="612"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50948667" w14:textId="77777777">
                    <w:pPr>
                      <w:jc w:val="right"/>
                      <w:rPr>
                        <w:rFonts w:cs="Arial"/>
                        <w:b/>
                        <w:bCs/>
                        <w:sz w:val="18"/>
                        <w:szCs w:val="18"/>
                      </w:rPr>
                    </w:pPr>
                    <w:r w:rsidRPr="00EF0DAB">
                      <w:rPr>
                        <w:rFonts w:cs="Arial"/>
                        <w:b/>
                        <w:bCs/>
                        <w:sz w:val="18"/>
                        <w:szCs w:val="18"/>
                      </w:rPr>
                      <w:t>2027</w:t>
                    </w:r>
                  </w:p>
                </w:tc>
                <w:tc>
                  <w:tcPr>
                    <w:tcW w:w="612"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6CF4F8FA" w14:textId="77777777">
                    <w:pPr>
                      <w:jc w:val="right"/>
                      <w:rPr>
                        <w:rFonts w:cs="Arial"/>
                        <w:b/>
                        <w:bCs/>
                        <w:sz w:val="18"/>
                        <w:szCs w:val="18"/>
                      </w:rPr>
                    </w:pPr>
                    <w:r w:rsidRPr="00EF0DAB">
                      <w:rPr>
                        <w:rFonts w:cs="Arial"/>
                        <w:b/>
                        <w:bCs/>
                        <w:sz w:val="18"/>
                        <w:szCs w:val="18"/>
                      </w:rPr>
                      <w:t>2028</w:t>
                    </w:r>
                  </w:p>
                </w:tc>
              </w:tr>
              <w:tr w:rsidRPr="001938CC" w:rsidR="002318A8" w:rsidTr="00CE3CDC" w14:paraId="1C24A009" w14:textId="77777777">
                <w:trPr>
                  <w:trHeight w:val="260"/>
                </w:trPr>
                <w:tc>
                  <w:tcPr>
                    <w:tcW w:w="2536" w:type="pct"/>
                    <w:tcBorders>
                      <w:top w:val="single" w:color="auto" w:sz="12" w:space="0"/>
                      <w:left w:val="nil"/>
                      <w:bottom w:val="nil"/>
                      <w:right w:val="nil"/>
                    </w:tcBorders>
                    <w:shd w:val="clear" w:color="auto" w:fill="auto"/>
                    <w:noWrap/>
                    <w:vAlign w:val="bottom"/>
                    <w:hideMark/>
                  </w:tcPr>
                  <w:p w:rsidRPr="001938CC" w:rsidR="002318A8" w:rsidRDefault="002318A8" w14:paraId="6947ED41" w14:textId="77777777">
                    <w:pPr>
                      <w:jc w:val="right"/>
                      <w:rPr>
                        <w:rFonts w:cs="Arial"/>
                        <w:sz w:val="18"/>
                        <w:szCs w:val="18"/>
                      </w:rPr>
                    </w:pPr>
                  </w:p>
                </w:tc>
                <w:tc>
                  <w:tcPr>
                    <w:tcW w:w="758" w:type="pct"/>
                    <w:tcBorders>
                      <w:top w:val="single" w:color="auto" w:sz="12" w:space="0"/>
                      <w:left w:val="nil"/>
                      <w:bottom w:val="nil"/>
                      <w:right w:val="nil"/>
                    </w:tcBorders>
                    <w:shd w:val="clear" w:color="auto" w:fill="auto"/>
                    <w:noWrap/>
                    <w:vAlign w:val="bottom"/>
                    <w:hideMark/>
                  </w:tcPr>
                  <w:p w:rsidRPr="001938CC" w:rsidR="002318A8" w:rsidRDefault="002318A8" w14:paraId="0765B46D" w14:textId="77777777">
                    <w:pPr>
                      <w:rPr>
                        <w:rFonts w:cs="Arial"/>
                        <w:sz w:val="18"/>
                        <w:szCs w:val="18"/>
                      </w:rPr>
                    </w:pPr>
                    <w:r w:rsidRPr="001938CC">
                      <w:rPr>
                        <w:rFonts w:cs="Arial"/>
                        <w:sz w:val="18"/>
                        <w:szCs w:val="18"/>
                      </w:rPr>
                      <w:t>Mld</w:t>
                    </w:r>
                    <w:r>
                      <w:rPr>
                        <w:rFonts w:cs="Arial"/>
                        <w:sz w:val="18"/>
                        <w:szCs w:val="18"/>
                      </w:rPr>
                      <w:t>.</w:t>
                    </w:r>
                    <w:r w:rsidRPr="001938CC">
                      <w:rPr>
                        <w:rFonts w:cs="Arial"/>
                        <w:sz w:val="18"/>
                        <w:szCs w:val="18"/>
                      </w:rPr>
                      <w:t xml:space="preserve"> euro</w:t>
                    </w:r>
                  </w:p>
                </w:tc>
                <w:tc>
                  <w:tcPr>
                    <w:tcW w:w="482" w:type="pct"/>
                    <w:tcBorders>
                      <w:top w:val="single" w:color="auto" w:sz="12" w:space="0"/>
                      <w:left w:val="nil"/>
                      <w:bottom w:val="nil"/>
                      <w:right w:val="nil"/>
                    </w:tcBorders>
                    <w:shd w:val="clear" w:color="auto" w:fill="auto"/>
                    <w:noWrap/>
                    <w:vAlign w:val="bottom"/>
                    <w:hideMark/>
                  </w:tcPr>
                  <w:p w:rsidRPr="001938CC" w:rsidR="002318A8" w:rsidRDefault="002318A8" w14:paraId="63C77CF5" w14:textId="77777777">
                    <w:pPr>
                      <w:rPr>
                        <w:rFonts w:cs="Arial"/>
                        <w:sz w:val="18"/>
                        <w:szCs w:val="18"/>
                      </w:rPr>
                    </w:pPr>
                  </w:p>
                </w:tc>
                <w:tc>
                  <w:tcPr>
                    <w:tcW w:w="612" w:type="pct"/>
                    <w:tcBorders>
                      <w:top w:val="single" w:color="auto" w:sz="12" w:space="0"/>
                      <w:left w:val="nil"/>
                      <w:bottom w:val="nil"/>
                      <w:right w:val="nil"/>
                    </w:tcBorders>
                    <w:shd w:val="clear" w:color="auto" w:fill="auto"/>
                    <w:noWrap/>
                    <w:vAlign w:val="bottom"/>
                    <w:hideMark/>
                  </w:tcPr>
                  <w:p w:rsidRPr="001938CC" w:rsidR="002318A8" w:rsidRDefault="002318A8" w14:paraId="7711A827" w14:textId="77777777">
                    <w:pPr>
                      <w:rPr>
                        <w:rFonts w:ascii="Times New Roman" w:hAnsi="Times New Roman"/>
                        <w:sz w:val="20"/>
                        <w:szCs w:val="20"/>
                      </w:rPr>
                    </w:pPr>
                  </w:p>
                </w:tc>
                <w:tc>
                  <w:tcPr>
                    <w:tcW w:w="612" w:type="pct"/>
                    <w:tcBorders>
                      <w:top w:val="single" w:color="auto" w:sz="12" w:space="0"/>
                      <w:left w:val="nil"/>
                      <w:bottom w:val="nil"/>
                      <w:right w:val="nil"/>
                    </w:tcBorders>
                    <w:shd w:val="clear" w:color="auto" w:fill="auto"/>
                    <w:noWrap/>
                    <w:vAlign w:val="bottom"/>
                    <w:hideMark/>
                  </w:tcPr>
                  <w:p w:rsidRPr="001938CC" w:rsidR="002318A8" w:rsidRDefault="002318A8" w14:paraId="7B6CE89C" w14:textId="77777777">
                    <w:pPr>
                      <w:rPr>
                        <w:rFonts w:ascii="Times New Roman" w:hAnsi="Times New Roman"/>
                        <w:sz w:val="20"/>
                        <w:szCs w:val="20"/>
                      </w:rPr>
                    </w:pPr>
                  </w:p>
                </w:tc>
              </w:tr>
              <w:tr w:rsidRPr="001938CC" w:rsidR="002318A8" w:rsidTr="00CE3CDC" w14:paraId="7DD336CC" w14:textId="77777777">
                <w:trPr>
                  <w:trHeight w:val="260"/>
                </w:trPr>
                <w:tc>
                  <w:tcPr>
                    <w:tcW w:w="2536" w:type="pct"/>
                    <w:tcBorders>
                      <w:top w:val="nil"/>
                      <w:left w:val="nil"/>
                      <w:bottom w:val="single" w:color="auto" w:sz="12" w:space="0"/>
                      <w:right w:val="nil"/>
                    </w:tcBorders>
                    <w:shd w:val="clear" w:color="auto" w:fill="auto"/>
                    <w:noWrap/>
                    <w:vAlign w:val="bottom"/>
                    <w:hideMark/>
                  </w:tcPr>
                  <w:p w:rsidRPr="001938CC" w:rsidR="002318A8" w:rsidRDefault="002318A8" w14:paraId="441C3A62" w14:textId="77777777">
                    <w:pPr>
                      <w:rPr>
                        <w:rFonts w:cs="Arial"/>
                        <w:sz w:val="18"/>
                        <w:szCs w:val="18"/>
                      </w:rPr>
                    </w:pPr>
                    <w:r>
                      <w:rPr>
                        <w:rFonts w:cs="Arial"/>
                        <w:sz w:val="18"/>
                        <w:szCs w:val="18"/>
                      </w:rPr>
                      <w:t>O</w:t>
                    </w:r>
                    <w:r w:rsidRPr="001938CC">
                      <w:rPr>
                        <w:rFonts w:cs="Arial"/>
                        <w:sz w:val="18"/>
                        <w:szCs w:val="18"/>
                      </w:rPr>
                      <w:t>nderschrijding</w:t>
                    </w:r>
                  </w:p>
                </w:tc>
                <w:tc>
                  <w:tcPr>
                    <w:tcW w:w="758" w:type="pct"/>
                    <w:tcBorders>
                      <w:top w:val="nil"/>
                      <w:left w:val="nil"/>
                      <w:bottom w:val="single" w:color="auto" w:sz="12" w:space="0"/>
                      <w:right w:val="nil"/>
                    </w:tcBorders>
                    <w:shd w:val="clear" w:color="auto" w:fill="auto"/>
                    <w:noWrap/>
                    <w:vAlign w:val="bottom"/>
                    <w:hideMark/>
                  </w:tcPr>
                  <w:p w:rsidRPr="001938CC" w:rsidR="002318A8" w:rsidRDefault="002318A8" w14:paraId="09F89586" w14:textId="77777777">
                    <w:pPr>
                      <w:jc w:val="right"/>
                      <w:rPr>
                        <w:rFonts w:cs="Arial"/>
                        <w:sz w:val="18"/>
                        <w:szCs w:val="18"/>
                      </w:rPr>
                    </w:pPr>
                    <w:r w:rsidRPr="001938CC">
                      <w:rPr>
                        <w:rFonts w:cs="Arial"/>
                        <w:sz w:val="18"/>
                        <w:szCs w:val="18"/>
                      </w:rPr>
                      <w:t>-2,</w:t>
                    </w:r>
                    <w:r>
                      <w:rPr>
                        <w:rFonts w:cs="Arial"/>
                        <w:sz w:val="18"/>
                        <w:szCs w:val="18"/>
                      </w:rPr>
                      <w:t>8</w:t>
                    </w:r>
                  </w:p>
                </w:tc>
                <w:tc>
                  <w:tcPr>
                    <w:tcW w:w="482" w:type="pct"/>
                    <w:tcBorders>
                      <w:top w:val="nil"/>
                      <w:left w:val="nil"/>
                      <w:bottom w:val="single" w:color="auto" w:sz="12" w:space="0"/>
                      <w:right w:val="nil"/>
                    </w:tcBorders>
                    <w:shd w:val="clear" w:color="auto" w:fill="auto"/>
                    <w:noWrap/>
                    <w:vAlign w:val="bottom"/>
                    <w:hideMark/>
                  </w:tcPr>
                  <w:p w:rsidRPr="001938CC" w:rsidR="002318A8" w:rsidRDefault="002318A8" w14:paraId="208CF9F1" w14:textId="77777777">
                    <w:pPr>
                      <w:jc w:val="right"/>
                      <w:rPr>
                        <w:rFonts w:cs="Arial"/>
                        <w:sz w:val="18"/>
                        <w:szCs w:val="18"/>
                      </w:rPr>
                    </w:pPr>
                    <w:r w:rsidRPr="001938CC">
                      <w:rPr>
                        <w:rFonts w:cs="Arial"/>
                        <w:sz w:val="18"/>
                        <w:szCs w:val="18"/>
                      </w:rPr>
                      <w:t>-1,4</w:t>
                    </w:r>
                  </w:p>
                </w:tc>
                <w:tc>
                  <w:tcPr>
                    <w:tcW w:w="612" w:type="pct"/>
                    <w:tcBorders>
                      <w:top w:val="nil"/>
                      <w:left w:val="nil"/>
                      <w:bottom w:val="single" w:color="auto" w:sz="12" w:space="0"/>
                      <w:right w:val="nil"/>
                    </w:tcBorders>
                    <w:shd w:val="clear" w:color="auto" w:fill="auto"/>
                    <w:noWrap/>
                    <w:vAlign w:val="bottom"/>
                    <w:hideMark/>
                  </w:tcPr>
                  <w:p w:rsidRPr="001938CC" w:rsidR="002318A8" w:rsidRDefault="002318A8" w14:paraId="5B5D583C" w14:textId="77777777">
                    <w:pPr>
                      <w:jc w:val="right"/>
                      <w:rPr>
                        <w:rFonts w:cs="Arial"/>
                        <w:sz w:val="18"/>
                        <w:szCs w:val="18"/>
                      </w:rPr>
                    </w:pPr>
                    <w:r w:rsidRPr="001938CC">
                      <w:rPr>
                        <w:rFonts w:cs="Arial"/>
                        <w:sz w:val="18"/>
                        <w:szCs w:val="18"/>
                      </w:rPr>
                      <w:t>-8,</w:t>
                    </w:r>
                    <w:r>
                      <w:rPr>
                        <w:rFonts w:cs="Arial"/>
                        <w:sz w:val="18"/>
                        <w:szCs w:val="18"/>
                      </w:rPr>
                      <w:t>5</w:t>
                    </w:r>
                  </w:p>
                </w:tc>
                <w:tc>
                  <w:tcPr>
                    <w:tcW w:w="612" w:type="pct"/>
                    <w:tcBorders>
                      <w:top w:val="nil"/>
                      <w:left w:val="nil"/>
                      <w:bottom w:val="single" w:color="auto" w:sz="12" w:space="0"/>
                      <w:right w:val="nil"/>
                    </w:tcBorders>
                    <w:shd w:val="clear" w:color="auto" w:fill="auto"/>
                    <w:noWrap/>
                    <w:vAlign w:val="bottom"/>
                    <w:hideMark/>
                  </w:tcPr>
                  <w:p w:rsidRPr="001938CC" w:rsidR="002318A8" w:rsidRDefault="002318A8" w14:paraId="270ECCCA" w14:textId="77777777">
                    <w:pPr>
                      <w:jc w:val="right"/>
                      <w:rPr>
                        <w:rFonts w:cs="Arial"/>
                        <w:sz w:val="18"/>
                        <w:szCs w:val="18"/>
                      </w:rPr>
                    </w:pPr>
                    <w:r w:rsidRPr="001938CC">
                      <w:rPr>
                        <w:rFonts w:cs="Arial"/>
                        <w:sz w:val="18"/>
                        <w:szCs w:val="18"/>
                      </w:rPr>
                      <w:t>-2,</w:t>
                    </w:r>
                    <w:r>
                      <w:rPr>
                        <w:rFonts w:cs="Arial"/>
                        <w:sz w:val="18"/>
                        <w:szCs w:val="18"/>
                      </w:rPr>
                      <w:t>4</w:t>
                    </w:r>
                  </w:p>
                </w:tc>
              </w:tr>
            </w:tbl>
            <w:p w:rsidRPr="00432AEE" w:rsidR="002318A8" w:rsidP="002318A8" w:rsidRDefault="002318A8" w14:paraId="2AEA3303" w14:textId="77777777">
              <w:pPr>
                <w:rPr>
                  <w:i/>
                  <w:iCs/>
                  <w:sz w:val="18"/>
                  <w:szCs w:val="18"/>
                </w:rPr>
              </w:pPr>
              <w:r w:rsidRPr="00432AEE">
                <w:rPr>
                  <w:i/>
                  <w:iCs/>
                  <w:sz w:val="18"/>
                  <w:szCs w:val="18"/>
                </w:rPr>
                <w:t>Bron: Centraal Planbureau; Budgettaire Analyse Voorjaarsnota 2025</w:t>
              </w:r>
            </w:p>
            <w:p w:rsidRPr="00424BDA" w:rsidR="002318A8" w:rsidP="002318A8" w:rsidRDefault="002318A8" w14:paraId="75B3BA27" w14:textId="77777777">
              <w:pPr>
                <w:pStyle w:val="Lijstalinea"/>
                <w:rPr>
                  <w:b/>
                  <w:bCs/>
                  <w:i/>
                  <w:iCs/>
                </w:rPr>
              </w:pPr>
            </w:p>
            <w:p w:rsidR="002318A8" w:rsidP="002318A8" w:rsidRDefault="002318A8" w14:paraId="0AF94FA0" w14:textId="77777777">
              <w:r>
                <w:t>Het inkomstenkader sluit in de Voorjaarsnota als de hele kabinetsperiode 2025-2028 wordt beschouwd. Tegenover de lastenverlichting door het schrappen van de verhoging van de btw op cultuur, media en sport staat een lastenverzwaring door de hogere loonbelasting en inkomstenbelasting in box 1. Dit betekent een verschuiving van de lasten op consumptie naar de lasten op arbeid. Het beeld van het inkomstenkader verschilt tussen individuele jaren. Dit komt vooral door fluctuaties in de geraamde gereserveerde middelen over de jaren voor het uitstel van de Wet werkelijk rendement.</w:t>
              </w:r>
            </w:p>
            <w:p w:rsidR="002318A8" w:rsidP="002318A8" w:rsidRDefault="002318A8" w14:paraId="19705E81" w14:textId="77777777">
              <w:r>
                <w:t xml:space="preserve"> </w:t>
              </w:r>
            </w:p>
            <w:p w:rsidR="002318A8" w:rsidP="002318A8" w:rsidRDefault="002318A8" w14:paraId="06E6493E" w14:textId="77777777">
              <w:r>
                <w:br w:type="page"/>
              </w:r>
            </w:p>
            <w:tbl>
              <w:tblPr>
                <w:tblW w:w="5000" w:type="pct"/>
                <w:tblCellMar>
                  <w:left w:w="70" w:type="dxa"/>
                  <w:right w:w="70" w:type="dxa"/>
                </w:tblCellMar>
                <w:tblLook w:val="04A0" w:firstRow="1" w:lastRow="0" w:firstColumn="1" w:lastColumn="0" w:noHBand="0" w:noVBand="1"/>
              </w:tblPr>
              <w:tblGrid>
                <w:gridCol w:w="5593"/>
                <w:gridCol w:w="1082"/>
                <w:gridCol w:w="610"/>
                <w:gridCol w:w="610"/>
                <w:gridCol w:w="608"/>
              </w:tblGrid>
              <w:tr w:rsidRPr="00FE7FD7" w:rsidR="002318A8" w:rsidTr="00CE3CDC" w14:paraId="5F40B631" w14:textId="77777777">
                <w:trPr>
                  <w:trHeight w:val="240"/>
                </w:trPr>
                <w:tc>
                  <w:tcPr>
                    <w:tcW w:w="2918" w:type="pct"/>
                    <w:tcBorders>
                      <w:top w:val="nil"/>
                      <w:left w:val="nil"/>
                      <w:bottom w:val="single" w:color="auto" w:sz="12" w:space="0"/>
                      <w:right w:val="nil"/>
                    </w:tcBorders>
                    <w:shd w:val="clear" w:color="auto" w:fill="auto"/>
                    <w:noWrap/>
                    <w:vAlign w:val="bottom"/>
                    <w:hideMark/>
                  </w:tcPr>
                  <w:p w:rsidRPr="00FE7FD7" w:rsidR="002318A8" w:rsidRDefault="002318A8" w14:paraId="4B9482D9" w14:textId="77777777">
                    <w:pPr>
                      <w:rPr>
                        <w:rFonts w:cs="Arial"/>
                        <w:b/>
                        <w:bCs/>
                        <w:sz w:val="18"/>
                        <w:szCs w:val="18"/>
                      </w:rPr>
                    </w:pPr>
                    <w:r w:rsidRPr="00FE7FD7">
                      <w:rPr>
                        <w:rFonts w:cs="Arial"/>
                        <w:b/>
                        <w:bCs/>
                        <w:sz w:val="18"/>
                        <w:szCs w:val="18"/>
                      </w:rPr>
                      <w:lastRenderedPageBreak/>
                      <w:t xml:space="preserve">Tabel </w:t>
                    </w:r>
                    <w:r>
                      <w:rPr>
                        <w:rFonts w:cs="Arial"/>
                        <w:b/>
                        <w:bCs/>
                        <w:sz w:val="18"/>
                        <w:szCs w:val="18"/>
                      </w:rPr>
                      <w:t>10</w:t>
                    </w:r>
                    <w:r w:rsidRPr="00FE7FD7">
                      <w:rPr>
                        <w:rFonts w:cs="Arial"/>
                        <w:b/>
                        <w:bCs/>
                        <w:sz w:val="18"/>
                        <w:szCs w:val="18"/>
                      </w:rPr>
                      <w:t>: Inkomstenkader o.b.v. Voorjaarsnota 2025-2028</w:t>
                    </w:r>
                  </w:p>
                </w:tc>
                <w:tc>
                  <w:tcPr>
                    <w:tcW w:w="565" w:type="pct"/>
                    <w:tcBorders>
                      <w:top w:val="nil"/>
                      <w:left w:val="nil"/>
                      <w:bottom w:val="single" w:color="auto" w:sz="12" w:space="0"/>
                      <w:right w:val="nil"/>
                    </w:tcBorders>
                    <w:shd w:val="clear" w:color="auto" w:fill="auto"/>
                    <w:noWrap/>
                    <w:vAlign w:val="bottom"/>
                    <w:hideMark/>
                  </w:tcPr>
                  <w:p w:rsidRPr="00FE7FD7" w:rsidR="002318A8" w:rsidRDefault="002318A8" w14:paraId="1B6CA8EF" w14:textId="77777777">
                    <w:pPr>
                      <w:rPr>
                        <w:rFonts w:cs="Arial"/>
                        <w:sz w:val="18"/>
                        <w:szCs w:val="18"/>
                      </w:rPr>
                    </w:pPr>
                    <w:r w:rsidRPr="00FE7FD7">
                      <w:rPr>
                        <w:rFonts w:cs="Arial"/>
                        <w:sz w:val="18"/>
                        <w:szCs w:val="18"/>
                      </w:rPr>
                      <w:t> </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32999418" w14:textId="77777777">
                    <w:pPr>
                      <w:rPr>
                        <w:rFonts w:cs="Arial"/>
                        <w:sz w:val="18"/>
                        <w:szCs w:val="18"/>
                      </w:rPr>
                    </w:pPr>
                    <w:r w:rsidRPr="00FE7FD7">
                      <w:rPr>
                        <w:rFonts w:cs="Arial"/>
                        <w:sz w:val="18"/>
                        <w:szCs w:val="18"/>
                      </w:rPr>
                      <w:t> </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48D32A32" w14:textId="77777777">
                    <w:pPr>
                      <w:rPr>
                        <w:rFonts w:cs="Arial"/>
                        <w:sz w:val="18"/>
                        <w:szCs w:val="18"/>
                      </w:rPr>
                    </w:pPr>
                    <w:r w:rsidRPr="00FE7FD7">
                      <w:rPr>
                        <w:rFonts w:cs="Arial"/>
                        <w:sz w:val="18"/>
                        <w:szCs w:val="18"/>
                      </w:rPr>
                      <w:t> </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680692F5" w14:textId="77777777">
                    <w:pPr>
                      <w:rPr>
                        <w:rFonts w:cs="Arial"/>
                        <w:sz w:val="18"/>
                        <w:szCs w:val="18"/>
                      </w:rPr>
                    </w:pPr>
                    <w:r w:rsidRPr="00FE7FD7">
                      <w:rPr>
                        <w:rFonts w:cs="Arial"/>
                        <w:sz w:val="18"/>
                        <w:szCs w:val="18"/>
                      </w:rPr>
                      <w:t> </w:t>
                    </w:r>
                  </w:p>
                </w:tc>
              </w:tr>
              <w:tr w:rsidRPr="00FE7FD7" w:rsidR="002318A8" w:rsidTr="00CE3CDC" w14:paraId="05BF9FB8" w14:textId="77777777">
                <w:trPr>
                  <w:trHeight w:val="240"/>
                </w:trPr>
                <w:tc>
                  <w:tcPr>
                    <w:tcW w:w="2918" w:type="pct"/>
                    <w:tcBorders>
                      <w:top w:val="single" w:color="auto" w:sz="12" w:space="0"/>
                      <w:left w:val="nil"/>
                      <w:bottom w:val="single" w:color="auto" w:sz="12" w:space="0"/>
                      <w:right w:val="nil"/>
                    </w:tcBorders>
                    <w:shd w:val="clear" w:color="auto" w:fill="auto"/>
                    <w:noWrap/>
                    <w:vAlign w:val="bottom"/>
                    <w:hideMark/>
                  </w:tcPr>
                  <w:p w:rsidRPr="00FE7FD7" w:rsidR="002318A8" w:rsidRDefault="002318A8" w14:paraId="509A52F0" w14:textId="77777777">
                    <w:pPr>
                      <w:rPr>
                        <w:rFonts w:cs="Arial"/>
                        <w:sz w:val="18"/>
                        <w:szCs w:val="18"/>
                      </w:rPr>
                    </w:pPr>
                    <w:r w:rsidRPr="00FE7FD7">
                      <w:rPr>
                        <w:rFonts w:cs="Arial"/>
                        <w:sz w:val="18"/>
                        <w:szCs w:val="18"/>
                      </w:rPr>
                      <w:t> </w:t>
                    </w:r>
                  </w:p>
                </w:tc>
                <w:tc>
                  <w:tcPr>
                    <w:tcW w:w="565"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4B6C928F" w14:textId="77777777">
                    <w:pPr>
                      <w:jc w:val="right"/>
                      <w:rPr>
                        <w:rFonts w:cs="Arial"/>
                        <w:b/>
                        <w:bCs/>
                        <w:sz w:val="18"/>
                        <w:szCs w:val="18"/>
                      </w:rPr>
                    </w:pPr>
                    <w:r w:rsidRPr="00EF0DAB">
                      <w:rPr>
                        <w:rFonts w:cs="Arial"/>
                        <w:b/>
                        <w:bCs/>
                        <w:sz w:val="18"/>
                        <w:szCs w:val="18"/>
                      </w:rPr>
                      <w:t>2025</w:t>
                    </w:r>
                  </w:p>
                </w:tc>
                <w:tc>
                  <w:tcPr>
                    <w:tcW w:w="506"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1F3F5BD5" w14:textId="77777777">
                    <w:pPr>
                      <w:jc w:val="right"/>
                      <w:rPr>
                        <w:rFonts w:cs="Arial"/>
                        <w:b/>
                        <w:bCs/>
                        <w:sz w:val="18"/>
                        <w:szCs w:val="18"/>
                      </w:rPr>
                    </w:pPr>
                    <w:r w:rsidRPr="00EF0DAB">
                      <w:rPr>
                        <w:rFonts w:cs="Arial"/>
                        <w:b/>
                        <w:bCs/>
                        <w:sz w:val="18"/>
                        <w:szCs w:val="18"/>
                      </w:rPr>
                      <w:t>2026</w:t>
                    </w:r>
                  </w:p>
                </w:tc>
                <w:tc>
                  <w:tcPr>
                    <w:tcW w:w="506"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5CB2B2B9" w14:textId="77777777">
                    <w:pPr>
                      <w:jc w:val="right"/>
                      <w:rPr>
                        <w:rFonts w:cs="Arial"/>
                        <w:b/>
                        <w:bCs/>
                        <w:sz w:val="18"/>
                        <w:szCs w:val="18"/>
                      </w:rPr>
                    </w:pPr>
                    <w:r w:rsidRPr="00EF0DAB">
                      <w:rPr>
                        <w:rFonts w:cs="Arial"/>
                        <w:b/>
                        <w:bCs/>
                        <w:sz w:val="18"/>
                        <w:szCs w:val="18"/>
                      </w:rPr>
                      <w:t>2027</w:t>
                    </w:r>
                  </w:p>
                </w:tc>
                <w:tc>
                  <w:tcPr>
                    <w:tcW w:w="506" w:type="pct"/>
                    <w:tcBorders>
                      <w:top w:val="single" w:color="auto" w:sz="12" w:space="0"/>
                      <w:left w:val="nil"/>
                      <w:bottom w:val="single" w:color="auto" w:sz="12" w:space="0"/>
                      <w:right w:val="nil"/>
                    </w:tcBorders>
                    <w:shd w:val="clear" w:color="auto" w:fill="auto"/>
                    <w:noWrap/>
                    <w:vAlign w:val="bottom"/>
                    <w:hideMark/>
                  </w:tcPr>
                  <w:p w:rsidRPr="00EF0DAB" w:rsidR="002318A8" w:rsidRDefault="002318A8" w14:paraId="4E7F53D3" w14:textId="77777777">
                    <w:pPr>
                      <w:jc w:val="right"/>
                      <w:rPr>
                        <w:rFonts w:cs="Arial"/>
                        <w:b/>
                        <w:bCs/>
                        <w:sz w:val="18"/>
                        <w:szCs w:val="18"/>
                      </w:rPr>
                    </w:pPr>
                    <w:r w:rsidRPr="00EF0DAB">
                      <w:rPr>
                        <w:rFonts w:cs="Arial"/>
                        <w:b/>
                        <w:bCs/>
                        <w:sz w:val="18"/>
                        <w:szCs w:val="18"/>
                      </w:rPr>
                      <w:t>2028</w:t>
                    </w:r>
                  </w:p>
                </w:tc>
              </w:tr>
              <w:tr w:rsidRPr="00FE7FD7" w:rsidR="002318A8" w:rsidTr="00CE3CDC" w14:paraId="22D43C17" w14:textId="77777777">
                <w:trPr>
                  <w:trHeight w:val="240"/>
                </w:trPr>
                <w:tc>
                  <w:tcPr>
                    <w:tcW w:w="2918" w:type="pct"/>
                    <w:tcBorders>
                      <w:top w:val="single" w:color="auto" w:sz="12" w:space="0"/>
                      <w:left w:val="nil"/>
                      <w:bottom w:val="nil"/>
                      <w:right w:val="nil"/>
                    </w:tcBorders>
                    <w:shd w:val="clear" w:color="auto" w:fill="auto"/>
                    <w:noWrap/>
                    <w:vAlign w:val="bottom"/>
                    <w:hideMark/>
                  </w:tcPr>
                  <w:p w:rsidRPr="00FE7FD7" w:rsidR="002318A8" w:rsidRDefault="002318A8" w14:paraId="235F160F" w14:textId="77777777">
                    <w:pPr>
                      <w:jc w:val="right"/>
                      <w:rPr>
                        <w:rFonts w:cs="Arial"/>
                        <w:sz w:val="18"/>
                        <w:szCs w:val="18"/>
                      </w:rPr>
                    </w:pPr>
                  </w:p>
                </w:tc>
                <w:tc>
                  <w:tcPr>
                    <w:tcW w:w="565" w:type="pct"/>
                    <w:tcBorders>
                      <w:top w:val="single" w:color="auto" w:sz="12" w:space="0"/>
                      <w:left w:val="nil"/>
                      <w:bottom w:val="nil"/>
                      <w:right w:val="nil"/>
                    </w:tcBorders>
                    <w:shd w:val="clear" w:color="auto" w:fill="auto"/>
                    <w:noWrap/>
                    <w:vAlign w:val="bottom"/>
                    <w:hideMark/>
                  </w:tcPr>
                  <w:p w:rsidRPr="00FE7FD7" w:rsidR="002318A8" w:rsidRDefault="002318A8" w14:paraId="11DE0A7B" w14:textId="77777777">
                    <w:pPr>
                      <w:rPr>
                        <w:rFonts w:cs="Arial"/>
                        <w:sz w:val="18"/>
                        <w:szCs w:val="18"/>
                      </w:rPr>
                    </w:pPr>
                    <w:r w:rsidRPr="00FE7FD7">
                      <w:rPr>
                        <w:rFonts w:cs="Arial"/>
                        <w:sz w:val="18"/>
                        <w:szCs w:val="18"/>
                      </w:rPr>
                      <w:t>Mln</w:t>
                    </w:r>
                    <w:r>
                      <w:rPr>
                        <w:rFonts w:cs="Arial"/>
                        <w:sz w:val="18"/>
                        <w:szCs w:val="18"/>
                      </w:rPr>
                      <w:t xml:space="preserve">. </w:t>
                    </w:r>
                    <w:r w:rsidRPr="00FE7FD7">
                      <w:rPr>
                        <w:rFonts w:cs="Arial"/>
                        <w:sz w:val="18"/>
                        <w:szCs w:val="18"/>
                      </w:rPr>
                      <w:t>euro</w:t>
                    </w:r>
                  </w:p>
                </w:tc>
                <w:tc>
                  <w:tcPr>
                    <w:tcW w:w="506" w:type="pct"/>
                    <w:tcBorders>
                      <w:top w:val="single" w:color="auto" w:sz="12" w:space="0"/>
                      <w:left w:val="nil"/>
                      <w:bottom w:val="nil"/>
                      <w:right w:val="nil"/>
                    </w:tcBorders>
                    <w:shd w:val="clear" w:color="auto" w:fill="auto"/>
                    <w:noWrap/>
                    <w:vAlign w:val="bottom"/>
                    <w:hideMark/>
                  </w:tcPr>
                  <w:p w:rsidRPr="00FE7FD7" w:rsidR="002318A8" w:rsidRDefault="002318A8" w14:paraId="0E44B9AC" w14:textId="77777777">
                    <w:pPr>
                      <w:rPr>
                        <w:rFonts w:cs="Arial"/>
                        <w:sz w:val="18"/>
                        <w:szCs w:val="18"/>
                      </w:rPr>
                    </w:pPr>
                  </w:p>
                </w:tc>
                <w:tc>
                  <w:tcPr>
                    <w:tcW w:w="506" w:type="pct"/>
                    <w:tcBorders>
                      <w:top w:val="single" w:color="auto" w:sz="12" w:space="0"/>
                      <w:left w:val="nil"/>
                      <w:bottom w:val="nil"/>
                      <w:right w:val="nil"/>
                    </w:tcBorders>
                    <w:shd w:val="clear" w:color="auto" w:fill="auto"/>
                    <w:noWrap/>
                    <w:vAlign w:val="bottom"/>
                    <w:hideMark/>
                  </w:tcPr>
                  <w:p w:rsidRPr="00FE7FD7" w:rsidR="002318A8" w:rsidRDefault="002318A8" w14:paraId="7D93BCAB" w14:textId="77777777">
                    <w:pPr>
                      <w:rPr>
                        <w:rFonts w:ascii="Times New Roman" w:hAnsi="Times New Roman"/>
                        <w:sz w:val="20"/>
                        <w:szCs w:val="20"/>
                      </w:rPr>
                    </w:pPr>
                  </w:p>
                </w:tc>
                <w:tc>
                  <w:tcPr>
                    <w:tcW w:w="506" w:type="pct"/>
                    <w:tcBorders>
                      <w:top w:val="single" w:color="auto" w:sz="12" w:space="0"/>
                      <w:left w:val="nil"/>
                      <w:bottom w:val="nil"/>
                      <w:right w:val="nil"/>
                    </w:tcBorders>
                    <w:shd w:val="clear" w:color="auto" w:fill="auto"/>
                    <w:noWrap/>
                    <w:vAlign w:val="bottom"/>
                    <w:hideMark/>
                  </w:tcPr>
                  <w:p w:rsidRPr="00FE7FD7" w:rsidR="002318A8" w:rsidRDefault="002318A8" w14:paraId="27B9ED60" w14:textId="77777777">
                    <w:pPr>
                      <w:rPr>
                        <w:rFonts w:ascii="Times New Roman" w:hAnsi="Times New Roman"/>
                        <w:sz w:val="20"/>
                        <w:szCs w:val="20"/>
                      </w:rPr>
                    </w:pPr>
                  </w:p>
                </w:tc>
              </w:tr>
              <w:tr w:rsidRPr="00FE7FD7" w:rsidR="002318A8" w:rsidTr="00CE3CDC" w14:paraId="068E624C"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43120B62" w14:textId="77777777">
                    <w:pPr>
                      <w:rPr>
                        <w:rFonts w:cs="Arial"/>
                        <w:sz w:val="18"/>
                        <w:szCs w:val="18"/>
                      </w:rPr>
                    </w:pPr>
                    <w:r w:rsidRPr="00FE7FD7">
                      <w:rPr>
                        <w:rFonts w:cs="Arial"/>
                        <w:sz w:val="18"/>
                        <w:szCs w:val="18"/>
                      </w:rPr>
                      <w:t>Totaal stand inkomstenkader</w:t>
                    </w:r>
                  </w:p>
                </w:tc>
                <w:tc>
                  <w:tcPr>
                    <w:tcW w:w="565" w:type="pct"/>
                    <w:tcBorders>
                      <w:top w:val="nil"/>
                      <w:left w:val="nil"/>
                      <w:bottom w:val="nil"/>
                      <w:right w:val="nil"/>
                    </w:tcBorders>
                    <w:shd w:val="clear" w:color="auto" w:fill="auto"/>
                    <w:noWrap/>
                    <w:vAlign w:val="bottom"/>
                    <w:hideMark/>
                  </w:tcPr>
                  <w:p w:rsidRPr="00FE7FD7" w:rsidR="002318A8" w:rsidRDefault="002318A8" w14:paraId="264B7DF4" w14:textId="77777777">
                    <w:pPr>
                      <w:jc w:val="right"/>
                      <w:rPr>
                        <w:rFonts w:cs="Arial"/>
                        <w:sz w:val="18"/>
                        <w:szCs w:val="18"/>
                      </w:rPr>
                    </w:pPr>
                    <w:r w:rsidRPr="00FE7FD7">
                      <w:rPr>
                        <w:rFonts w:cs="Arial"/>
                        <w:sz w:val="18"/>
                        <w:szCs w:val="18"/>
                      </w:rPr>
                      <w:t>195</w:t>
                    </w:r>
                  </w:p>
                </w:tc>
                <w:tc>
                  <w:tcPr>
                    <w:tcW w:w="506" w:type="pct"/>
                    <w:tcBorders>
                      <w:top w:val="nil"/>
                      <w:left w:val="nil"/>
                      <w:bottom w:val="nil"/>
                      <w:right w:val="nil"/>
                    </w:tcBorders>
                    <w:shd w:val="clear" w:color="auto" w:fill="auto"/>
                    <w:noWrap/>
                    <w:vAlign w:val="bottom"/>
                    <w:hideMark/>
                  </w:tcPr>
                  <w:p w:rsidRPr="00FE7FD7" w:rsidR="002318A8" w:rsidRDefault="002318A8" w14:paraId="392BBAD4" w14:textId="77777777">
                    <w:pPr>
                      <w:jc w:val="right"/>
                      <w:rPr>
                        <w:rFonts w:cs="Arial"/>
                        <w:sz w:val="18"/>
                        <w:szCs w:val="18"/>
                      </w:rPr>
                    </w:pPr>
                    <w:r w:rsidRPr="00FE7FD7">
                      <w:rPr>
                        <w:rFonts w:cs="Arial"/>
                        <w:sz w:val="18"/>
                        <w:szCs w:val="18"/>
                      </w:rPr>
                      <w:t>1006</w:t>
                    </w:r>
                  </w:p>
                </w:tc>
                <w:tc>
                  <w:tcPr>
                    <w:tcW w:w="506" w:type="pct"/>
                    <w:tcBorders>
                      <w:top w:val="nil"/>
                      <w:left w:val="nil"/>
                      <w:bottom w:val="nil"/>
                      <w:right w:val="nil"/>
                    </w:tcBorders>
                    <w:shd w:val="clear" w:color="auto" w:fill="auto"/>
                    <w:noWrap/>
                    <w:vAlign w:val="bottom"/>
                    <w:hideMark/>
                  </w:tcPr>
                  <w:p w:rsidRPr="00FE7FD7" w:rsidR="002318A8" w:rsidRDefault="002318A8" w14:paraId="5DAB31E7" w14:textId="77777777">
                    <w:pPr>
                      <w:jc w:val="right"/>
                      <w:rPr>
                        <w:rFonts w:cs="Arial"/>
                        <w:sz w:val="18"/>
                        <w:szCs w:val="18"/>
                      </w:rPr>
                    </w:pPr>
                    <w:r w:rsidRPr="00FE7FD7">
                      <w:rPr>
                        <w:rFonts w:cs="Arial"/>
                        <w:sz w:val="18"/>
                        <w:szCs w:val="18"/>
                      </w:rPr>
                      <w:t>-1149</w:t>
                    </w:r>
                  </w:p>
                </w:tc>
                <w:tc>
                  <w:tcPr>
                    <w:tcW w:w="506" w:type="pct"/>
                    <w:tcBorders>
                      <w:top w:val="nil"/>
                      <w:left w:val="nil"/>
                      <w:bottom w:val="nil"/>
                      <w:right w:val="nil"/>
                    </w:tcBorders>
                    <w:shd w:val="clear" w:color="auto" w:fill="auto"/>
                    <w:noWrap/>
                    <w:vAlign w:val="bottom"/>
                    <w:hideMark/>
                  </w:tcPr>
                  <w:p w:rsidRPr="00FE7FD7" w:rsidR="002318A8" w:rsidRDefault="002318A8" w14:paraId="0BA6516C" w14:textId="77777777">
                    <w:pPr>
                      <w:jc w:val="right"/>
                      <w:rPr>
                        <w:rFonts w:cs="Arial"/>
                        <w:sz w:val="18"/>
                        <w:szCs w:val="18"/>
                      </w:rPr>
                    </w:pPr>
                    <w:r w:rsidRPr="00FE7FD7">
                      <w:rPr>
                        <w:rFonts w:cs="Arial"/>
                        <w:sz w:val="18"/>
                        <w:szCs w:val="18"/>
                      </w:rPr>
                      <w:t>-46</w:t>
                    </w:r>
                  </w:p>
                </w:tc>
              </w:tr>
              <w:tr w:rsidRPr="00FE7FD7" w:rsidR="002318A8" w:rsidTr="00CE3CDC" w14:paraId="1E24D754"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1F5DAAB8" w14:textId="77777777">
                    <w:pPr>
                      <w:rPr>
                        <w:rFonts w:cs="Arial"/>
                        <w:sz w:val="18"/>
                        <w:szCs w:val="18"/>
                      </w:rPr>
                    </w:pPr>
                    <w:r w:rsidRPr="00FE7FD7">
                      <w:rPr>
                        <w:rFonts w:cs="Arial"/>
                        <w:sz w:val="18"/>
                        <w:szCs w:val="18"/>
                      </w:rPr>
                      <w:t xml:space="preserve">     </w:t>
                    </w:r>
                    <w:proofErr w:type="spellStart"/>
                    <w:r w:rsidRPr="00FE7FD7">
                      <w:rPr>
                        <w:rFonts w:cs="Arial"/>
                        <w:sz w:val="18"/>
                        <w:szCs w:val="18"/>
                      </w:rPr>
                      <w:t>w.v</w:t>
                    </w:r>
                    <w:proofErr w:type="spellEnd"/>
                    <w:r w:rsidRPr="00FE7FD7">
                      <w:rPr>
                        <w:rFonts w:cs="Arial"/>
                        <w:sz w:val="18"/>
                        <w:szCs w:val="18"/>
                      </w:rPr>
                      <w:t>.</w:t>
                    </w:r>
                    <w:r>
                      <w:rPr>
                        <w:rFonts w:cs="Arial"/>
                        <w:sz w:val="18"/>
                        <w:szCs w:val="18"/>
                      </w:rPr>
                      <w:t xml:space="preserve"> </w:t>
                    </w:r>
                    <w:r w:rsidRPr="00FE7FD7">
                      <w:rPr>
                        <w:rFonts w:cs="Arial"/>
                        <w:sz w:val="18"/>
                        <w:szCs w:val="18"/>
                      </w:rPr>
                      <w:t>Sch</w:t>
                    </w:r>
                    <w:r>
                      <w:rPr>
                        <w:rFonts w:cs="Arial"/>
                        <w:sz w:val="18"/>
                        <w:szCs w:val="18"/>
                      </w:rPr>
                      <w:t>r</w:t>
                    </w:r>
                    <w:r w:rsidRPr="00FE7FD7">
                      <w:rPr>
                        <w:rFonts w:cs="Arial"/>
                        <w:sz w:val="18"/>
                        <w:szCs w:val="18"/>
                      </w:rPr>
                      <w:t>appen btw-verhoging op cultuur, media sport</w:t>
                    </w:r>
                  </w:p>
                </w:tc>
                <w:tc>
                  <w:tcPr>
                    <w:tcW w:w="565" w:type="pct"/>
                    <w:tcBorders>
                      <w:top w:val="nil"/>
                      <w:left w:val="nil"/>
                      <w:bottom w:val="nil"/>
                      <w:right w:val="nil"/>
                    </w:tcBorders>
                    <w:shd w:val="clear" w:color="auto" w:fill="auto"/>
                    <w:noWrap/>
                    <w:vAlign w:val="bottom"/>
                    <w:hideMark/>
                  </w:tcPr>
                  <w:p w:rsidRPr="00FE7FD7" w:rsidR="002318A8" w:rsidRDefault="002318A8" w14:paraId="676B15A8" w14:textId="77777777">
                    <w:pPr>
                      <w:rPr>
                        <w:rFonts w:cs="Arial"/>
                        <w:sz w:val="18"/>
                        <w:szCs w:val="18"/>
                      </w:rPr>
                    </w:pPr>
                  </w:p>
                </w:tc>
                <w:tc>
                  <w:tcPr>
                    <w:tcW w:w="506" w:type="pct"/>
                    <w:tcBorders>
                      <w:top w:val="nil"/>
                      <w:left w:val="nil"/>
                      <w:bottom w:val="nil"/>
                      <w:right w:val="nil"/>
                    </w:tcBorders>
                    <w:shd w:val="clear" w:color="auto" w:fill="auto"/>
                    <w:noWrap/>
                    <w:vAlign w:val="bottom"/>
                    <w:hideMark/>
                  </w:tcPr>
                  <w:p w:rsidRPr="00FE7FD7" w:rsidR="002318A8" w:rsidRDefault="002318A8" w14:paraId="122AAC72" w14:textId="77777777">
                    <w:pPr>
                      <w:jc w:val="right"/>
                      <w:rPr>
                        <w:rFonts w:cs="Arial"/>
                        <w:sz w:val="18"/>
                        <w:szCs w:val="18"/>
                      </w:rPr>
                    </w:pPr>
                    <w:r w:rsidRPr="00FE7FD7">
                      <w:rPr>
                        <w:rFonts w:cs="Arial"/>
                        <w:sz w:val="18"/>
                        <w:szCs w:val="18"/>
                      </w:rPr>
                      <w:t>-1326</w:t>
                    </w:r>
                  </w:p>
                </w:tc>
                <w:tc>
                  <w:tcPr>
                    <w:tcW w:w="506" w:type="pct"/>
                    <w:tcBorders>
                      <w:top w:val="nil"/>
                      <w:left w:val="nil"/>
                      <w:bottom w:val="nil"/>
                      <w:right w:val="nil"/>
                    </w:tcBorders>
                    <w:shd w:val="clear" w:color="auto" w:fill="auto"/>
                    <w:noWrap/>
                    <w:vAlign w:val="bottom"/>
                    <w:hideMark/>
                  </w:tcPr>
                  <w:p w:rsidRPr="00FE7FD7" w:rsidR="002318A8" w:rsidRDefault="002318A8" w14:paraId="0A263FCC" w14:textId="77777777">
                    <w:pPr>
                      <w:jc w:val="right"/>
                      <w:rPr>
                        <w:rFonts w:cs="Arial"/>
                        <w:sz w:val="18"/>
                        <w:szCs w:val="18"/>
                      </w:rPr>
                    </w:pPr>
                    <w:r w:rsidRPr="00FE7FD7">
                      <w:rPr>
                        <w:rFonts w:cs="Arial"/>
                        <w:sz w:val="18"/>
                        <w:szCs w:val="18"/>
                      </w:rPr>
                      <w:t>-1326</w:t>
                    </w:r>
                  </w:p>
                </w:tc>
                <w:tc>
                  <w:tcPr>
                    <w:tcW w:w="506" w:type="pct"/>
                    <w:tcBorders>
                      <w:top w:val="nil"/>
                      <w:left w:val="nil"/>
                      <w:bottom w:val="nil"/>
                      <w:right w:val="nil"/>
                    </w:tcBorders>
                    <w:shd w:val="clear" w:color="auto" w:fill="auto"/>
                    <w:noWrap/>
                    <w:vAlign w:val="bottom"/>
                    <w:hideMark/>
                  </w:tcPr>
                  <w:p w:rsidRPr="00FE7FD7" w:rsidR="002318A8" w:rsidRDefault="002318A8" w14:paraId="786A394A" w14:textId="77777777">
                    <w:pPr>
                      <w:jc w:val="right"/>
                      <w:rPr>
                        <w:rFonts w:cs="Arial"/>
                        <w:sz w:val="18"/>
                        <w:szCs w:val="18"/>
                      </w:rPr>
                    </w:pPr>
                    <w:r w:rsidRPr="00FE7FD7">
                      <w:rPr>
                        <w:rFonts w:cs="Arial"/>
                        <w:sz w:val="18"/>
                        <w:szCs w:val="18"/>
                      </w:rPr>
                      <w:t>-1326</w:t>
                    </w:r>
                  </w:p>
                </w:tc>
              </w:tr>
              <w:tr w:rsidRPr="00FE7FD7" w:rsidR="002318A8" w:rsidTr="00CE3CDC" w14:paraId="67801A5C"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06656658" w14:textId="77777777">
                    <w:pPr>
                      <w:rPr>
                        <w:rFonts w:cs="Arial"/>
                        <w:sz w:val="18"/>
                        <w:szCs w:val="18"/>
                      </w:rPr>
                    </w:pPr>
                    <w:r w:rsidRPr="00FE7FD7">
                      <w:rPr>
                        <w:rFonts w:cs="Arial"/>
                        <w:sz w:val="18"/>
                        <w:szCs w:val="18"/>
                      </w:rPr>
                      <w:t xml:space="preserve">           Beperkt toepassen tabelcorrectiefactor</w:t>
                    </w:r>
                  </w:p>
                </w:tc>
                <w:tc>
                  <w:tcPr>
                    <w:tcW w:w="565" w:type="pct"/>
                    <w:tcBorders>
                      <w:top w:val="nil"/>
                      <w:left w:val="nil"/>
                      <w:bottom w:val="nil"/>
                      <w:right w:val="nil"/>
                    </w:tcBorders>
                    <w:shd w:val="clear" w:color="auto" w:fill="auto"/>
                    <w:noWrap/>
                    <w:vAlign w:val="bottom"/>
                    <w:hideMark/>
                  </w:tcPr>
                  <w:p w:rsidRPr="00FE7FD7" w:rsidR="002318A8" w:rsidRDefault="002318A8" w14:paraId="7B13F39D" w14:textId="77777777">
                    <w:pPr>
                      <w:rPr>
                        <w:rFonts w:cs="Arial"/>
                        <w:sz w:val="18"/>
                        <w:szCs w:val="18"/>
                      </w:rPr>
                    </w:pPr>
                  </w:p>
                </w:tc>
                <w:tc>
                  <w:tcPr>
                    <w:tcW w:w="506" w:type="pct"/>
                    <w:tcBorders>
                      <w:top w:val="nil"/>
                      <w:left w:val="nil"/>
                      <w:bottom w:val="nil"/>
                      <w:right w:val="nil"/>
                    </w:tcBorders>
                    <w:shd w:val="clear" w:color="auto" w:fill="auto"/>
                    <w:noWrap/>
                    <w:vAlign w:val="bottom"/>
                    <w:hideMark/>
                  </w:tcPr>
                  <w:p w:rsidRPr="00FE7FD7" w:rsidR="002318A8" w:rsidRDefault="002318A8" w14:paraId="4775D056" w14:textId="77777777">
                    <w:pPr>
                      <w:jc w:val="right"/>
                      <w:rPr>
                        <w:rFonts w:cs="Arial"/>
                        <w:sz w:val="18"/>
                        <w:szCs w:val="18"/>
                      </w:rPr>
                    </w:pPr>
                    <w:r w:rsidRPr="00FE7FD7">
                      <w:rPr>
                        <w:rFonts w:cs="Arial"/>
                        <w:sz w:val="18"/>
                        <w:szCs w:val="18"/>
                      </w:rPr>
                      <w:t>1336</w:t>
                    </w:r>
                  </w:p>
                </w:tc>
                <w:tc>
                  <w:tcPr>
                    <w:tcW w:w="506" w:type="pct"/>
                    <w:tcBorders>
                      <w:top w:val="nil"/>
                      <w:left w:val="nil"/>
                      <w:bottom w:val="nil"/>
                      <w:right w:val="nil"/>
                    </w:tcBorders>
                    <w:shd w:val="clear" w:color="auto" w:fill="auto"/>
                    <w:noWrap/>
                    <w:vAlign w:val="bottom"/>
                    <w:hideMark/>
                  </w:tcPr>
                  <w:p w:rsidRPr="00FE7FD7" w:rsidR="002318A8" w:rsidRDefault="002318A8" w14:paraId="0DC6484A" w14:textId="77777777">
                    <w:pPr>
                      <w:jc w:val="right"/>
                      <w:rPr>
                        <w:rFonts w:cs="Arial"/>
                        <w:sz w:val="18"/>
                        <w:szCs w:val="18"/>
                      </w:rPr>
                    </w:pPr>
                    <w:r w:rsidRPr="00FE7FD7">
                      <w:rPr>
                        <w:rFonts w:cs="Arial"/>
                        <w:sz w:val="18"/>
                        <w:szCs w:val="18"/>
                      </w:rPr>
                      <w:t>1336</w:t>
                    </w:r>
                  </w:p>
                </w:tc>
                <w:tc>
                  <w:tcPr>
                    <w:tcW w:w="506" w:type="pct"/>
                    <w:tcBorders>
                      <w:top w:val="nil"/>
                      <w:left w:val="nil"/>
                      <w:bottom w:val="nil"/>
                      <w:right w:val="nil"/>
                    </w:tcBorders>
                    <w:shd w:val="clear" w:color="auto" w:fill="auto"/>
                    <w:noWrap/>
                    <w:vAlign w:val="bottom"/>
                    <w:hideMark/>
                  </w:tcPr>
                  <w:p w:rsidRPr="00FE7FD7" w:rsidR="002318A8" w:rsidRDefault="002318A8" w14:paraId="0ACFF895" w14:textId="77777777">
                    <w:pPr>
                      <w:jc w:val="right"/>
                      <w:rPr>
                        <w:rFonts w:cs="Arial"/>
                        <w:sz w:val="18"/>
                        <w:szCs w:val="18"/>
                      </w:rPr>
                    </w:pPr>
                    <w:r w:rsidRPr="00FE7FD7">
                      <w:rPr>
                        <w:rFonts w:cs="Arial"/>
                        <w:sz w:val="18"/>
                        <w:szCs w:val="18"/>
                      </w:rPr>
                      <w:t>1336</w:t>
                    </w:r>
                  </w:p>
                </w:tc>
              </w:tr>
              <w:tr w:rsidRPr="00FE7FD7" w:rsidR="002318A8" w:rsidTr="00CE3CDC" w14:paraId="28DE8392"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38801809" w14:textId="77777777">
                    <w:pPr>
                      <w:rPr>
                        <w:rFonts w:cs="Arial"/>
                        <w:sz w:val="18"/>
                        <w:szCs w:val="18"/>
                      </w:rPr>
                    </w:pPr>
                    <w:r w:rsidRPr="00FE7FD7">
                      <w:rPr>
                        <w:rFonts w:cs="Arial"/>
                        <w:sz w:val="18"/>
                        <w:szCs w:val="18"/>
                      </w:rPr>
                      <w:t xml:space="preserve">           Box 3</w:t>
                    </w:r>
                  </w:p>
                </w:tc>
                <w:tc>
                  <w:tcPr>
                    <w:tcW w:w="565" w:type="pct"/>
                    <w:tcBorders>
                      <w:top w:val="nil"/>
                      <w:left w:val="nil"/>
                      <w:bottom w:val="nil"/>
                      <w:right w:val="nil"/>
                    </w:tcBorders>
                    <w:shd w:val="clear" w:color="auto" w:fill="auto"/>
                    <w:noWrap/>
                    <w:vAlign w:val="bottom"/>
                    <w:hideMark/>
                  </w:tcPr>
                  <w:p w:rsidRPr="00FE7FD7" w:rsidR="002318A8" w:rsidRDefault="002318A8" w14:paraId="2526D83B" w14:textId="77777777">
                    <w:pPr>
                      <w:rPr>
                        <w:rFonts w:cs="Arial"/>
                        <w:sz w:val="18"/>
                        <w:szCs w:val="18"/>
                      </w:rPr>
                    </w:pPr>
                  </w:p>
                </w:tc>
                <w:tc>
                  <w:tcPr>
                    <w:tcW w:w="506" w:type="pct"/>
                    <w:tcBorders>
                      <w:top w:val="nil"/>
                      <w:left w:val="nil"/>
                      <w:bottom w:val="nil"/>
                      <w:right w:val="nil"/>
                    </w:tcBorders>
                    <w:shd w:val="clear" w:color="auto" w:fill="auto"/>
                    <w:noWrap/>
                    <w:vAlign w:val="bottom"/>
                    <w:hideMark/>
                  </w:tcPr>
                  <w:p w:rsidRPr="00FE7FD7" w:rsidR="002318A8" w:rsidRDefault="002318A8" w14:paraId="5E42036F" w14:textId="77777777">
                    <w:pPr>
                      <w:rPr>
                        <w:rFonts w:ascii="Times New Roman" w:hAnsi="Times New Roman"/>
                        <w:sz w:val="20"/>
                        <w:szCs w:val="20"/>
                      </w:rPr>
                    </w:pPr>
                  </w:p>
                </w:tc>
                <w:tc>
                  <w:tcPr>
                    <w:tcW w:w="506" w:type="pct"/>
                    <w:tcBorders>
                      <w:top w:val="nil"/>
                      <w:left w:val="nil"/>
                      <w:bottom w:val="nil"/>
                      <w:right w:val="nil"/>
                    </w:tcBorders>
                    <w:shd w:val="clear" w:color="auto" w:fill="auto"/>
                    <w:noWrap/>
                    <w:vAlign w:val="bottom"/>
                    <w:hideMark/>
                  </w:tcPr>
                  <w:p w:rsidRPr="00FE7FD7" w:rsidR="002318A8" w:rsidRDefault="002318A8" w14:paraId="258A956A" w14:textId="77777777">
                    <w:pPr>
                      <w:rPr>
                        <w:rFonts w:ascii="Times New Roman" w:hAnsi="Times New Roman"/>
                        <w:sz w:val="20"/>
                        <w:szCs w:val="20"/>
                      </w:rPr>
                    </w:pPr>
                  </w:p>
                </w:tc>
                <w:tc>
                  <w:tcPr>
                    <w:tcW w:w="506" w:type="pct"/>
                    <w:tcBorders>
                      <w:top w:val="nil"/>
                      <w:left w:val="nil"/>
                      <w:bottom w:val="nil"/>
                      <w:right w:val="nil"/>
                    </w:tcBorders>
                    <w:shd w:val="clear" w:color="auto" w:fill="auto"/>
                    <w:noWrap/>
                    <w:vAlign w:val="bottom"/>
                    <w:hideMark/>
                  </w:tcPr>
                  <w:p w:rsidRPr="00FE7FD7" w:rsidR="002318A8" w:rsidRDefault="002318A8" w14:paraId="5092C00D" w14:textId="77777777">
                    <w:pPr>
                      <w:rPr>
                        <w:rFonts w:ascii="Times New Roman" w:hAnsi="Times New Roman"/>
                        <w:sz w:val="20"/>
                        <w:szCs w:val="20"/>
                      </w:rPr>
                    </w:pPr>
                  </w:p>
                </w:tc>
              </w:tr>
              <w:tr w:rsidRPr="00FE7FD7" w:rsidR="002318A8" w:rsidTr="00CE3CDC" w14:paraId="1425FFFB"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7B6A5180" w14:textId="77777777">
                    <w:pPr>
                      <w:rPr>
                        <w:rFonts w:cs="Arial"/>
                        <w:sz w:val="18"/>
                        <w:szCs w:val="18"/>
                      </w:rPr>
                    </w:pPr>
                    <w:r w:rsidRPr="00FE7FD7">
                      <w:rPr>
                        <w:rFonts w:cs="Arial"/>
                        <w:sz w:val="18"/>
                        <w:szCs w:val="18"/>
                      </w:rPr>
                      <w:t xml:space="preserve">           Uitstel WRR</w:t>
                    </w:r>
                  </w:p>
                </w:tc>
                <w:tc>
                  <w:tcPr>
                    <w:tcW w:w="565" w:type="pct"/>
                    <w:tcBorders>
                      <w:top w:val="nil"/>
                      <w:left w:val="nil"/>
                      <w:bottom w:val="nil"/>
                      <w:right w:val="nil"/>
                    </w:tcBorders>
                    <w:shd w:val="clear" w:color="auto" w:fill="auto"/>
                    <w:noWrap/>
                    <w:vAlign w:val="bottom"/>
                    <w:hideMark/>
                  </w:tcPr>
                  <w:p w:rsidRPr="00FE7FD7" w:rsidR="002318A8" w:rsidRDefault="002318A8" w14:paraId="38C5970F" w14:textId="77777777">
                    <w:pPr>
                      <w:jc w:val="right"/>
                      <w:rPr>
                        <w:rFonts w:cs="Arial"/>
                        <w:sz w:val="18"/>
                        <w:szCs w:val="18"/>
                      </w:rPr>
                    </w:pPr>
                    <w:r w:rsidRPr="00FE7FD7">
                      <w:rPr>
                        <w:rFonts w:cs="Arial"/>
                        <w:sz w:val="18"/>
                        <w:szCs w:val="18"/>
                      </w:rPr>
                      <w:t>190</w:t>
                    </w:r>
                  </w:p>
                </w:tc>
                <w:tc>
                  <w:tcPr>
                    <w:tcW w:w="506" w:type="pct"/>
                    <w:tcBorders>
                      <w:top w:val="nil"/>
                      <w:left w:val="nil"/>
                      <w:bottom w:val="nil"/>
                      <w:right w:val="nil"/>
                    </w:tcBorders>
                    <w:shd w:val="clear" w:color="auto" w:fill="auto"/>
                    <w:noWrap/>
                    <w:vAlign w:val="bottom"/>
                    <w:hideMark/>
                  </w:tcPr>
                  <w:p w:rsidRPr="00FE7FD7" w:rsidR="002318A8" w:rsidRDefault="002318A8" w14:paraId="0F40E229" w14:textId="77777777">
                    <w:pPr>
                      <w:jc w:val="right"/>
                      <w:rPr>
                        <w:rFonts w:cs="Arial"/>
                        <w:sz w:val="18"/>
                        <w:szCs w:val="18"/>
                      </w:rPr>
                    </w:pPr>
                    <w:r w:rsidRPr="00FE7FD7">
                      <w:rPr>
                        <w:rFonts w:cs="Arial"/>
                        <w:sz w:val="18"/>
                        <w:szCs w:val="18"/>
                      </w:rPr>
                      <w:t>-1</w:t>
                    </w:r>
                    <w:r>
                      <w:rPr>
                        <w:rFonts w:cs="Arial"/>
                        <w:sz w:val="18"/>
                        <w:szCs w:val="18"/>
                      </w:rPr>
                      <w:t>89</w:t>
                    </w:r>
                  </w:p>
                </w:tc>
                <w:tc>
                  <w:tcPr>
                    <w:tcW w:w="506" w:type="pct"/>
                    <w:tcBorders>
                      <w:top w:val="nil"/>
                      <w:left w:val="nil"/>
                      <w:bottom w:val="nil"/>
                      <w:right w:val="nil"/>
                    </w:tcBorders>
                    <w:shd w:val="clear" w:color="auto" w:fill="auto"/>
                    <w:noWrap/>
                    <w:vAlign w:val="bottom"/>
                    <w:hideMark/>
                  </w:tcPr>
                  <w:p w:rsidRPr="00FE7FD7" w:rsidR="002318A8" w:rsidRDefault="002318A8" w14:paraId="4730EBDA" w14:textId="77777777">
                    <w:pPr>
                      <w:jc w:val="right"/>
                      <w:rPr>
                        <w:rFonts w:cs="Arial"/>
                        <w:sz w:val="18"/>
                        <w:szCs w:val="18"/>
                      </w:rPr>
                    </w:pPr>
                    <w:r w:rsidRPr="00FE7FD7">
                      <w:rPr>
                        <w:rFonts w:cs="Arial"/>
                        <w:sz w:val="18"/>
                        <w:szCs w:val="18"/>
                      </w:rPr>
                      <w:t>-2381</w:t>
                    </w:r>
                  </w:p>
                </w:tc>
                <w:tc>
                  <w:tcPr>
                    <w:tcW w:w="506" w:type="pct"/>
                    <w:tcBorders>
                      <w:top w:val="nil"/>
                      <w:left w:val="nil"/>
                      <w:bottom w:val="nil"/>
                      <w:right w:val="nil"/>
                    </w:tcBorders>
                    <w:shd w:val="clear" w:color="auto" w:fill="auto"/>
                    <w:noWrap/>
                    <w:vAlign w:val="bottom"/>
                    <w:hideMark/>
                  </w:tcPr>
                  <w:p w:rsidRPr="00FE7FD7" w:rsidR="002318A8" w:rsidRDefault="002318A8" w14:paraId="3AD4E370" w14:textId="77777777">
                    <w:pPr>
                      <w:jc w:val="right"/>
                      <w:rPr>
                        <w:rFonts w:cs="Arial"/>
                        <w:sz w:val="18"/>
                        <w:szCs w:val="18"/>
                      </w:rPr>
                    </w:pPr>
                  </w:p>
                </w:tc>
              </w:tr>
              <w:tr w:rsidRPr="00FE7FD7" w:rsidR="002318A8" w:rsidTr="00CE3CDC" w14:paraId="2FEB9C0A" w14:textId="77777777">
                <w:trPr>
                  <w:trHeight w:val="240"/>
                </w:trPr>
                <w:tc>
                  <w:tcPr>
                    <w:tcW w:w="3483" w:type="pct"/>
                    <w:gridSpan w:val="2"/>
                    <w:tcBorders>
                      <w:top w:val="nil"/>
                      <w:left w:val="nil"/>
                      <w:bottom w:val="nil"/>
                      <w:right w:val="nil"/>
                    </w:tcBorders>
                    <w:shd w:val="clear" w:color="auto" w:fill="auto"/>
                    <w:noWrap/>
                    <w:vAlign w:val="bottom"/>
                    <w:hideMark/>
                  </w:tcPr>
                  <w:p w:rsidRPr="00FE7FD7" w:rsidR="002318A8" w:rsidRDefault="002318A8" w14:paraId="10D9EDD1" w14:textId="77777777">
                    <w:pPr>
                      <w:rPr>
                        <w:rFonts w:cs="Arial"/>
                        <w:sz w:val="18"/>
                        <w:szCs w:val="18"/>
                      </w:rPr>
                    </w:pPr>
                    <w:r w:rsidRPr="00FE7FD7">
                      <w:rPr>
                        <w:rFonts w:cs="Arial"/>
                        <w:sz w:val="18"/>
                        <w:szCs w:val="18"/>
                      </w:rPr>
                      <w:t xml:space="preserve">           Dekking d.m.v. verhoging forfait </w:t>
                    </w:r>
                    <w:r>
                      <w:rPr>
                        <w:rFonts w:cs="Arial"/>
                        <w:sz w:val="18"/>
                        <w:szCs w:val="18"/>
                      </w:rPr>
                      <w:t xml:space="preserve">incl. </w:t>
                    </w:r>
                    <w:r w:rsidRPr="008C5BF1">
                      <w:rPr>
                        <w:rFonts w:cs="Arial"/>
                        <w:sz w:val="18"/>
                        <w:szCs w:val="18"/>
                      </w:rPr>
                      <w:t>verl</w:t>
                    </w:r>
                    <w:r>
                      <w:rPr>
                        <w:rFonts w:cs="Arial"/>
                        <w:sz w:val="18"/>
                        <w:szCs w:val="18"/>
                      </w:rPr>
                      <w:t xml:space="preserve">aging </w:t>
                    </w:r>
                    <w:r w:rsidRPr="00FE7FD7">
                      <w:rPr>
                        <w:rFonts w:cs="Arial"/>
                        <w:sz w:val="18"/>
                        <w:szCs w:val="18"/>
                      </w:rPr>
                      <w:t xml:space="preserve">heffingsvrij </w:t>
                    </w:r>
                    <w:r>
                      <w:rPr>
                        <w:rFonts w:cs="Arial"/>
                        <w:sz w:val="18"/>
                        <w:szCs w:val="18"/>
                      </w:rPr>
                      <w:tab/>
                    </w:r>
                    <w:r w:rsidRPr="00FE7FD7">
                      <w:rPr>
                        <w:rFonts w:cs="Arial"/>
                        <w:sz w:val="18"/>
                        <w:szCs w:val="18"/>
                      </w:rPr>
                      <w:t>vermogen</w:t>
                    </w:r>
                  </w:p>
                </w:tc>
                <w:tc>
                  <w:tcPr>
                    <w:tcW w:w="506" w:type="pct"/>
                    <w:tcBorders>
                      <w:top w:val="nil"/>
                      <w:left w:val="nil"/>
                      <w:bottom w:val="nil"/>
                      <w:right w:val="nil"/>
                    </w:tcBorders>
                    <w:shd w:val="clear" w:color="auto" w:fill="auto"/>
                    <w:noWrap/>
                    <w:vAlign w:val="bottom"/>
                    <w:hideMark/>
                  </w:tcPr>
                  <w:p w:rsidRPr="00FE7FD7" w:rsidR="002318A8" w:rsidRDefault="002318A8" w14:paraId="13853628" w14:textId="77777777">
                    <w:pPr>
                      <w:jc w:val="right"/>
                      <w:rPr>
                        <w:rFonts w:cs="Arial"/>
                        <w:sz w:val="18"/>
                        <w:szCs w:val="18"/>
                      </w:rPr>
                    </w:pPr>
                    <w:r w:rsidRPr="00FE7FD7">
                      <w:rPr>
                        <w:rFonts w:cs="Arial"/>
                        <w:sz w:val="18"/>
                        <w:szCs w:val="18"/>
                      </w:rPr>
                      <w:t>1267</w:t>
                    </w:r>
                  </w:p>
                </w:tc>
                <w:tc>
                  <w:tcPr>
                    <w:tcW w:w="506" w:type="pct"/>
                    <w:tcBorders>
                      <w:top w:val="nil"/>
                      <w:left w:val="nil"/>
                      <w:bottom w:val="nil"/>
                      <w:right w:val="nil"/>
                    </w:tcBorders>
                    <w:shd w:val="clear" w:color="auto" w:fill="auto"/>
                    <w:noWrap/>
                    <w:vAlign w:val="bottom"/>
                    <w:hideMark/>
                  </w:tcPr>
                  <w:p w:rsidRPr="00FE7FD7" w:rsidR="002318A8" w:rsidRDefault="002318A8" w14:paraId="787B5E17" w14:textId="77777777">
                    <w:pPr>
                      <w:jc w:val="right"/>
                      <w:rPr>
                        <w:rFonts w:cs="Arial"/>
                        <w:sz w:val="18"/>
                        <w:szCs w:val="18"/>
                      </w:rPr>
                    </w:pPr>
                    <w:r w:rsidRPr="00FE7FD7">
                      <w:rPr>
                        <w:rFonts w:cs="Arial"/>
                        <w:sz w:val="18"/>
                        <w:szCs w:val="18"/>
                      </w:rPr>
                      <w:t>1267</w:t>
                    </w:r>
                  </w:p>
                </w:tc>
                <w:tc>
                  <w:tcPr>
                    <w:tcW w:w="506" w:type="pct"/>
                    <w:tcBorders>
                      <w:top w:val="nil"/>
                      <w:left w:val="nil"/>
                      <w:bottom w:val="nil"/>
                      <w:right w:val="nil"/>
                    </w:tcBorders>
                    <w:shd w:val="clear" w:color="auto" w:fill="auto"/>
                    <w:noWrap/>
                    <w:vAlign w:val="bottom"/>
                    <w:hideMark/>
                  </w:tcPr>
                  <w:p w:rsidRPr="00FE7FD7" w:rsidR="002318A8" w:rsidRDefault="002318A8" w14:paraId="2FD59616" w14:textId="77777777">
                    <w:pPr>
                      <w:jc w:val="right"/>
                      <w:rPr>
                        <w:rFonts w:cs="Arial"/>
                        <w:sz w:val="18"/>
                        <w:szCs w:val="18"/>
                      </w:rPr>
                    </w:pPr>
                  </w:p>
                </w:tc>
              </w:tr>
              <w:tr w:rsidRPr="00FE7FD7" w:rsidR="002318A8" w:rsidTr="00CE3CDC" w14:paraId="2B7A5830"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7CCE017F" w14:textId="77777777">
                    <w:pPr>
                      <w:rPr>
                        <w:rFonts w:cs="Arial"/>
                        <w:sz w:val="18"/>
                        <w:szCs w:val="18"/>
                      </w:rPr>
                    </w:pPr>
                    <w:r w:rsidRPr="00FE7FD7">
                      <w:rPr>
                        <w:rFonts w:cs="Arial"/>
                        <w:sz w:val="18"/>
                        <w:szCs w:val="18"/>
                      </w:rPr>
                      <w:t xml:space="preserve">           Verhoging arbeidsongeschiktheidspremies</w:t>
                    </w:r>
                  </w:p>
                </w:tc>
                <w:tc>
                  <w:tcPr>
                    <w:tcW w:w="565" w:type="pct"/>
                    <w:tcBorders>
                      <w:top w:val="nil"/>
                      <w:left w:val="nil"/>
                      <w:bottom w:val="nil"/>
                      <w:right w:val="nil"/>
                    </w:tcBorders>
                    <w:shd w:val="clear" w:color="auto" w:fill="auto"/>
                    <w:noWrap/>
                    <w:vAlign w:val="bottom"/>
                    <w:hideMark/>
                  </w:tcPr>
                  <w:p w:rsidRPr="00FE7FD7" w:rsidR="002318A8" w:rsidRDefault="002318A8" w14:paraId="061C6B7D" w14:textId="77777777">
                    <w:pPr>
                      <w:rPr>
                        <w:rFonts w:cs="Arial"/>
                        <w:sz w:val="18"/>
                        <w:szCs w:val="18"/>
                      </w:rPr>
                    </w:pPr>
                  </w:p>
                </w:tc>
                <w:tc>
                  <w:tcPr>
                    <w:tcW w:w="506" w:type="pct"/>
                    <w:tcBorders>
                      <w:top w:val="nil"/>
                      <w:left w:val="nil"/>
                      <w:bottom w:val="nil"/>
                      <w:right w:val="nil"/>
                    </w:tcBorders>
                    <w:shd w:val="clear" w:color="auto" w:fill="auto"/>
                    <w:noWrap/>
                    <w:vAlign w:val="bottom"/>
                    <w:hideMark/>
                  </w:tcPr>
                  <w:p w:rsidRPr="00FE7FD7" w:rsidR="002318A8" w:rsidRDefault="002318A8" w14:paraId="0B5441C0" w14:textId="77777777">
                    <w:pPr>
                      <w:jc w:val="right"/>
                      <w:rPr>
                        <w:rFonts w:cs="Arial"/>
                        <w:sz w:val="18"/>
                        <w:szCs w:val="18"/>
                      </w:rPr>
                    </w:pPr>
                    <w:r w:rsidRPr="00FE7FD7">
                      <w:rPr>
                        <w:rFonts w:cs="Arial"/>
                        <w:sz w:val="18"/>
                        <w:szCs w:val="18"/>
                      </w:rPr>
                      <w:t>225</w:t>
                    </w:r>
                  </w:p>
                </w:tc>
                <w:tc>
                  <w:tcPr>
                    <w:tcW w:w="506" w:type="pct"/>
                    <w:tcBorders>
                      <w:top w:val="nil"/>
                      <w:left w:val="nil"/>
                      <w:bottom w:val="nil"/>
                      <w:right w:val="nil"/>
                    </w:tcBorders>
                    <w:shd w:val="clear" w:color="auto" w:fill="auto"/>
                    <w:noWrap/>
                    <w:vAlign w:val="bottom"/>
                    <w:hideMark/>
                  </w:tcPr>
                  <w:p w:rsidRPr="00FE7FD7" w:rsidR="002318A8" w:rsidRDefault="002318A8" w14:paraId="3A6B2417" w14:textId="77777777">
                    <w:pPr>
                      <w:jc w:val="right"/>
                      <w:rPr>
                        <w:rFonts w:cs="Arial"/>
                        <w:sz w:val="18"/>
                        <w:szCs w:val="18"/>
                      </w:rPr>
                    </w:pPr>
                    <w:r w:rsidRPr="00FE7FD7">
                      <w:rPr>
                        <w:rFonts w:cs="Arial"/>
                        <w:sz w:val="18"/>
                        <w:szCs w:val="18"/>
                      </w:rPr>
                      <w:t>225</w:t>
                    </w:r>
                  </w:p>
                </w:tc>
                <w:tc>
                  <w:tcPr>
                    <w:tcW w:w="506" w:type="pct"/>
                    <w:tcBorders>
                      <w:top w:val="nil"/>
                      <w:left w:val="nil"/>
                      <w:bottom w:val="nil"/>
                      <w:right w:val="nil"/>
                    </w:tcBorders>
                    <w:shd w:val="clear" w:color="auto" w:fill="auto"/>
                    <w:noWrap/>
                    <w:vAlign w:val="bottom"/>
                    <w:hideMark/>
                  </w:tcPr>
                  <w:p w:rsidRPr="00FE7FD7" w:rsidR="002318A8" w:rsidRDefault="002318A8" w14:paraId="3B5448D1" w14:textId="77777777">
                    <w:pPr>
                      <w:jc w:val="right"/>
                      <w:rPr>
                        <w:rFonts w:cs="Arial"/>
                        <w:sz w:val="18"/>
                        <w:szCs w:val="18"/>
                      </w:rPr>
                    </w:pPr>
                    <w:r w:rsidRPr="00FE7FD7">
                      <w:rPr>
                        <w:rFonts w:cs="Arial"/>
                        <w:sz w:val="18"/>
                        <w:szCs w:val="18"/>
                      </w:rPr>
                      <w:t>225</w:t>
                    </w:r>
                  </w:p>
                </w:tc>
              </w:tr>
              <w:tr w:rsidRPr="00FE7FD7" w:rsidR="002318A8" w:rsidTr="00CE3CDC" w14:paraId="6170BF7F" w14:textId="77777777">
                <w:trPr>
                  <w:trHeight w:val="240"/>
                </w:trPr>
                <w:tc>
                  <w:tcPr>
                    <w:tcW w:w="2918" w:type="pct"/>
                    <w:tcBorders>
                      <w:top w:val="nil"/>
                      <w:left w:val="nil"/>
                      <w:bottom w:val="nil"/>
                      <w:right w:val="nil"/>
                    </w:tcBorders>
                    <w:shd w:val="clear" w:color="auto" w:fill="auto"/>
                    <w:noWrap/>
                    <w:vAlign w:val="bottom"/>
                    <w:hideMark/>
                  </w:tcPr>
                  <w:p w:rsidRPr="00FE7FD7" w:rsidR="002318A8" w:rsidRDefault="002318A8" w14:paraId="0F95F03F" w14:textId="77777777">
                    <w:pPr>
                      <w:rPr>
                        <w:rFonts w:cs="Arial"/>
                        <w:sz w:val="18"/>
                        <w:szCs w:val="18"/>
                      </w:rPr>
                    </w:pPr>
                    <w:r w:rsidRPr="00FE7FD7">
                      <w:rPr>
                        <w:rFonts w:cs="Arial"/>
                        <w:sz w:val="18"/>
                        <w:szCs w:val="18"/>
                      </w:rPr>
                      <w:t xml:space="preserve">           Verlaging energiebelasting huisho</w:t>
                    </w:r>
                    <w:r>
                      <w:rPr>
                        <w:rFonts w:cs="Arial"/>
                        <w:sz w:val="18"/>
                        <w:szCs w:val="18"/>
                      </w:rPr>
                      <w:t>u</w:t>
                    </w:r>
                    <w:r w:rsidRPr="00FE7FD7">
                      <w:rPr>
                        <w:rFonts w:cs="Arial"/>
                        <w:sz w:val="18"/>
                        <w:szCs w:val="18"/>
                      </w:rPr>
                      <w:t xml:space="preserve">dens  </w:t>
                    </w:r>
                  </w:p>
                </w:tc>
                <w:tc>
                  <w:tcPr>
                    <w:tcW w:w="565" w:type="pct"/>
                    <w:tcBorders>
                      <w:top w:val="nil"/>
                      <w:left w:val="nil"/>
                      <w:bottom w:val="nil"/>
                      <w:right w:val="nil"/>
                    </w:tcBorders>
                    <w:shd w:val="clear" w:color="auto" w:fill="auto"/>
                    <w:noWrap/>
                    <w:vAlign w:val="bottom"/>
                    <w:hideMark/>
                  </w:tcPr>
                  <w:p w:rsidRPr="00FE7FD7" w:rsidR="002318A8" w:rsidRDefault="002318A8" w14:paraId="062E6D51" w14:textId="77777777">
                    <w:pPr>
                      <w:rPr>
                        <w:rFonts w:cs="Arial"/>
                        <w:sz w:val="18"/>
                        <w:szCs w:val="18"/>
                      </w:rPr>
                    </w:pPr>
                  </w:p>
                </w:tc>
                <w:tc>
                  <w:tcPr>
                    <w:tcW w:w="506" w:type="pct"/>
                    <w:tcBorders>
                      <w:top w:val="nil"/>
                      <w:left w:val="nil"/>
                      <w:bottom w:val="nil"/>
                      <w:right w:val="nil"/>
                    </w:tcBorders>
                    <w:shd w:val="clear" w:color="auto" w:fill="auto"/>
                    <w:noWrap/>
                    <w:vAlign w:val="bottom"/>
                    <w:hideMark/>
                  </w:tcPr>
                  <w:p w:rsidRPr="00FE7FD7" w:rsidR="002318A8" w:rsidRDefault="002318A8" w14:paraId="3E247A64" w14:textId="77777777">
                    <w:pPr>
                      <w:jc w:val="right"/>
                      <w:rPr>
                        <w:rFonts w:cs="Arial"/>
                        <w:sz w:val="18"/>
                        <w:szCs w:val="18"/>
                      </w:rPr>
                    </w:pPr>
                    <w:r w:rsidRPr="00FE7FD7">
                      <w:rPr>
                        <w:rFonts w:cs="Arial"/>
                        <w:sz w:val="18"/>
                        <w:szCs w:val="18"/>
                      </w:rPr>
                      <w:t>-200</w:t>
                    </w:r>
                  </w:p>
                </w:tc>
                <w:tc>
                  <w:tcPr>
                    <w:tcW w:w="506" w:type="pct"/>
                    <w:tcBorders>
                      <w:top w:val="nil"/>
                      <w:left w:val="nil"/>
                      <w:bottom w:val="nil"/>
                      <w:right w:val="nil"/>
                    </w:tcBorders>
                    <w:shd w:val="clear" w:color="auto" w:fill="auto"/>
                    <w:noWrap/>
                    <w:vAlign w:val="bottom"/>
                    <w:hideMark/>
                  </w:tcPr>
                  <w:p w:rsidRPr="00FE7FD7" w:rsidR="002318A8" w:rsidRDefault="002318A8" w14:paraId="1878307D" w14:textId="77777777">
                    <w:pPr>
                      <w:jc w:val="right"/>
                      <w:rPr>
                        <w:rFonts w:cs="Arial"/>
                        <w:sz w:val="18"/>
                        <w:szCs w:val="18"/>
                      </w:rPr>
                    </w:pPr>
                    <w:r w:rsidRPr="00FE7FD7">
                      <w:rPr>
                        <w:rFonts w:cs="Arial"/>
                        <w:sz w:val="18"/>
                        <w:szCs w:val="18"/>
                      </w:rPr>
                      <w:t>-200</w:t>
                    </w:r>
                  </w:p>
                </w:tc>
                <w:tc>
                  <w:tcPr>
                    <w:tcW w:w="506" w:type="pct"/>
                    <w:tcBorders>
                      <w:top w:val="nil"/>
                      <w:left w:val="nil"/>
                      <w:bottom w:val="nil"/>
                      <w:right w:val="nil"/>
                    </w:tcBorders>
                    <w:shd w:val="clear" w:color="auto" w:fill="auto"/>
                    <w:noWrap/>
                    <w:vAlign w:val="bottom"/>
                    <w:hideMark/>
                  </w:tcPr>
                  <w:p w:rsidRPr="00FE7FD7" w:rsidR="002318A8" w:rsidRDefault="002318A8" w14:paraId="55E8DCF0" w14:textId="77777777">
                    <w:pPr>
                      <w:jc w:val="right"/>
                      <w:rPr>
                        <w:rFonts w:cs="Arial"/>
                        <w:sz w:val="18"/>
                        <w:szCs w:val="18"/>
                      </w:rPr>
                    </w:pPr>
                    <w:r w:rsidRPr="00FE7FD7">
                      <w:rPr>
                        <w:rFonts w:cs="Arial"/>
                        <w:sz w:val="18"/>
                        <w:szCs w:val="18"/>
                      </w:rPr>
                      <w:t>-200</w:t>
                    </w:r>
                  </w:p>
                </w:tc>
              </w:tr>
              <w:tr w:rsidRPr="00FE7FD7" w:rsidR="002318A8" w:rsidTr="00CE3CDC" w14:paraId="5E015CEA" w14:textId="77777777">
                <w:trPr>
                  <w:trHeight w:val="240"/>
                </w:trPr>
                <w:tc>
                  <w:tcPr>
                    <w:tcW w:w="2918" w:type="pct"/>
                    <w:tcBorders>
                      <w:top w:val="nil"/>
                      <w:left w:val="nil"/>
                      <w:bottom w:val="single" w:color="auto" w:sz="12" w:space="0"/>
                      <w:right w:val="nil"/>
                    </w:tcBorders>
                    <w:shd w:val="clear" w:color="auto" w:fill="auto"/>
                    <w:noWrap/>
                    <w:vAlign w:val="bottom"/>
                    <w:hideMark/>
                  </w:tcPr>
                  <w:p w:rsidRPr="00FE7FD7" w:rsidR="002318A8" w:rsidRDefault="002318A8" w14:paraId="3D6F62F3" w14:textId="77777777">
                    <w:pPr>
                      <w:rPr>
                        <w:rFonts w:cs="Arial"/>
                        <w:sz w:val="18"/>
                        <w:szCs w:val="18"/>
                      </w:rPr>
                    </w:pPr>
                    <w:r w:rsidRPr="00FE7FD7">
                      <w:rPr>
                        <w:rFonts w:cs="Arial"/>
                        <w:sz w:val="18"/>
                        <w:szCs w:val="18"/>
                      </w:rPr>
                      <w:t xml:space="preserve">           Overig</w:t>
                    </w:r>
                  </w:p>
                </w:tc>
                <w:tc>
                  <w:tcPr>
                    <w:tcW w:w="565" w:type="pct"/>
                    <w:tcBorders>
                      <w:top w:val="nil"/>
                      <w:left w:val="nil"/>
                      <w:bottom w:val="single" w:color="auto" w:sz="12" w:space="0"/>
                      <w:right w:val="nil"/>
                    </w:tcBorders>
                    <w:shd w:val="clear" w:color="auto" w:fill="auto"/>
                    <w:noWrap/>
                    <w:vAlign w:val="bottom"/>
                    <w:hideMark/>
                  </w:tcPr>
                  <w:p w:rsidRPr="00FE7FD7" w:rsidR="002318A8" w:rsidRDefault="002318A8" w14:paraId="7533C8C2" w14:textId="77777777">
                    <w:pPr>
                      <w:jc w:val="right"/>
                      <w:rPr>
                        <w:rFonts w:cs="Arial"/>
                        <w:sz w:val="18"/>
                        <w:szCs w:val="18"/>
                      </w:rPr>
                    </w:pPr>
                    <w:r w:rsidRPr="00FE7FD7">
                      <w:rPr>
                        <w:rFonts w:cs="Arial"/>
                        <w:sz w:val="18"/>
                        <w:szCs w:val="18"/>
                      </w:rPr>
                      <w:t>5</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5EA9BB6D" w14:textId="77777777">
                    <w:pPr>
                      <w:jc w:val="right"/>
                      <w:rPr>
                        <w:rFonts w:cs="Arial"/>
                        <w:sz w:val="18"/>
                        <w:szCs w:val="18"/>
                      </w:rPr>
                    </w:pPr>
                    <w:r w:rsidRPr="00FE7FD7">
                      <w:rPr>
                        <w:rFonts w:cs="Arial"/>
                        <w:sz w:val="18"/>
                        <w:szCs w:val="18"/>
                      </w:rPr>
                      <w:t>-106</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308835AA" w14:textId="77777777">
                    <w:pPr>
                      <w:jc w:val="right"/>
                      <w:rPr>
                        <w:rFonts w:cs="Arial"/>
                        <w:sz w:val="18"/>
                        <w:szCs w:val="18"/>
                      </w:rPr>
                    </w:pPr>
                    <w:r w:rsidRPr="00FE7FD7">
                      <w:rPr>
                        <w:rFonts w:cs="Arial"/>
                        <w:sz w:val="18"/>
                        <w:szCs w:val="18"/>
                      </w:rPr>
                      <w:t>-70</w:t>
                    </w:r>
                  </w:p>
                </w:tc>
                <w:tc>
                  <w:tcPr>
                    <w:tcW w:w="506" w:type="pct"/>
                    <w:tcBorders>
                      <w:top w:val="nil"/>
                      <w:left w:val="nil"/>
                      <w:bottom w:val="single" w:color="auto" w:sz="12" w:space="0"/>
                      <w:right w:val="nil"/>
                    </w:tcBorders>
                    <w:shd w:val="clear" w:color="auto" w:fill="auto"/>
                    <w:noWrap/>
                    <w:vAlign w:val="bottom"/>
                    <w:hideMark/>
                  </w:tcPr>
                  <w:p w:rsidRPr="00FE7FD7" w:rsidR="002318A8" w:rsidRDefault="002318A8" w14:paraId="747F9844" w14:textId="77777777">
                    <w:pPr>
                      <w:jc w:val="right"/>
                      <w:rPr>
                        <w:rFonts w:cs="Arial"/>
                        <w:sz w:val="18"/>
                        <w:szCs w:val="18"/>
                      </w:rPr>
                    </w:pPr>
                    <w:r w:rsidRPr="00FE7FD7">
                      <w:rPr>
                        <w:rFonts w:cs="Arial"/>
                        <w:sz w:val="18"/>
                        <w:szCs w:val="18"/>
                      </w:rPr>
                      <w:t>-81</w:t>
                    </w:r>
                  </w:p>
                </w:tc>
              </w:tr>
            </w:tbl>
            <w:p w:rsidRPr="00FE7FD7" w:rsidR="002318A8" w:rsidP="002318A8" w:rsidRDefault="002318A8" w14:paraId="755672B8" w14:textId="77777777">
              <w:pPr>
                <w:rPr>
                  <w:i/>
                  <w:iCs/>
                  <w:sz w:val="18"/>
                  <w:szCs w:val="18"/>
                </w:rPr>
              </w:pPr>
              <w:r w:rsidRPr="00FE7FD7">
                <w:rPr>
                  <w:i/>
                  <w:iCs/>
                  <w:sz w:val="18"/>
                  <w:szCs w:val="18"/>
                </w:rPr>
                <w:t>Bron: Voorjaarsnota 2025</w:t>
              </w:r>
            </w:p>
            <w:p w:rsidR="002318A8" w:rsidP="002318A8" w:rsidRDefault="002318A8" w14:paraId="107BE466" w14:textId="77777777"/>
            <w:p w:rsidR="002318A8" w:rsidP="002318A8" w:rsidRDefault="002318A8" w14:paraId="7BF5D1BA" w14:textId="77777777">
              <w:r>
                <w:t>Het deel van het inkomstenkader dat geen betrekking heeft op de zorgpremies sluit in de berekeningen van het CPB over de kabinetsperiode (zie Tabel 11). Met betrekking tot de zorgpremies is sprake van een overschrijding. Dit heeft vooral een methodologische oorzaak. Het CPB maakt eigen inschattingen van zowel de zorgpremies als de zorguitgaven.</w:t>
              </w:r>
              <w:r>
                <w:rPr>
                  <w:rStyle w:val="Voetnootmarkering"/>
                </w:rPr>
                <w:footnoteReference w:id="64"/>
              </w:r>
              <w:r>
                <w:t xml:space="preserve"> Ook sommige effecten van beleidsmaatregelen in de zorg worden anders ingeschat. Hierdoor komt de toetsing van het inkomstenkader volgens de inschattingen van het CPB anders uit dan die met de cijfers van Financiën. </w:t>
              </w:r>
            </w:p>
            <w:p w:rsidR="002318A8" w:rsidP="002318A8" w:rsidRDefault="002318A8" w14:paraId="207BC103" w14:textId="77777777"/>
            <w:tbl>
              <w:tblPr>
                <w:tblW w:w="5000" w:type="pct"/>
                <w:tblCellMar>
                  <w:left w:w="70" w:type="dxa"/>
                  <w:right w:w="70" w:type="dxa"/>
                </w:tblCellMar>
                <w:tblLook w:val="04A0" w:firstRow="1" w:lastRow="0" w:firstColumn="1" w:lastColumn="0" w:noHBand="0" w:noVBand="1"/>
              </w:tblPr>
              <w:tblGrid>
                <w:gridCol w:w="3021"/>
                <w:gridCol w:w="642"/>
                <w:gridCol w:w="643"/>
                <w:gridCol w:w="178"/>
                <w:gridCol w:w="360"/>
                <w:gridCol w:w="447"/>
                <w:gridCol w:w="92"/>
                <w:gridCol w:w="843"/>
                <w:gridCol w:w="34"/>
                <w:gridCol w:w="1156"/>
                <w:gridCol w:w="1087"/>
              </w:tblGrid>
              <w:tr w:rsidRPr="00EF52ED" w:rsidR="002318A8" w:rsidTr="00CE3CDC" w14:paraId="2E3B9539" w14:textId="77777777">
                <w:trPr>
                  <w:trHeight w:val="263"/>
                </w:trPr>
                <w:tc>
                  <w:tcPr>
                    <w:tcW w:w="2339" w:type="pct"/>
                    <w:gridSpan w:val="3"/>
                    <w:tcBorders>
                      <w:top w:val="nil"/>
                      <w:left w:val="nil"/>
                      <w:bottom w:val="single" w:color="auto" w:sz="12" w:space="0"/>
                      <w:right w:val="nil"/>
                    </w:tcBorders>
                    <w:shd w:val="clear" w:color="auto" w:fill="auto"/>
                    <w:noWrap/>
                    <w:vAlign w:val="bottom"/>
                    <w:hideMark/>
                  </w:tcPr>
                  <w:p w:rsidRPr="00EF52ED" w:rsidR="002318A8" w:rsidRDefault="002318A8" w14:paraId="46A84E0E" w14:textId="77777777">
                    <w:pPr>
                      <w:rPr>
                        <w:rFonts w:cs="Arial"/>
                        <w:sz w:val="18"/>
                        <w:szCs w:val="18"/>
                      </w:rPr>
                    </w:pPr>
                    <w:r w:rsidRPr="00EF52ED">
                      <w:rPr>
                        <w:rFonts w:cs="Arial"/>
                        <w:b/>
                        <w:bCs/>
                        <w:sz w:val="18"/>
                        <w:szCs w:val="18"/>
                      </w:rPr>
                      <w:t xml:space="preserve">Tabel </w:t>
                    </w:r>
                    <w:r>
                      <w:rPr>
                        <w:rFonts w:cs="Arial"/>
                        <w:b/>
                        <w:bCs/>
                        <w:sz w:val="18"/>
                        <w:szCs w:val="18"/>
                      </w:rPr>
                      <w:t>11:</w:t>
                    </w:r>
                    <w:r w:rsidRPr="00EF52ED">
                      <w:rPr>
                        <w:rFonts w:cs="Arial"/>
                        <w:b/>
                        <w:bCs/>
                        <w:sz w:val="18"/>
                        <w:szCs w:val="18"/>
                      </w:rPr>
                      <w:t xml:space="preserve"> Toetsing inkomstenkader 2025-2028</w:t>
                    </w:r>
                    <w:r w:rsidRPr="00EF52ED">
                      <w:rPr>
                        <w:rFonts w:cs="Arial"/>
                        <w:sz w:val="18"/>
                        <w:szCs w:val="18"/>
                      </w:rPr>
                      <w:t> </w:t>
                    </w:r>
                  </w:p>
                </w:tc>
                <w:tc>
                  <w:tcPr>
                    <w:tcW w:w="365" w:type="pct"/>
                    <w:gridSpan w:val="2"/>
                    <w:tcBorders>
                      <w:top w:val="nil"/>
                      <w:left w:val="nil"/>
                      <w:bottom w:val="single" w:color="auto" w:sz="12" w:space="0"/>
                      <w:right w:val="nil"/>
                    </w:tcBorders>
                    <w:shd w:val="clear" w:color="auto" w:fill="auto"/>
                    <w:noWrap/>
                    <w:vAlign w:val="bottom"/>
                    <w:hideMark/>
                  </w:tcPr>
                  <w:p w:rsidRPr="00EF52ED" w:rsidR="002318A8" w:rsidRDefault="002318A8" w14:paraId="41C7513E" w14:textId="77777777">
                    <w:pPr>
                      <w:rPr>
                        <w:rFonts w:cs="Arial"/>
                        <w:sz w:val="18"/>
                        <w:szCs w:val="18"/>
                      </w:rPr>
                    </w:pPr>
                    <w:r w:rsidRPr="00EF52ED">
                      <w:rPr>
                        <w:rFonts w:cs="Arial"/>
                        <w:sz w:val="18"/>
                        <w:szCs w:val="18"/>
                      </w:rPr>
                      <w:t> </w:t>
                    </w:r>
                  </w:p>
                </w:tc>
                <w:tc>
                  <w:tcPr>
                    <w:tcW w:w="365" w:type="pct"/>
                    <w:gridSpan w:val="2"/>
                    <w:tcBorders>
                      <w:top w:val="nil"/>
                      <w:left w:val="nil"/>
                      <w:bottom w:val="single" w:color="auto" w:sz="12" w:space="0"/>
                      <w:right w:val="nil"/>
                    </w:tcBorders>
                    <w:shd w:val="clear" w:color="auto" w:fill="auto"/>
                    <w:noWrap/>
                    <w:vAlign w:val="bottom"/>
                    <w:hideMark/>
                  </w:tcPr>
                  <w:p w:rsidRPr="00EF52ED" w:rsidR="002318A8" w:rsidRDefault="002318A8" w14:paraId="16848F6B" w14:textId="77777777">
                    <w:pPr>
                      <w:rPr>
                        <w:rFonts w:cs="Arial"/>
                        <w:sz w:val="18"/>
                        <w:szCs w:val="18"/>
                      </w:rPr>
                    </w:pPr>
                    <w:r w:rsidRPr="00EF52ED">
                      <w:rPr>
                        <w:rFonts w:cs="Arial"/>
                        <w:sz w:val="18"/>
                        <w:szCs w:val="18"/>
                      </w:rPr>
                      <w:t> </w:t>
                    </w:r>
                  </w:p>
                </w:tc>
                <w:tc>
                  <w:tcPr>
                    <w:tcW w:w="544" w:type="pct"/>
                    <w:gridSpan w:val="2"/>
                    <w:tcBorders>
                      <w:top w:val="nil"/>
                      <w:left w:val="nil"/>
                      <w:bottom w:val="single" w:color="auto" w:sz="12" w:space="0"/>
                      <w:right w:val="nil"/>
                    </w:tcBorders>
                    <w:shd w:val="clear" w:color="auto" w:fill="auto"/>
                    <w:noWrap/>
                    <w:vAlign w:val="bottom"/>
                    <w:hideMark/>
                  </w:tcPr>
                  <w:p w:rsidRPr="00EF52ED" w:rsidR="002318A8" w:rsidRDefault="002318A8" w14:paraId="767EB1D1" w14:textId="77777777">
                    <w:pPr>
                      <w:rPr>
                        <w:rFonts w:cs="Arial"/>
                        <w:sz w:val="18"/>
                        <w:szCs w:val="18"/>
                      </w:rPr>
                    </w:pPr>
                    <w:r w:rsidRPr="00EF52ED">
                      <w:rPr>
                        <w:rFonts w:cs="Arial"/>
                        <w:sz w:val="18"/>
                        <w:szCs w:val="18"/>
                      </w:rPr>
                      <w:t> </w:t>
                    </w:r>
                  </w:p>
                </w:tc>
                <w:tc>
                  <w:tcPr>
                    <w:tcW w:w="1387" w:type="pct"/>
                    <w:gridSpan w:val="2"/>
                    <w:tcBorders>
                      <w:top w:val="nil"/>
                      <w:left w:val="nil"/>
                      <w:bottom w:val="single" w:color="auto" w:sz="12" w:space="0"/>
                      <w:right w:val="nil"/>
                    </w:tcBorders>
                    <w:shd w:val="clear" w:color="auto" w:fill="auto"/>
                    <w:noWrap/>
                    <w:vAlign w:val="bottom"/>
                    <w:hideMark/>
                  </w:tcPr>
                  <w:p w:rsidRPr="00EF52ED" w:rsidR="002318A8" w:rsidRDefault="002318A8" w14:paraId="757896BC" w14:textId="77777777">
                    <w:pPr>
                      <w:rPr>
                        <w:rFonts w:cs="Arial"/>
                        <w:sz w:val="18"/>
                        <w:szCs w:val="18"/>
                      </w:rPr>
                    </w:pPr>
                    <w:r w:rsidRPr="00EF52ED">
                      <w:rPr>
                        <w:rFonts w:cs="Arial"/>
                        <w:sz w:val="18"/>
                        <w:szCs w:val="18"/>
                      </w:rPr>
                      <w:t> </w:t>
                    </w:r>
                  </w:p>
                </w:tc>
              </w:tr>
              <w:tr w:rsidRPr="00EF52ED" w:rsidR="002318A8" w:rsidTr="00CE3CDC" w14:paraId="328583D4" w14:textId="77777777">
                <w:trPr>
                  <w:trHeight w:val="263"/>
                </w:trPr>
                <w:tc>
                  <w:tcPr>
                    <w:tcW w:w="1608" w:type="pct"/>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3ED866FA" w14:textId="77777777">
                    <w:pPr>
                      <w:rPr>
                        <w:rFonts w:cs="Arial"/>
                        <w:sz w:val="18"/>
                        <w:szCs w:val="18"/>
                      </w:rPr>
                    </w:pPr>
                    <w:r w:rsidRPr="00EF52ED">
                      <w:rPr>
                        <w:rFonts w:cs="Arial"/>
                        <w:sz w:val="18"/>
                        <w:szCs w:val="18"/>
                      </w:rPr>
                      <w:t> </w:t>
                    </w:r>
                  </w:p>
                </w:tc>
                <w:tc>
                  <w:tcPr>
                    <w:tcW w:w="365" w:type="pct"/>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0EF3524D" w14:textId="77777777">
                    <w:pPr>
                      <w:jc w:val="right"/>
                      <w:rPr>
                        <w:rFonts w:cs="Arial"/>
                        <w:sz w:val="18"/>
                        <w:szCs w:val="18"/>
                      </w:rPr>
                    </w:pPr>
                    <w:r w:rsidRPr="00EF52ED">
                      <w:rPr>
                        <w:rFonts w:cs="Arial"/>
                        <w:sz w:val="18"/>
                        <w:szCs w:val="18"/>
                      </w:rPr>
                      <w:t>2025</w:t>
                    </w:r>
                  </w:p>
                </w:tc>
                <w:tc>
                  <w:tcPr>
                    <w:tcW w:w="495" w:type="pct"/>
                    <w:gridSpan w:val="2"/>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27A90068" w14:textId="77777777">
                    <w:pPr>
                      <w:jc w:val="right"/>
                      <w:rPr>
                        <w:rFonts w:cs="Arial"/>
                        <w:sz w:val="18"/>
                        <w:szCs w:val="18"/>
                      </w:rPr>
                    </w:pPr>
                    <w:r w:rsidRPr="00EF52ED">
                      <w:rPr>
                        <w:rFonts w:cs="Arial"/>
                        <w:sz w:val="18"/>
                        <w:szCs w:val="18"/>
                      </w:rPr>
                      <w:t>2026</w:t>
                    </w:r>
                  </w:p>
                </w:tc>
                <w:tc>
                  <w:tcPr>
                    <w:tcW w:w="523" w:type="pct"/>
                    <w:gridSpan w:val="2"/>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1981649C" w14:textId="77777777">
                    <w:pPr>
                      <w:jc w:val="right"/>
                      <w:rPr>
                        <w:rFonts w:cs="Arial"/>
                        <w:sz w:val="18"/>
                        <w:szCs w:val="18"/>
                      </w:rPr>
                    </w:pPr>
                    <w:r w:rsidRPr="00EF52ED">
                      <w:rPr>
                        <w:rFonts w:cs="Arial"/>
                        <w:sz w:val="18"/>
                        <w:szCs w:val="18"/>
                      </w:rPr>
                      <w:t>2027</w:t>
                    </w:r>
                  </w:p>
                </w:tc>
                <w:tc>
                  <w:tcPr>
                    <w:tcW w:w="598" w:type="pct"/>
                    <w:gridSpan w:val="2"/>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13FD6B73" w14:textId="77777777">
                    <w:pPr>
                      <w:jc w:val="right"/>
                      <w:rPr>
                        <w:rFonts w:cs="Arial"/>
                        <w:sz w:val="18"/>
                        <w:szCs w:val="18"/>
                      </w:rPr>
                    </w:pPr>
                    <w:r w:rsidRPr="00EF52ED">
                      <w:rPr>
                        <w:rFonts w:cs="Arial"/>
                        <w:sz w:val="18"/>
                        <w:szCs w:val="18"/>
                      </w:rPr>
                      <w:t>2028</w:t>
                    </w:r>
                  </w:p>
                </w:tc>
                <w:tc>
                  <w:tcPr>
                    <w:tcW w:w="748" w:type="pct"/>
                    <w:gridSpan w:val="2"/>
                    <w:tcBorders>
                      <w:top w:val="single" w:color="auto" w:sz="12" w:space="0"/>
                      <w:left w:val="nil"/>
                      <w:bottom w:val="single" w:color="auto" w:sz="12" w:space="0"/>
                      <w:right w:val="nil"/>
                    </w:tcBorders>
                    <w:shd w:val="clear" w:color="auto" w:fill="auto"/>
                    <w:noWrap/>
                    <w:vAlign w:val="bottom"/>
                    <w:hideMark/>
                  </w:tcPr>
                  <w:p w:rsidRPr="00EF52ED" w:rsidR="002318A8" w:rsidRDefault="002318A8" w14:paraId="7C0FC5C8" w14:textId="77777777">
                    <w:pPr>
                      <w:rPr>
                        <w:rFonts w:cs="Arial"/>
                        <w:sz w:val="18"/>
                        <w:szCs w:val="18"/>
                      </w:rPr>
                    </w:pPr>
                    <w:r w:rsidRPr="00EF52ED">
                      <w:rPr>
                        <w:rFonts w:cs="Arial"/>
                        <w:sz w:val="18"/>
                        <w:szCs w:val="18"/>
                      </w:rPr>
                      <w:t>structureel</w:t>
                    </w:r>
                  </w:p>
                </w:tc>
                <w:tc>
                  <w:tcPr>
                    <w:tcW w:w="662" w:type="pct"/>
                    <w:tcBorders>
                      <w:top w:val="single" w:color="auto" w:sz="12" w:space="0"/>
                      <w:left w:val="nil"/>
                      <w:bottom w:val="single" w:color="auto" w:sz="12" w:space="0"/>
                      <w:right w:val="nil"/>
                    </w:tcBorders>
                    <w:shd w:val="clear" w:color="auto" w:fill="auto"/>
                    <w:noWrap/>
                    <w:vAlign w:val="bottom"/>
                    <w:hideMark/>
                  </w:tcPr>
                  <w:p w:rsidR="002318A8" w:rsidRDefault="002318A8" w14:paraId="042393E7" w14:textId="77777777">
                    <w:pPr>
                      <w:rPr>
                        <w:rFonts w:cs="Arial"/>
                        <w:sz w:val="18"/>
                        <w:szCs w:val="18"/>
                      </w:rPr>
                    </w:pPr>
                    <w:r w:rsidRPr="00EF52ED">
                      <w:rPr>
                        <w:rFonts w:cs="Arial"/>
                        <w:sz w:val="18"/>
                        <w:szCs w:val="18"/>
                      </w:rPr>
                      <w:t xml:space="preserve">cumulatief </w:t>
                    </w:r>
                  </w:p>
                  <w:p w:rsidRPr="00EF52ED" w:rsidR="002318A8" w:rsidRDefault="002318A8" w14:paraId="63EDBD56" w14:textId="77777777">
                    <w:pPr>
                      <w:rPr>
                        <w:rFonts w:cs="Arial"/>
                        <w:sz w:val="18"/>
                        <w:szCs w:val="18"/>
                      </w:rPr>
                    </w:pPr>
                    <w:r w:rsidRPr="00EF52ED">
                      <w:rPr>
                        <w:rFonts w:cs="Arial"/>
                        <w:sz w:val="18"/>
                        <w:szCs w:val="18"/>
                      </w:rPr>
                      <w:t>2025-2028</w:t>
                    </w:r>
                  </w:p>
                </w:tc>
              </w:tr>
              <w:tr w:rsidRPr="00EF52ED" w:rsidR="002318A8" w:rsidTr="00CE3CDC" w14:paraId="47300282" w14:textId="77777777">
                <w:trPr>
                  <w:trHeight w:val="248"/>
                </w:trPr>
                <w:tc>
                  <w:tcPr>
                    <w:tcW w:w="1608" w:type="pct"/>
                    <w:tcBorders>
                      <w:top w:val="single" w:color="auto" w:sz="12" w:space="0"/>
                      <w:left w:val="nil"/>
                      <w:bottom w:val="nil"/>
                      <w:right w:val="nil"/>
                    </w:tcBorders>
                    <w:shd w:val="clear" w:color="auto" w:fill="auto"/>
                    <w:noWrap/>
                    <w:vAlign w:val="bottom"/>
                    <w:hideMark/>
                  </w:tcPr>
                  <w:p w:rsidRPr="00EF52ED" w:rsidR="002318A8" w:rsidRDefault="002318A8" w14:paraId="471F31F5" w14:textId="77777777">
                    <w:pPr>
                      <w:rPr>
                        <w:rFonts w:cs="Arial"/>
                        <w:sz w:val="18"/>
                        <w:szCs w:val="18"/>
                      </w:rPr>
                    </w:pPr>
                  </w:p>
                </w:tc>
                <w:tc>
                  <w:tcPr>
                    <w:tcW w:w="3392" w:type="pct"/>
                    <w:gridSpan w:val="10"/>
                    <w:tcBorders>
                      <w:top w:val="single" w:color="auto" w:sz="12" w:space="0"/>
                      <w:left w:val="nil"/>
                      <w:bottom w:val="nil"/>
                    </w:tcBorders>
                    <w:shd w:val="clear" w:color="auto" w:fill="auto"/>
                    <w:noWrap/>
                    <w:vAlign w:val="bottom"/>
                    <w:hideMark/>
                  </w:tcPr>
                  <w:p w:rsidRPr="00EF52ED" w:rsidR="002318A8" w:rsidRDefault="002318A8" w14:paraId="12CC6AF5" w14:textId="77777777">
                    <w:pPr>
                      <w:rPr>
                        <w:rFonts w:ascii="Times New Roman" w:hAnsi="Times New Roman"/>
                        <w:sz w:val="20"/>
                        <w:szCs w:val="20"/>
                      </w:rPr>
                    </w:pPr>
                    <w:r w:rsidRPr="00EF52ED">
                      <w:rPr>
                        <w:rFonts w:cs="Arial"/>
                        <w:sz w:val="18"/>
                        <w:szCs w:val="18"/>
                      </w:rPr>
                      <w:t>Mld</w:t>
                    </w:r>
                    <w:r>
                      <w:rPr>
                        <w:rFonts w:cs="Arial"/>
                        <w:sz w:val="18"/>
                        <w:szCs w:val="18"/>
                      </w:rPr>
                      <w:t>.</w:t>
                    </w:r>
                    <w:r w:rsidRPr="00EF52ED">
                      <w:rPr>
                        <w:rFonts w:cs="Arial"/>
                        <w:sz w:val="18"/>
                        <w:szCs w:val="18"/>
                      </w:rPr>
                      <w:t xml:space="preserve"> euro</w:t>
                    </w:r>
                  </w:p>
                </w:tc>
              </w:tr>
              <w:tr w:rsidRPr="00EF52ED" w:rsidR="002318A8" w:rsidTr="00CE3CDC" w14:paraId="39292E58" w14:textId="77777777">
                <w:trPr>
                  <w:trHeight w:val="248"/>
                </w:trPr>
                <w:tc>
                  <w:tcPr>
                    <w:tcW w:w="1608" w:type="pct"/>
                    <w:tcBorders>
                      <w:top w:val="nil"/>
                      <w:left w:val="nil"/>
                      <w:bottom w:val="nil"/>
                      <w:right w:val="nil"/>
                    </w:tcBorders>
                    <w:shd w:val="clear" w:color="auto" w:fill="auto"/>
                    <w:noWrap/>
                    <w:vAlign w:val="bottom"/>
                    <w:hideMark/>
                  </w:tcPr>
                  <w:p w:rsidRPr="00EF52ED" w:rsidR="002318A8" w:rsidRDefault="002318A8" w14:paraId="17DD1656" w14:textId="77777777">
                    <w:pPr>
                      <w:rPr>
                        <w:rFonts w:cs="Arial"/>
                        <w:sz w:val="18"/>
                        <w:szCs w:val="18"/>
                      </w:rPr>
                    </w:pPr>
                    <w:r w:rsidRPr="00EF52ED">
                      <w:rPr>
                        <w:rFonts w:cs="Arial"/>
                        <w:sz w:val="18"/>
                        <w:szCs w:val="18"/>
                      </w:rPr>
                      <w:t>Afwijking inkomstenkader</w:t>
                    </w:r>
                  </w:p>
                </w:tc>
                <w:tc>
                  <w:tcPr>
                    <w:tcW w:w="365" w:type="pct"/>
                    <w:tcBorders>
                      <w:top w:val="nil"/>
                      <w:left w:val="nil"/>
                      <w:bottom w:val="nil"/>
                      <w:right w:val="nil"/>
                    </w:tcBorders>
                    <w:shd w:val="clear" w:color="auto" w:fill="auto"/>
                    <w:noWrap/>
                    <w:vAlign w:val="bottom"/>
                    <w:hideMark/>
                  </w:tcPr>
                  <w:p w:rsidRPr="00EF52ED" w:rsidR="002318A8" w:rsidRDefault="002318A8" w14:paraId="17AEA44E" w14:textId="77777777">
                    <w:pPr>
                      <w:jc w:val="right"/>
                      <w:rPr>
                        <w:rFonts w:cs="Arial"/>
                        <w:sz w:val="18"/>
                        <w:szCs w:val="18"/>
                      </w:rPr>
                    </w:pPr>
                    <w:r w:rsidRPr="00EF52ED">
                      <w:rPr>
                        <w:rFonts w:cs="Arial"/>
                        <w:sz w:val="18"/>
                        <w:szCs w:val="18"/>
                      </w:rPr>
                      <w:t>0,2</w:t>
                    </w:r>
                  </w:p>
                </w:tc>
                <w:tc>
                  <w:tcPr>
                    <w:tcW w:w="495" w:type="pct"/>
                    <w:gridSpan w:val="2"/>
                    <w:tcBorders>
                      <w:top w:val="nil"/>
                      <w:left w:val="nil"/>
                      <w:bottom w:val="nil"/>
                      <w:right w:val="nil"/>
                    </w:tcBorders>
                    <w:shd w:val="clear" w:color="auto" w:fill="auto"/>
                    <w:noWrap/>
                    <w:vAlign w:val="bottom"/>
                    <w:hideMark/>
                  </w:tcPr>
                  <w:p w:rsidRPr="00EF52ED" w:rsidR="002318A8" w:rsidRDefault="002318A8" w14:paraId="21E20D9E" w14:textId="77777777">
                    <w:pPr>
                      <w:jc w:val="right"/>
                      <w:rPr>
                        <w:rFonts w:cs="Arial"/>
                        <w:sz w:val="18"/>
                        <w:szCs w:val="18"/>
                      </w:rPr>
                    </w:pPr>
                    <w:r w:rsidRPr="00EF52ED">
                      <w:rPr>
                        <w:rFonts w:cs="Arial"/>
                        <w:sz w:val="18"/>
                        <w:szCs w:val="18"/>
                      </w:rPr>
                      <w:t>1,7</w:t>
                    </w:r>
                  </w:p>
                </w:tc>
                <w:tc>
                  <w:tcPr>
                    <w:tcW w:w="523" w:type="pct"/>
                    <w:gridSpan w:val="2"/>
                    <w:tcBorders>
                      <w:top w:val="nil"/>
                      <w:left w:val="nil"/>
                      <w:bottom w:val="nil"/>
                      <w:right w:val="nil"/>
                    </w:tcBorders>
                    <w:shd w:val="clear" w:color="auto" w:fill="auto"/>
                    <w:noWrap/>
                    <w:vAlign w:val="bottom"/>
                    <w:hideMark/>
                  </w:tcPr>
                  <w:p w:rsidRPr="00EF52ED" w:rsidR="002318A8" w:rsidRDefault="002318A8" w14:paraId="78313299" w14:textId="77777777">
                    <w:pPr>
                      <w:jc w:val="right"/>
                      <w:rPr>
                        <w:rFonts w:cs="Arial"/>
                        <w:sz w:val="18"/>
                        <w:szCs w:val="18"/>
                      </w:rPr>
                    </w:pPr>
                    <w:r w:rsidRPr="00EF52ED">
                      <w:rPr>
                        <w:rFonts w:cs="Arial"/>
                        <w:sz w:val="18"/>
                        <w:szCs w:val="18"/>
                      </w:rPr>
                      <w:t>-0,4</w:t>
                    </w:r>
                  </w:p>
                </w:tc>
                <w:tc>
                  <w:tcPr>
                    <w:tcW w:w="598" w:type="pct"/>
                    <w:gridSpan w:val="2"/>
                    <w:tcBorders>
                      <w:top w:val="nil"/>
                      <w:left w:val="nil"/>
                      <w:bottom w:val="nil"/>
                      <w:right w:val="nil"/>
                    </w:tcBorders>
                    <w:shd w:val="clear" w:color="auto" w:fill="auto"/>
                    <w:noWrap/>
                    <w:vAlign w:val="bottom"/>
                    <w:hideMark/>
                  </w:tcPr>
                  <w:p w:rsidRPr="00EF52ED" w:rsidR="002318A8" w:rsidRDefault="002318A8" w14:paraId="126F0D5F" w14:textId="77777777">
                    <w:pPr>
                      <w:jc w:val="right"/>
                      <w:rPr>
                        <w:rFonts w:cs="Arial"/>
                        <w:sz w:val="18"/>
                        <w:szCs w:val="18"/>
                      </w:rPr>
                    </w:pPr>
                    <w:r w:rsidRPr="00EF52ED">
                      <w:rPr>
                        <w:rFonts w:cs="Arial"/>
                        <w:sz w:val="18"/>
                        <w:szCs w:val="18"/>
                      </w:rPr>
                      <w:t>0,5</w:t>
                    </w:r>
                  </w:p>
                </w:tc>
                <w:tc>
                  <w:tcPr>
                    <w:tcW w:w="748" w:type="pct"/>
                    <w:gridSpan w:val="2"/>
                    <w:tcBorders>
                      <w:top w:val="nil"/>
                      <w:left w:val="nil"/>
                      <w:bottom w:val="nil"/>
                      <w:right w:val="nil"/>
                    </w:tcBorders>
                    <w:shd w:val="clear" w:color="auto" w:fill="auto"/>
                    <w:noWrap/>
                    <w:vAlign w:val="bottom"/>
                    <w:hideMark/>
                  </w:tcPr>
                  <w:p w:rsidRPr="00EF52ED" w:rsidR="002318A8" w:rsidRDefault="002318A8" w14:paraId="4960BDAB" w14:textId="77777777">
                    <w:pPr>
                      <w:jc w:val="right"/>
                      <w:rPr>
                        <w:rFonts w:cs="Arial"/>
                        <w:sz w:val="18"/>
                        <w:szCs w:val="18"/>
                      </w:rPr>
                    </w:pPr>
                    <w:r w:rsidRPr="00EF52ED">
                      <w:rPr>
                        <w:rFonts w:cs="Arial"/>
                        <w:sz w:val="18"/>
                        <w:szCs w:val="18"/>
                      </w:rPr>
                      <w:t>0,3</w:t>
                    </w:r>
                  </w:p>
                </w:tc>
                <w:tc>
                  <w:tcPr>
                    <w:tcW w:w="662" w:type="pct"/>
                    <w:tcBorders>
                      <w:top w:val="nil"/>
                      <w:left w:val="nil"/>
                      <w:bottom w:val="nil"/>
                      <w:right w:val="nil"/>
                    </w:tcBorders>
                    <w:shd w:val="clear" w:color="auto" w:fill="auto"/>
                    <w:noWrap/>
                    <w:vAlign w:val="bottom"/>
                    <w:hideMark/>
                  </w:tcPr>
                  <w:p w:rsidRPr="00EF52ED" w:rsidR="002318A8" w:rsidRDefault="002318A8" w14:paraId="1F591FE4" w14:textId="77777777">
                    <w:pPr>
                      <w:jc w:val="right"/>
                      <w:rPr>
                        <w:rFonts w:cs="Arial"/>
                        <w:sz w:val="18"/>
                        <w:szCs w:val="18"/>
                      </w:rPr>
                    </w:pPr>
                    <w:r w:rsidRPr="00EF52ED">
                      <w:rPr>
                        <w:rFonts w:cs="Arial"/>
                        <w:sz w:val="18"/>
                        <w:szCs w:val="18"/>
                      </w:rPr>
                      <w:t>2,0</w:t>
                    </w:r>
                  </w:p>
                </w:tc>
              </w:tr>
              <w:tr w:rsidRPr="00EF52ED" w:rsidR="002318A8" w:rsidTr="00CE3CDC" w14:paraId="678A0480" w14:textId="77777777">
                <w:trPr>
                  <w:trHeight w:val="248"/>
                </w:trPr>
                <w:tc>
                  <w:tcPr>
                    <w:tcW w:w="1608" w:type="pct"/>
                    <w:tcBorders>
                      <w:top w:val="nil"/>
                      <w:left w:val="nil"/>
                      <w:right w:val="nil"/>
                    </w:tcBorders>
                    <w:shd w:val="clear" w:color="auto" w:fill="auto"/>
                    <w:noWrap/>
                    <w:vAlign w:val="bottom"/>
                    <w:hideMark/>
                  </w:tcPr>
                  <w:p w:rsidRPr="00EF52ED" w:rsidR="002318A8" w:rsidRDefault="002318A8" w14:paraId="7BE3A880" w14:textId="77777777">
                    <w:pPr>
                      <w:rPr>
                        <w:rFonts w:cs="Arial"/>
                        <w:sz w:val="18"/>
                        <w:szCs w:val="18"/>
                      </w:rPr>
                    </w:pPr>
                    <w:proofErr w:type="spellStart"/>
                    <w:r w:rsidRPr="00EF52ED">
                      <w:rPr>
                        <w:rFonts w:cs="Arial"/>
                        <w:sz w:val="18"/>
                        <w:szCs w:val="18"/>
                      </w:rPr>
                      <w:t>w.v</w:t>
                    </w:r>
                    <w:proofErr w:type="spellEnd"/>
                    <w:r w:rsidRPr="00EF52ED">
                      <w:rPr>
                        <w:rFonts w:cs="Arial"/>
                        <w:sz w:val="18"/>
                        <w:szCs w:val="18"/>
                      </w:rPr>
                      <w:t>. Beleidsmutaties (m.u.v. zorg)</w:t>
                    </w:r>
                  </w:p>
                </w:tc>
                <w:tc>
                  <w:tcPr>
                    <w:tcW w:w="365" w:type="pct"/>
                    <w:tcBorders>
                      <w:top w:val="nil"/>
                      <w:left w:val="nil"/>
                      <w:right w:val="nil"/>
                    </w:tcBorders>
                    <w:shd w:val="clear" w:color="auto" w:fill="auto"/>
                    <w:noWrap/>
                    <w:vAlign w:val="bottom"/>
                    <w:hideMark/>
                  </w:tcPr>
                  <w:p w:rsidRPr="00EF52ED" w:rsidR="002318A8" w:rsidRDefault="002318A8" w14:paraId="67C44217" w14:textId="77777777">
                    <w:pPr>
                      <w:jc w:val="right"/>
                      <w:rPr>
                        <w:rFonts w:cs="Arial"/>
                        <w:sz w:val="18"/>
                        <w:szCs w:val="18"/>
                      </w:rPr>
                    </w:pPr>
                    <w:r w:rsidRPr="00EF52ED">
                      <w:rPr>
                        <w:rFonts w:cs="Arial"/>
                        <w:sz w:val="18"/>
                        <w:szCs w:val="18"/>
                      </w:rPr>
                      <w:t>0,2</w:t>
                    </w:r>
                  </w:p>
                </w:tc>
                <w:tc>
                  <w:tcPr>
                    <w:tcW w:w="495" w:type="pct"/>
                    <w:gridSpan w:val="2"/>
                    <w:tcBorders>
                      <w:top w:val="nil"/>
                      <w:left w:val="nil"/>
                      <w:right w:val="nil"/>
                    </w:tcBorders>
                    <w:shd w:val="clear" w:color="auto" w:fill="auto"/>
                    <w:noWrap/>
                    <w:vAlign w:val="bottom"/>
                    <w:hideMark/>
                  </w:tcPr>
                  <w:p w:rsidRPr="00EF52ED" w:rsidR="002318A8" w:rsidRDefault="002318A8" w14:paraId="6F28557A" w14:textId="77777777">
                    <w:pPr>
                      <w:jc w:val="right"/>
                      <w:rPr>
                        <w:rFonts w:cs="Arial"/>
                        <w:sz w:val="18"/>
                        <w:szCs w:val="18"/>
                      </w:rPr>
                    </w:pPr>
                    <w:r w:rsidRPr="00EF52ED">
                      <w:rPr>
                        <w:rFonts w:cs="Arial"/>
                        <w:sz w:val="18"/>
                        <w:szCs w:val="18"/>
                      </w:rPr>
                      <w:t>1,0</w:t>
                    </w:r>
                  </w:p>
                </w:tc>
                <w:tc>
                  <w:tcPr>
                    <w:tcW w:w="523" w:type="pct"/>
                    <w:gridSpan w:val="2"/>
                    <w:tcBorders>
                      <w:top w:val="nil"/>
                      <w:left w:val="nil"/>
                      <w:right w:val="nil"/>
                    </w:tcBorders>
                    <w:shd w:val="clear" w:color="auto" w:fill="auto"/>
                    <w:noWrap/>
                    <w:vAlign w:val="bottom"/>
                    <w:hideMark/>
                  </w:tcPr>
                  <w:p w:rsidRPr="00EF52ED" w:rsidR="002318A8" w:rsidRDefault="002318A8" w14:paraId="79642373" w14:textId="77777777">
                    <w:pPr>
                      <w:jc w:val="right"/>
                      <w:rPr>
                        <w:rFonts w:cs="Arial"/>
                        <w:sz w:val="18"/>
                        <w:szCs w:val="18"/>
                      </w:rPr>
                    </w:pPr>
                    <w:r w:rsidRPr="00EF52ED">
                      <w:rPr>
                        <w:rFonts w:cs="Arial"/>
                        <w:sz w:val="18"/>
                        <w:szCs w:val="18"/>
                      </w:rPr>
                      <w:t>-1,2</w:t>
                    </w:r>
                  </w:p>
                </w:tc>
                <w:tc>
                  <w:tcPr>
                    <w:tcW w:w="598" w:type="pct"/>
                    <w:gridSpan w:val="2"/>
                    <w:tcBorders>
                      <w:top w:val="nil"/>
                      <w:left w:val="nil"/>
                      <w:right w:val="nil"/>
                    </w:tcBorders>
                    <w:shd w:val="clear" w:color="auto" w:fill="auto"/>
                    <w:noWrap/>
                    <w:vAlign w:val="bottom"/>
                    <w:hideMark/>
                  </w:tcPr>
                  <w:p w:rsidRPr="00EF52ED" w:rsidR="002318A8" w:rsidRDefault="002318A8" w14:paraId="11B0F5FB" w14:textId="77777777">
                    <w:pPr>
                      <w:jc w:val="right"/>
                      <w:rPr>
                        <w:rFonts w:cs="Arial"/>
                        <w:sz w:val="18"/>
                        <w:szCs w:val="18"/>
                      </w:rPr>
                    </w:pPr>
                    <w:r w:rsidRPr="00EF52ED">
                      <w:rPr>
                        <w:rFonts w:cs="Arial"/>
                        <w:sz w:val="18"/>
                        <w:szCs w:val="18"/>
                      </w:rPr>
                      <w:t>0,0</w:t>
                    </w:r>
                  </w:p>
                </w:tc>
                <w:tc>
                  <w:tcPr>
                    <w:tcW w:w="748" w:type="pct"/>
                    <w:gridSpan w:val="2"/>
                    <w:tcBorders>
                      <w:top w:val="nil"/>
                      <w:left w:val="nil"/>
                      <w:right w:val="nil"/>
                    </w:tcBorders>
                    <w:shd w:val="clear" w:color="auto" w:fill="auto"/>
                    <w:noWrap/>
                    <w:vAlign w:val="bottom"/>
                    <w:hideMark/>
                  </w:tcPr>
                  <w:p w:rsidRPr="00EF52ED" w:rsidR="002318A8" w:rsidRDefault="002318A8" w14:paraId="4CD953C2" w14:textId="77777777">
                    <w:pPr>
                      <w:jc w:val="right"/>
                      <w:rPr>
                        <w:rFonts w:cs="Arial"/>
                        <w:sz w:val="18"/>
                        <w:szCs w:val="18"/>
                      </w:rPr>
                    </w:pPr>
                    <w:r w:rsidRPr="00EF52ED">
                      <w:rPr>
                        <w:rFonts w:cs="Arial"/>
                        <w:sz w:val="18"/>
                        <w:szCs w:val="18"/>
                      </w:rPr>
                      <w:t>0,3</w:t>
                    </w:r>
                  </w:p>
                </w:tc>
                <w:tc>
                  <w:tcPr>
                    <w:tcW w:w="662" w:type="pct"/>
                    <w:tcBorders>
                      <w:top w:val="nil"/>
                      <w:left w:val="nil"/>
                      <w:right w:val="nil"/>
                    </w:tcBorders>
                    <w:shd w:val="clear" w:color="auto" w:fill="auto"/>
                    <w:noWrap/>
                    <w:vAlign w:val="bottom"/>
                    <w:hideMark/>
                  </w:tcPr>
                  <w:p w:rsidRPr="00EF52ED" w:rsidR="002318A8" w:rsidRDefault="002318A8" w14:paraId="486F0E72" w14:textId="77777777">
                    <w:pPr>
                      <w:jc w:val="right"/>
                      <w:rPr>
                        <w:rFonts w:cs="Arial"/>
                        <w:sz w:val="18"/>
                        <w:szCs w:val="18"/>
                      </w:rPr>
                    </w:pPr>
                    <w:r w:rsidRPr="00EF52ED">
                      <w:rPr>
                        <w:rFonts w:cs="Arial"/>
                        <w:sz w:val="18"/>
                        <w:szCs w:val="18"/>
                      </w:rPr>
                      <w:t>0,0</w:t>
                    </w:r>
                  </w:p>
                </w:tc>
              </w:tr>
              <w:tr w:rsidRPr="00EF52ED" w:rsidR="002318A8" w:rsidTr="00CE3CDC" w14:paraId="428B4087" w14:textId="77777777">
                <w:trPr>
                  <w:trHeight w:val="263"/>
                </w:trPr>
                <w:tc>
                  <w:tcPr>
                    <w:tcW w:w="1608" w:type="pct"/>
                    <w:tcBorders>
                      <w:top w:val="nil"/>
                      <w:left w:val="nil"/>
                      <w:bottom w:val="single" w:color="auto" w:sz="12" w:space="0"/>
                      <w:right w:val="nil"/>
                    </w:tcBorders>
                    <w:shd w:val="clear" w:color="auto" w:fill="auto"/>
                    <w:noWrap/>
                    <w:vAlign w:val="bottom"/>
                    <w:hideMark/>
                  </w:tcPr>
                  <w:p w:rsidRPr="00EF52ED" w:rsidR="002318A8" w:rsidRDefault="002318A8" w14:paraId="34DBA194" w14:textId="77777777">
                    <w:pPr>
                      <w:rPr>
                        <w:rFonts w:cs="Arial"/>
                        <w:sz w:val="18"/>
                        <w:szCs w:val="18"/>
                      </w:rPr>
                    </w:pPr>
                    <w:r w:rsidRPr="00EF52ED">
                      <w:rPr>
                        <w:rFonts w:cs="Arial"/>
                        <w:sz w:val="18"/>
                        <w:szCs w:val="18"/>
                      </w:rPr>
                      <w:t xml:space="preserve">       Zorg incl. compensatie</w:t>
                    </w:r>
                  </w:p>
                </w:tc>
                <w:tc>
                  <w:tcPr>
                    <w:tcW w:w="365" w:type="pct"/>
                    <w:tcBorders>
                      <w:top w:val="nil"/>
                      <w:left w:val="nil"/>
                      <w:bottom w:val="single" w:color="auto" w:sz="12" w:space="0"/>
                      <w:right w:val="nil"/>
                    </w:tcBorders>
                    <w:shd w:val="clear" w:color="auto" w:fill="auto"/>
                    <w:noWrap/>
                    <w:vAlign w:val="bottom"/>
                    <w:hideMark/>
                  </w:tcPr>
                  <w:p w:rsidRPr="00EF52ED" w:rsidR="002318A8" w:rsidRDefault="002318A8" w14:paraId="68D28700" w14:textId="77777777">
                    <w:pPr>
                      <w:jc w:val="right"/>
                      <w:rPr>
                        <w:rFonts w:cs="Arial"/>
                        <w:sz w:val="18"/>
                        <w:szCs w:val="18"/>
                      </w:rPr>
                    </w:pPr>
                    <w:r w:rsidRPr="00EF52ED">
                      <w:rPr>
                        <w:rFonts w:cs="Arial"/>
                        <w:sz w:val="18"/>
                        <w:szCs w:val="18"/>
                      </w:rPr>
                      <w:t>0,0</w:t>
                    </w:r>
                  </w:p>
                </w:tc>
                <w:tc>
                  <w:tcPr>
                    <w:tcW w:w="495" w:type="pct"/>
                    <w:gridSpan w:val="2"/>
                    <w:tcBorders>
                      <w:top w:val="nil"/>
                      <w:left w:val="nil"/>
                      <w:bottom w:val="single" w:color="auto" w:sz="12" w:space="0"/>
                      <w:right w:val="nil"/>
                    </w:tcBorders>
                    <w:shd w:val="clear" w:color="auto" w:fill="auto"/>
                    <w:noWrap/>
                    <w:vAlign w:val="bottom"/>
                    <w:hideMark/>
                  </w:tcPr>
                  <w:p w:rsidRPr="00EF52ED" w:rsidR="002318A8" w:rsidRDefault="002318A8" w14:paraId="6F91FBD7" w14:textId="77777777">
                    <w:pPr>
                      <w:jc w:val="right"/>
                      <w:rPr>
                        <w:rFonts w:cs="Arial"/>
                        <w:sz w:val="18"/>
                        <w:szCs w:val="18"/>
                      </w:rPr>
                    </w:pPr>
                    <w:r w:rsidRPr="00EF52ED">
                      <w:rPr>
                        <w:rFonts w:cs="Arial"/>
                        <w:sz w:val="18"/>
                        <w:szCs w:val="18"/>
                      </w:rPr>
                      <w:t>0,7</w:t>
                    </w:r>
                  </w:p>
                </w:tc>
                <w:tc>
                  <w:tcPr>
                    <w:tcW w:w="523" w:type="pct"/>
                    <w:gridSpan w:val="2"/>
                    <w:tcBorders>
                      <w:top w:val="nil"/>
                      <w:left w:val="nil"/>
                      <w:bottom w:val="single" w:color="auto" w:sz="12" w:space="0"/>
                      <w:right w:val="nil"/>
                    </w:tcBorders>
                    <w:shd w:val="clear" w:color="auto" w:fill="auto"/>
                    <w:noWrap/>
                    <w:vAlign w:val="bottom"/>
                    <w:hideMark/>
                  </w:tcPr>
                  <w:p w:rsidRPr="00EF52ED" w:rsidR="002318A8" w:rsidRDefault="002318A8" w14:paraId="4E775613" w14:textId="77777777">
                    <w:pPr>
                      <w:jc w:val="right"/>
                      <w:rPr>
                        <w:rFonts w:cs="Arial"/>
                        <w:sz w:val="18"/>
                        <w:szCs w:val="18"/>
                      </w:rPr>
                    </w:pPr>
                    <w:r w:rsidRPr="00EF52ED">
                      <w:rPr>
                        <w:rFonts w:cs="Arial"/>
                        <w:sz w:val="18"/>
                        <w:szCs w:val="18"/>
                      </w:rPr>
                      <w:t>0,7</w:t>
                    </w:r>
                  </w:p>
                </w:tc>
                <w:tc>
                  <w:tcPr>
                    <w:tcW w:w="598" w:type="pct"/>
                    <w:gridSpan w:val="2"/>
                    <w:tcBorders>
                      <w:top w:val="nil"/>
                      <w:left w:val="nil"/>
                      <w:bottom w:val="single" w:color="auto" w:sz="12" w:space="0"/>
                      <w:right w:val="nil"/>
                    </w:tcBorders>
                    <w:shd w:val="clear" w:color="auto" w:fill="auto"/>
                    <w:noWrap/>
                    <w:vAlign w:val="bottom"/>
                    <w:hideMark/>
                  </w:tcPr>
                  <w:p w:rsidRPr="00EF52ED" w:rsidR="002318A8" w:rsidRDefault="002318A8" w14:paraId="532DF131" w14:textId="77777777">
                    <w:pPr>
                      <w:jc w:val="right"/>
                      <w:rPr>
                        <w:rFonts w:cs="Arial"/>
                        <w:sz w:val="18"/>
                        <w:szCs w:val="18"/>
                      </w:rPr>
                    </w:pPr>
                    <w:r w:rsidRPr="00EF52ED">
                      <w:rPr>
                        <w:rFonts w:cs="Arial"/>
                        <w:sz w:val="18"/>
                        <w:szCs w:val="18"/>
                      </w:rPr>
                      <w:t>0,6</w:t>
                    </w:r>
                  </w:p>
                </w:tc>
                <w:tc>
                  <w:tcPr>
                    <w:tcW w:w="748" w:type="pct"/>
                    <w:gridSpan w:val="2"/>
                    <w:tcBorders>
                      <w:top w:val="nil"/>
                      <w:left w:val="nil"/>
                      <w:bottom w:val="single" w:color="auto" w:sz="12" w:space="0"/>
                      <w:right w:val="nil"/>
                    </w:tcBorders>
                    <w:shd w:val="clear" w:color="auto" w:fill="auto"/>
                    <w:noWrap/>
                    <w:vAlign w:val="bottom"/>
                    <w:hideMark/>
                  </w:tcPr>
                  <w:p w:rsidRPr="00EF52ED" w:rsidR="002318A8" w:rsidRDefault="002318A8" w14:paraId="248AB9EC" w14:textId="77777777">
                    <w:pPr>
                      <w:jc w:val="right"/>
                      <w:rPr>
                        <w:rFonts w:cs="Arial"/>
                        <w:sz w:val="18"/>
                        <w:szCs w:val="18"/>
                      </w:rPr>
                    </w:pPr>
                    <w:r w:rsidRPr="00EF52ED">
                      <w:rPr>
                        <w:rFonts w:cs="Arial"/>
                        <w:sz w:val="18"/>
                        <w:szCs w:val="18"/>
                      </w:rPr>
                      <w:t>0,1</w:t>
                    </w:r>
                  </w:p>
                </w:tc>
                <w:tc>
                  <w:tcPr>
                    <w:tcW w:w="662" w:type="pct"/>
                    <w:tcBorders>
                      <w:top w:val="nil"/>
                      <w:left w:val="nil"/>
                      <w:bottom w:val="single" w:color="auto" w:sz="12" w:space="0"/>
                      <w:right w:val="nil"/>
                    </w:tcBorders>
                    <w:shd w:val="clear" w:color="auto" w:fill="auto"/>
                    <w:noWrap/>
                    <w:vAlign w:val="bottom"/>
                    <w:hideMark/>
                  </w:tcPr>
                  <w:p w:rsidRPr="00EF52ED" w:rsidR="002318A8" w:rsidRDefault="002318A8" w14:paraId="790B5365" w14:textId="77777777">
                    <w:pPr>
                      <w:jc w:val="right"/>
                      <w:rPr>
                        <w:rFonts w:cs="Arial"/>
                        <w:sz w:val="18"/>
                        <w:szCs w:val="18"/>
                      </w:rPr>
                    </w:pPr>
                    <w:r w:rsidRPr="00EF52ED">
                      <w:rPr>
                        <w:rFonts w:cs="Arial"/>
                        <w:sz w:val="18"/>
                        <w:szCs w:val="18"/>
                      </w:rPr>
                      <w:t>2,0</w:t>
                    </w:r>
                  </w:p>
                </w:tc>
              </w:tr>
              <w:tr w:rsidRPr="00EF52ED" w:rsidR="002318A8" w:rsidTr="00CE3CDC" w14:paraId="2D3EAE16" w14:textId="77777777">
                <w:trPr>
                  <w:trHeight w:val="248"/>
                </w:trPr>
                <w:tc>
                  <w:tcPr>
                    <w:tcW w:w="5000" w:type="pct"/>
                    <w:gridSpan w:val="11"/>
                    <w:tcBorders>
                      <w:top w:val="single" w:color="auto" w:sz="12" w:space="0"/>
                      <w:left w:val="nil"/>
                      <w:bottom w:val="nil"/>
                      <w:right w:val="nil"/>
                    </w:tcBorders>
                    <w:shd w:val="clear" w:color="auto" w:fill="auto"/>
                    <w:noWrap/>
                    <w:vAlign w:val="bottom"/>
                    <w:hideMark/>
                  </w:tcPr>
                  <w:p w:rsidRPr="00EF52ED" w:rsidR="002318A8" w:rsidRDefault="002318A8" w14:paraId="7337582D" w14:textId="77777777">
                    <w:pPr>
                      <w:rPr>
                        <w:rFonts w:ascii="Times New Roman" w:hAnsi="Times New Roman"/>
                        <w:sz w:val="20"/>
                        <w:szCs w:val="20"/>
                      </w:rPr>
                    </w:pPr>
                    <w:r w:rsidRPr="00EF52ED">
                      <w:rPr>
                        <w:rFonts w:cs="Arial"/>
                        <w:i/>
                        <w:iCs/>
                        <w:sz w:val="18"/>
                        <w:szCs w:val="18"/>
                      </w:rPr>
                      <w:t>Bron: Centraal Planbureau: Budgettaire Analyse Voorjaarsnota 2025</w:t>
                    </w:r>
                  </w:p>
                </w:tc>
              </w:tr>
            </w:tbl>
            <w:p w:rsidR="002318A8" w:rsidP="002318A8" w:rsidRDefault="002318A8" w14:paraId="58A93FA8" w14:textId="77777777"/>
            <w:p w:rsidRPr="000E1481" w:rsidR="002318A8" w:rsidP="002318A8" w:rsidRDefault="002318A8" w14:paraId="6FFBFCAD" w14:textId="77777777">
              <w:pPr>
                <w:rPr>
                  <w:b/>
                  <w:bCs/>
                </w:rPr>
              </w:pPr>
              <w:r>
                <w:t xml:space="preserve">De maatregelen voor het uitgavenkader en voor het inkomstenkader zijn in de voorjaarsbesluitvorming gescheiden. Aandachtspunt vindt de Afdeling dat meevallers bij de zorguitgaven zijn ingezet om tegenvallers bij andere posten op de begroting op te vangen. Hierdoor leiden de lagere uitgaven in de zorg niet tot een lagere lastendruk. De lagere uitgaven leiden conform de Zorgwet tot lagere zorgpremies. Echter, volgens de begrotingsregels moeten deze lagere zorgpremies worden gecompenseerd door een hogere andere lasten (in dit geval een hogere loon- en inkomstenbelasting in box 1 en het bedrijfsdeel van de </w:t>
              </w:r>
              <w:proofErr w:type="spellStart"/>
              <w:r>
                <w:t>Aof</w:t>
              </w:r>
              <w:proofErr w:type="spellEnd"/>
              <w:r>
                <w:t>-premie) als de lagere zorguitgaven worden gebruikt om tegenvallers elders binnen het uitgavenkader op te vangen. Per saldo is dit lastenneutraal, waardoor huishoudens en bedrijven niet profiteren van lagere zorgpremies. Als de lagere zorguitgaven niet zouden zijn gebruikt voor een dergelijke financiële dekking, zou er sprake zijn geweest van een lastenverlaging (maar ook van een onderschrijding van het oorspronkelijke uitgavenkader).</w:t>
              </w:r>
            </w:p>
            <w:p w:rsidRPr="00523774" w:rsidR="002318A8" w:rsidP="002318A8" w:rsidRDefault="002318A8" w14:paraId="31196139" w14:textId="77777777">
              <w:pPr>
                <w:rPr>
                  <w:b/>
                  <w:bCs/>
                </w:rPr>
              </w:pPr>
            </w:p>
            <w:p w:rsidRPr="00B67145" w:rsidR="002318A8" w:rsidP="002318A8" w:rsidRDefault="002318A8" w14:paraId="35B3A299" w14:textId="77777777">
              <w:pPr>
                <w:rPr>
                  <w:i/>
                  <w:iCs/>
                </w:rPr>
              </w:pPr>
              <w:r>
                <w:rPr>
                  <w:i/>
                  <w:iCs/>
                </w:rPr>
                <w:t>Conclusie nationale begrotings</w:t>
              </w:r>
              <w:r w:rsidRPr="00B67145">
                <w:rPr>
                  <w:i/>
                  <w:iCs/>
                </w:rPr>
                <w:t xml:space="preserve">toetsing </w:t>
              </w:r>
            </w:p>
            <w:p w:rsidRPr="00B67145" w:rsidR="002318A8" w:rsidP="002318A8" w:rsidRDefault="002318A8" w14:paraId="477187B8" w14:textId="77777777">
              <w:r w:rsidRPr="00B67145">
                <w:t xml:space="preserve">De Afdeling constateert dat in de Voorjaarsbesluitvorming een trendmatig begrotingsbeleid is gevoerd, waarbij de begrotingsregels zijn gehandhaafd. Er zijn geen maatregelen aan de inkomstenkant gebruikt om overheidsuitgaven te dekken. Het inkomsten- en uitgavenkader zijn derhalve conform de regels gescheiden. De uitgaven en inkomsten voldoen aan de toetsen van het inkomsten- en uitgavenkader. </w:t>
              </w:r>
              <w:r>
                <w:t>D</w:t>
              </w:r>
              <w:r w:rsidRPr="00B67145">
                <w:t xml:space="preserve">e </w:t>
              </w:r>
              <w:r>
                <w:t>toetsing van</w:t>
              </w:r>
              <w:r w:rsidRPr="00B67145">
                <w:t xml:space="preserve"> de uitgavenkant wordt </w:t>
              </w:r>
              <w:r>
                <w:t xml:space="preserve">echter </w:t>
              </w:r>
              <w:r w:rsidRPr="00B67145">
                <w:t>bemoeilijkt door de aanpassing van de kaders via kasschuiven.</w:t>
              </w:r>
            </w:p>
            <w:p w:rsidRPr="0057484E" w:rsidR="002318A8" w:rsidP="002318A8" w:rsidRDefault="002318A8" w14:paraId="69708A43" w14:textId="77777777">
              <w:pPr>
                <w:rPr>
                  <w:i/>
                  <w:iCs/>
                </w:rPr>
              </w:pPr>
            </w:p>
            <w:p w:rsidRPr="00CA1D64" w:rsidR="002318A8" w:rsidP="00EE77C1" w:rsidRDefault="002318A8" w14:paraId="1D75262D" w14:textId="61E08B2C">
              <w:pPr>
                <w:pStyle w:val="Lijstalinea"/>
                <w:numPr>
                  <w:ilvl w:val="0"/>
                  <w:numId w:val="3"/>
                </w:numPr>
                <w:ind w:left="0" w:firstLine="0"/>
              </w:pPr>
              <w:r>
                <w:rPr>
                  <w:u w:val="single"/>
                </w:rPr>
                <w:t>Aandachtspunten bij uitgavenkader</w:t>
              </w:r>
            </w:p>
            <w:p w:rsidR="002318A8" w:rsidP="002318A8" w:rsidRDefault="002318A8" w14:paraId="32464D29" w14:textId="77777777">
              <w:pPr>
                <w:ind w:left="360"/>
              </w:pPr>
            </w:p>
            <w:p w:rsidR="002318A8" w:rsidP="00EE77C1" w:rsidRDefault="002318A8" w14:paraId="4E0AFC4E" w14:textId="77777777">
              <w:pPr>
                <w:rPr>
                  <w:i/>
                  <w:iCs/>
                </w:rPr>
              </w:pPr>
              <w:r>
                <w:t>4.1</w:t>
              </w:r>
              <w:r>
                <w:tab/>
              </w:r>
              <w:r>
                <w:rPr>
                  <w:i/>
                  <w:iCs/>
                </w:rPr>
                <w:t xml:space="preserve">Kwaliteit en transparantie van overheidsfinanciën </w:t>
              </w:r>
            </w:p>
            <w:p w:rsidR="002318A8" w:rsidP="002318A8" w:rsidRDefault="002318A8" w14:paraId="7D6216CF" w14:textId="77777777">
              <w:r w:rsidRPr="00CA1D64">
                <w:t>Een hoge kwaliteit van de overheidsfinanciën is essentieel voor de effectieve en doelmatige inzet van publieke middelen. Artikel 3.1 van de Comptabiliteitswet (CW) vereist een ex-ante toelichting in voorstellen, voornemens en toezeggingen op het nastreven van beleidsdoelstellingen, doeltreffendheid en doelmatigheid, de inzet van beleidsinstrumenten en de financiële gevolgen voor het Rijk en</w:t>
              </w:r>
              <w:r>
                <w:t>,</w:t>
              </w:r>
              <w:r w:rsidRPr="00CA1D64">
                <w:t xml:space="preserve"> waar mogelijk, voor maatschappelijke sectoren. Doorgaans reflecteert de Afdeling daarom in haar begrotingsrapportages op een de onderbouwing van de keuzes in de budgettaire nota’s. </w:t>
              </w:r>
              <w:r>
                <w:t xml:space="preserve">Ook reflecteert de Afdeling op de transparantie van de begrotingsinformatie. </w:t>
              </w:r>
              <w:r w:rsidRPr="00CA1D64">
                <w:t>Dit</w:t>
              </w:r>
              <w:r>
                <w:t xml:space="preserve"> </w:t>
              </w:r>
              <w:r w:rsidRPr="00CA1D64">
                <w:t xml:space="preserve">dient ter ondersteuning van het budgetrecht van beide Kamers. </w:t>
              </w:r>
            </w:p>
            <w:p w:rsidR="002318A8" w:rsidP="002318A8" w:rsidRDefault="002318A8" w14:paraId="37120EA4" w14:textId="77777777"/>
            <w:p w:rsidR="002318A8" w:rsidP="002318A8" w:rsidRDefault="002318A8" w14:paraId="4AC884C4" w14:textId="77777777">
              <w:r>
                <w:t xml:space="preserve">De afgelopen jaren viel het EMU-saldo steeds positiever uit dan vooraf werd geraamd, mede als gevolg van de historisch hoge </w:t>
              </w:r>
              <w:proofErr w:type="spellStart"/>
              <w:r>
                <w:t>onderuitputting</w:t>
              </w:r>
              <w:proofErr w:type="spellEnd"/>
              <w:r>
                <w:t xml:space="preserve"> op de begroting. Realistisch begroten is voor het kabinet dan ook een prioriteit en het kabinet neemt de aanbevelingen over van de expertgroep realistisch ramen om de trefzekerheid van de ramingen te verbeteren (zie ook paragraaf B.1.3). Het kabinet heeft naar eigen zeggen de begroting voor 2025 en 2026 realistischer gemaakt door via kasschuiven reeds gealloceerde middelen naar voren te halen. In 2025 gaat het om €2,1 mld. en om 2026 om €7 mld. Deze uitgaven komen in latere jaren tot besteding en belasten dan het begrotingssaldo. </w:t>
              </w:r>
            </w:p>
            <w:p w:rsidR="002318A8" w:rsidP="002318A8" w:rsidRDefault="002318A8" w14:paraId="099A2F38" w14:textId="77777777"/>
            <w:p w:rsidR="002318A8" w:rsidP="002318A8" w:rsidRDefault="002318A8" w14:paraId="7B122CEA" w14:textId="77777777">
              <w:r>
                <w:t xml:space="preserve">Daarnaast heeft het kabinet besloten om aanvullende </w:t>
              </w:r>
              <w:proofErr w:type="spellStart"/>
              <w:r>
                <w:t>onderuitputting</w:t>
              </w:r>
              <w:proofErr w:type="spellEnd"/>
              <w:r>
                <w:t xml:space="preserve"> in te boeken in de begroting om in te spelen op de stijgende trend aan </w:t>
              </w:r>
              <w:proofErr w:type="spellStart"/>
              <w:r>
                <w:t>onderuitputting</w:t>
              </w:r>
              <w:proofErr w:type="spellEnd"/>
              <w:r>
                <w:t xml:space="preserve">. </w:t>
              </w:r>
              <w:r w:rsidRPr="005F3DD1">
                <w:t xml:space="preserve">Hiermee neemt het kabinet een voorschot op de </w:t>
              </w:r>
              <w:proofErr w:type="spellStart"/>
              <w:r w:rsidRPr="005F3DD1">
                <w:t>onderuitputting</w:t>
              </w:r>
              <w:proofErr w:type="spellEnd"/>
              <w:r w:rsidRPr="005F3DD1">
                <w:t xml:space="preserve"> die in de loop van het jaar naar verwachting ontstaat. </w:t>
              </w:r>
              <w:r>
                <w:t xml:space="preserve">De huidige begroting houdt rekening met €3 mld. aan aanvullende </w:t>
              </w:r>
              <w:proofErr w:type="spellStart"/>
              <w:r>
                <w:t>onderuitputting</w:t>
              </w:r>
              <w:proofErr w:type="spellEnd"/>
              <w:r>
                <w:t xml:space="preserve"> in 2025 en €3,8 mld. in 2026. Daarnaast is in deze Voorjaarsnota €4,1 mld. aan in=uittaakstelling in 2025 ingeboekt.</w:t>
              </w:r>
              <w:r>
                <w:rPr>
                  <w:rStyle w:val="Voetnootmarkering"/>
                </w:rPr>
                <w:footnoteReference w:id="65"/>
              </w:r>
              <w:r>
                <w:t xml:space="preserve"> Dit betekent dat er in de huidige begroting in totaal €7 mld. in 2025 en €7,9 mld. in 2026 moet worden gerealiseerd om de aanvullende </w:t>
              </w:r>
              <w:proofErr w:type="spellStart"/>
              <w:r>
                <w:t>onderuitputting</w:t>
              </w:r>
              <w:proofErr w:type="spellEnd"/>
              <w:r>
                <w:t xml:space="preserve"> en de in=uittaakstelling geheel te kunnen vullen.</w:t>
              </w:r>
              <w:r>
                <w:rPr>
                  <w:rStyle w:val="Voetnootmarkering"/>
                </w:rPr>
                <w:footnoteReference w:id="66"/>
              </w:r>
            </w:p>
            <w:p w:rsidR="002318A8" w:rsidP="002318A8" w:rsidRDefault="002318A8" w14:paraId="03520858" w14:textId="77777777"/>
            <w:p w:rsidR="002318A8" w:rsidP="002318A8" w:rsidRDefault="002318A8" w14:paraId="7D16CAD7" w14:textId="77777777">
              <w:r>
                <w:t xml:space="preserve">Het is de vraag of het inboeken van aanvullende </w:t>
              </w:r>
              <w:proofErr w:type="spellStart"/>
              <w:r>
                <w:t>onderuitputting</w:t>
              </w:r>
              <w:proofErr w:type="spellEnd"/>
              <w:r>
                <w:t xml:space="preserve"> strookt met de aanbeveling van de expertgroep realistisch ramen. De raming van het EMU-saldo verbetert door rekening te houden met aanvullende </w:t>
              </w:r>
              <w:proofErr w:type="spellStart"/>
              <w:r>
                <w:t>onderuitputting</w:t>
              </w:r>
              <w:proofErr w:type="spellEnd"/>
              <w:r>
                <w:t xml:space="preserve">, maar de ramingen voor de onderliggende begrotingen verbeteren daardoor niet. Vanuit het perspectief van realistisch en transparant begroten is deze praktijk dus geen wenselijke oplossing. Ook maakt het de budgettaire communicatie richting het parlement minder helder. Het is beter om budgetten met kasschuiven op de departementale begrotingen in een realistischer kasritme te plaatsen of </w:t>
              </w:r>
              <w:proofErr w:type="spellStart"/>
              <w:r>
                <w:t>onderuitputting</w:t>
              </w:r>
              <w:proofErr w:type="spellEnd"/>
              <w:r>
                <w:t xml:space="preserve"> met concrete maatregelen in de begroting te zetten. Dit benadrukt het kabinet zelf ook. In de Voorjaarsnota ontbreekt een nadere toelichting voor het inzetten van de aanvullende </w:t>
              </w:r>
              <w:proofErr w:type="spellStart"/>
              <w:r>
                <w:t>onderuitputting</w:t>
              </w:r>
              <w:proofErr w:type="spellEnd"/>
              <w:r>
                <w:t xml:space="preserve">, en daarmee inzicht en transparantie in de gemaakte keuzes. </w:t>
              </w:r>
            </w:p>
            <w:p w:rsidR="002318A8" w:rsidP="002318A8" w:rsidRDefault="002318A8" w14:paraId="6E70A71F" w14:textId="77777777"/>
            <w:p w:rsidR="002318A8" w:rsidP="002318A8" w:rsidRDefault="002318A8" w14:paraId="72C83B55" w14:textId="77777777">
              <w:r>
                <w:t xml:space="preserve">De Afdeling waardeert de inzet van het kabinet om de begroting realistischer te maken, maar constateert dat meer verbeteringen mogelijk zijn om de transparantie van de begrotingsstukken te vergroten. Deze Voorjaarsnota bevat omvangrijke kasschuiven om de begroting realistischer te maken, aan de dekkingsopgave te voldoen en extra uitgaven te verwerken. Deze kasschuiven worden op macroniveau in de tabellen in de Voorjaarsnota gepresenteerd. Er ontbreekt een toelichting op de relatie tussen de bestaande </w:t>
              </w:r>
              <w:proofErr w:type="spellStart"/>
              <w:r>
                <w:t>onderuitputting</w:t>
              </w:r>
              <w:proofErr w:type="spellEnd"/>
              <w:r>
                <w:t xml:space="preserve"> en de ingeboekte kasschuiven. Zo is historisch gezien de </w:t>
              </w:r>
              <w:proofErr w:type="spellStart"/>
              <w:r>
                <w:t>onderuitputting</w:t>
              </w:r>
              <w:proofErr w:type="spellEnd"/>
              <w:r>
                <w:t xml:space="preserve"> bij defensie groot, maar zijn er op die begroting geen kasschuiven ingeboekt. Ook ontbreekt een totaaloverzicht van de specifieke begrotingsposten waarop de kasschuiven zijn toegepast, waardoor het nu zoeken is in de individuele verticale toelichting per begroting op welke begrotingsposten (en daarmee beleidsdoelen) nu precies geschoven wordt met middelen. </w:t>
              </w:r>
            </w:p>
            <w:p w:rsidR="002318A8" w:rsidP="002318A8" w:rsidRDefault="002318A8" w14:paraId="06991B73" w14:textId="77777777"/>
            <w:p w:rsidR="002318A8" w:rsidP="002318A8" w:rsidRDefault="002318A8" w14:paraId="3ABED016" w14:textId="77777777">
              <w:r>
                <w:t xml:space="preserve">Daarnaast is, om aan de </w:t>
              </w:r>
              <w:proofErr w:type="spellStart"/>
              <w:r>
                <w:t>Rijksbrede</w:t>
              </w:r>
              <w:proofErr w:type="spellEnd"/>
              <w:r>
                <w:t xml:space="preserve"> dekkingsopgave te voldoen en de tegenvallers van budgettaire dekking te voorzien, onder meer ingezet op het inhouden van de prijsbijstelling. De betekenis en mogelijke implicatie van het inhouden van de middelen voor de prijsbijstelling wordt echter uit de Voorjaarsnota niet duidelijk. Ook is het totaalbedrag aan ingehouden compensatie voor de prijsbijstelling maar gedeeltelijk inzichtelijk. De Afdeling heeft er eerder op gewezen dat het </w:t>
              </w:r>
              <w:r w:rsidRPr="00A82286">
                <w:t xml:space="preserve">inhouden van de middelen voor de loon- en prijsbijstelling </w:t>
              </w:r>
              <w:r>
                <w:t>n</w:t>
              </w:r>
              <w:r w:rsidRPr="00A82286">
                <w:t xml:space="preserve">iet </w:t>
              </w:r>
              <w:r>
                <w:t>z</w:t>
              </w:r>
              <w:r w:rsidRPr="00A82286">
                <w:t>onder gevolgen</w:t>
              </w:r>
              <w:r>
                <w:t xml:space="preserve"> is</w:t>
              </w:r>
              <w:r w:rsidRPr="00A82286">
                <w:t xml:space="preserve">. </w:t>
              </w:r>
              <w:r>
                <w:t xml:space="preserve">De </w:t>
              </w:r>
              <w:r w:rsidRPr="00A82286">
                <w:t>loon</w:t>
              </w:r>
              <w:r>
                <w:t>- e</w:t>
              </w:r>
              <w:r w:rsidRPr="00A82286">
                <w:t>n prijs</w:t>
              </w:r>
              <w:r>
                <w:t>bij</w:t>
              </w:r>
              <w:r w:rsidRPr="00A82286">
                <w:t xml:space="preserve">stelling </w:t>
              </w:r>
              <w:r>
                <w:t>is e</w:t>
              </w:r>
              <w:r w:rsidRPr="00A82286">
                <w:t>en indexering die nodig is voor het continueren van de beleidsprocessen. Het inhouden van deze indexatie heeft gevolgen voor deze processen en heeft daarmee indirect gevolgen voor maatschappelijke doelen.</w:t>
              </w:r>
              <w:r>
                <w:t xml:space="preserve"> Deze gevolgen zouden in het kader van de transparantie kunnen worden benoemd. </w:t>
              </w:r>
            </w:p>
            <w:p w:rsidR="002318A8" w:rsidP="002318A8" w:rsidRDefault="002318A8" w14:paraId="4541B681" w14:textId="77777777"/>
            <w:p w:rsidR="002318A8" w:rsidP="002318A8" w:rsidRDefault="002318A8" w14:paraId="05035CE4" w14:textId="77777777">
              <w:pPr>
                <w:rPr>
                  <w:i/>
                  <w:iCs/>
                </w:rPr>
              </w:pPr>
            </w:p>
            <w:p w:rsidRPr="00CA1D64" w:rsidR="002318A8" w:rsidP="00EE77C1" w:rsidRDefault="002318A8" w14:paraId="6D0F4B20" w14:textId="77777777">
              <w:pPr>
                <w:rPr>
                  <w:i/>
                  <w:iCs/>
                </w:rPr>
              </w:pPr>
              <w:r>
                <w:t xml:space="preserve">4.2 </w:t>
              </w:r>
              <w:r>
                <w:tab/>
              </w:r>
              <w:r>
                <w:rPr>
                  <w:i/>
                  <w:iCs/>
                </w:rPr>
                <w:t xml:space="preserve">Financiën van de medeoverheden </w:t>
              </w:r>
            </w:p>
            <w:p w:rsidR="002318A8" w:rsidP="002318A8" w:rsidRDefault="002318A8" w14:paraId="73EA06FC" w14:textId="77777777">
              <w:r>
                <w:t xml:space="preserve">Het saldo van de medeoverheden daalt van -0,2% bbp in 2025 naar -0,4% bbp in 2033. Het beeld op wat langere termijn verandert door de Voorjaarsnota 2025 niet substantieel. Medeoverheden worden geconfronteerd met lagere inkomsten, terwijl de kosten van </w:t>
              </w:r>
              <w:proofErr w:type="spellStart"/>
              <w:r>
                <w:t>wmo</w:t>
              </w:r>
              <w:proofErr w:type="spellEnd"/>
              <w:r>
                <w:t xml:space="preserve">- en jeugdzorg in de CEP-raming 2025 toenemen (zie paragraaf B.1.2). </w:t>
              </w:r>
            </w:p>
            <w:p w:rsidR="002318A8" w:rsidP="002318A8" w:rsidRDefault="002318A8" w14:paraId="741AF14C" w14:textId="77777777"/>
            <w:p w:rsidR="002318A8" w:rsidP="002318A8" w:rsidRDefault="002318A8" w14:paraId="48A7E546" w14:textId="2168D8B4">
              <w:r>
                <w:t>Gemeente</w:t>
              </w:r>
              <w:r w:rsidR="00E26ABD">
                <w:t>n</w:t>
              </w:r>
              <w:r>
                <w:t xml:space="preserve"> krijgen voor de periode 2025-2027 cumulatief €3 mld. extra, maar dit is gedeeltelijk een tijdelijke verhoging. De extra middelen zijn voor €0,8 mld. structureel, waarvan de ene helft een verhoging van het Gemeente- en Provinciefonds betreft en de andere helft een vergoeding van het Rijk voor de tekorten in het budget van de jeugdzorg. €0,4 mld. komt tijdelijk beschikbaar door het later invoeren van de Hervormingsagenda voor de jeugdzorg. </w:t>
              </w:r>
            </w:p>
            <w:p w:rsidR="002318A8" w:rsidP="002318A8" w:rsidRDefault="002318A8" w14:paraId="6C138139" w14:textId="77777777"/>
            <w:p w:rsidR="002318A8" w:rsidP="002318A8" w:rsidRDefault="002318A8" w14:paraId="43515CE5" w14:textId="77777777">
              <w:r>
                <w:t>Voor 2028-2030 zijn taakstellingen voor de jeugdzorg voorzien die even groot zijn als de structurele intensiveringen. Dat roept de vraag op of inderdaad een tijdelijke intensivering wordt beoogd, of dat de jaren na 2027 vooral technisch zijn ingevuld in afwachting van de uitkomst van de in de Voorjaarsnota vermelde overleggen tussen de gemeentes en het Rijk.</w:t>
              </w:r>
            </w:p>
            <w:p w:rsidR="002318A8" w:rsidP="002318A8" w:rsidRDefault="002318A8" w14:paraId="23659A54" w14:textId="77777777"/>
            <w:p w:rsidR="002318A8" w:rsidP="002318A8" w:rsidRDefault="002318A8" w14:paraId="0BDE59E4" w14:textId="77777777">
              <w:r>
                <w:t xml:space="preserve">Bij het overhevelen van de </w:t>
              </w:r>
              <w:r w:rsidRPr="00767476">
                <w:t xml:space="preserve">specifieke uitkeringen </w:t>
              </w:r>
              <w:r>
                <w:t>naar het Gemeente- en Provinciefonds is</w:t>
              </w:r>
              <w:r w:rsidRPr="00767476">
                <w:t xml:space="preserve"> vanaf 2026 een generieke efficiëntiekorting van 10% budgettair ingeboekt in de departementale begrotingen</w:t>
              </w:r>
              <w:r>
                <w:t xml:space="preserve">. Dat percentage wordt slechts summier onderbouwd. </w:t>
              </w:r>
            </w:p>
            <w:p w:rsidRPr="00767476" w:rsidR="002318A8" w:rsidP="002318A8" w:rsidRDefault="002318A8" w14:paraId="6C2B3D58" w14:textId="77777777"/>
            <w:p w:rsidR="002318A8" w:rsidP="002318A8" w:rsidRDefault="002318A8" w14:paraId="51DD37AD" w14:textId="77777777">
              <w:r w:rsidRPr="00767476">
                <w:t xml:space="preserve">Voor de stabiliteit en de interbestuurlijke verhoudingen </w:t>
              </w:r>
              <w:r>
                <w:t xml:space="preserve">op de lange termijn </w:t>
              </w:r>
              <w:r w:rsidRPr="00767476">
                <w:t>is het niet alleen noodzakelijk dat de systematiek, maar ook het budgettaire niveau voor</w:t>
              </w:r>
              <w:r>
                <w:t xml:space="preserve"> uitoefenen van de taken van</w:t>
              </w:r>
              <w:r w:rsidRPr="00767476">
                <w:t xml:space="preserve"> medeoverheden toereikend is. </w:t>
              </w:r>
              <w:r>
                <w:t>Kwalitatief goede statistieken zijn essentieel voor een gedegen vergelijking van de budgettaire middelen van de medeoverheden met de taken. E</w:t>
              </w:r>
              <w:r w:rsidRPr="00767476">
                <w:t xml:space="preserve">en goed overzicht van zowel de door het </w:t>
              </w:r>
              <w:r>
                <w:t>Ri</w:t>
              </w:r>
              <w:r w:rsidRPr="00767476">
                <w:t xml:space="preserve">jk aan de gemeente gedelegeerde taken als de uitgaven van de gemeenten voor die taken </w:t>
              </w:r>
              <w:r>
                <w:t>lijkt te ontbreken</w:t>
              </w:r>
              <w:r w:rsidRPr="00767476">
                <w:t>.</w:t>
              </w:r>
              <w:r w:rsidRPr="00767476">
                <w:rPr>
                  <w:vertAlign w:val="superscript"/>
                </w:rPr>
                <w:footnoteReference w:id="67"/>
              </w:r>
              <w:r>
                <w:t xml:space="preserve"> Ook heeft het Rijk gedurende het jaar weinig zicht op de financiën van de medeoverheden.</w:t>
              </w:r>
              <w:r>
                <w:rPr>
                  <w:rStyle w:val="Voetnootmarkering"/>
                </w:rPr>
                <w:footnoteReference w:id="68"/>
              </w:r>
              <w:r>
                <w:t xml:space="preserve"> </w:t>
              </w:r>
            </w:p>
            <w:p w:rsidR="002318A8" w:rsidP="002318A8" w:rsidRDefault="002318A8" w14:paraId="2EADD877" w14:textId="77777777"/>
            <w:p w:rsidR="002318A8" w:rsidP="002318A8" w:rsidRDefault="002318A8" w14:paraId="5E56274B" w14:textId="77777777">
              <w:r>
                <w:t>Om het zicht op de financiën van de medeoverheden te verbeteren, beveelt de expertgroep aan om de ramingsmethodieken voor het begrotingssaldo voor medeoverheden en de besteding van de specifieke uitkeringen te verbeteren (zie paragraaf B.1.3).</w:t>
              </w:r>
              <w:r>
                <w:rPr>
                  <w:rStyle w:val="Voetnootmarkering"/>
                </w:rPr>
                <w:footnoteReference w:id="69"/>
              </w:r>
              <w:r>
                <w:t xml:space="preserve"> De Afdeling adviseert in aanvulling daarop dat het zinvol zou zijn als </w:t>
              </w:r>
              <w:r w:rsidRPr="00767476">
                <w:t xml:space="preserve">een eventuele werkgroep zich niet alleen concentreert op de statistische informatie die nodig is voor een betere raming van het saldo van medeoverheden, maar ook de gebieden in kaart brengt waar de statistische informatie niet toereikend is om de balans tussen middelen en taken adequaat te kunnen analyseren. </w:t>
              </w:r>
            </w:p>
            <w:p w:rsidRPr="00767476" w:rsidR="002318A8" w:rsidP="002318A8" w:rsidRDefault="002318A8" w14:paraId="2A2E4ED3" w14:textId="77777777">
              <w:pPr>
                <w:rPr>
                  <w:b/>
                  <w:bCs/>
                </w:rPr>
              </w:pPr>
            </w:p>
            <w:p w:rsidR="002318A8" w:rsidP="006D4D2E" w:rsidRDefault="002318A8" w14:paraId="4D92C1AE" w14:textId="77777777">
              <w:pPr>
                <w:pStyle w:val="Lijstalinea"/>
                <w:numPr>
                  <w:ilvl w:val="0"/>
                  <w:numId w:val="1"/>
                </w:numPr>
                <w:ind w:left="0" w:firstLine="0"/>
              </w:pPr>
              <w:r>
                <w:t xml:space="preserve">REACTIE VAN HET KABINET </w:t>
              </w:r>
            </w:p>
            <w:p w:rsidR="002318A8" w:rsidP="002318A8" w:rsidRDefault="002318A8" w14:paraId="121CFF90" w14:textId="77777777"/>
            <w:p w:rsidRPr="007B3350" w:rsidR="007B3350" w:rsidP="007B3350" w:rsidRDefault="007B3350" w14:paraId="26B4A8E6" w14:textId="542A14CE">
              <w:r w:rsidRPr="007B3350">
                <w:t>Het kabinet dankt de Afdeling advisering van de Raad van State (hierna: de Afdeling) voor haar</w:t>
              </w:r>
              <w:r>
                <w:t xml:space="preserve"> </w:t>
              </w:r>
              <w:r w:rsidRPr="007B3350">
                <w:t>oordeel over de Jaarlijkse Voortgangsrapportage (</w:t>
              </w:r>
              <w:proofErr w:type="spellStart"/>
              <w:r w:rsidRPr="007B3350">
                <w:t>Annual</w:t>
              </w:r>
              <w:proofErr w:type="spellEnd"/>
              <w:r w:rsidRPr="007B3350">
                <w:t xml:space="preserve"> </w:t>
              </w:r>
              <w:proofErr w:type="spellStart"/>
              <w:r w:rsidRPr="007B3350">
                <w:t>Progress</w:t>
              </w:r>
              <w:proofErr w:type="spellEnd"/>
              <w:r w:rsidRPr="007B3350">
                <w:t xml:space="preserve"> Report, APR) 2025 en de</w:t>
              </w:r>
              <w:r>
                <w:t xml:space="preserve"> </w:t>
              </w:r>
              <w:r w:rsidRPr="007B3350">
                <w:t>Voorjaarsnota 2025. De Voorjaarsnota bevat een update van de Rijksbegroting voor de komende</w:t>
              </w:r>
              <w:r>
                <w:t xml:space="preserve"> </w:t>
              </w:r>
              <w:r w:rsidRPr="007B3350">
                <w:t>jaren en de bijbehorende eerste suppletoire begrotingen bevatten de concrete wijzigingen per</w:t>
              </w:r>
              <w:r>
                <w:t xml:space="preserve"> </w:t>
              </w:r>
              <w:r w:rsidRPr="007B3350">
                <w:t>begrotingshoofdstuk. De Jaarlijkse Voortgangsrapportage presenteert de voortgang van het</w:t>
              </w:r>
              <w:r>
                <w:t xml:space="preserve"> </w:t>
              </w:r>
              <w:r w:rsidRPr="007B3350">
                <w:t>budgettair-structureel plan voor de middellange termijn dat eens in de vier jaar opgesteld wordt.</w:t>
              </w:r>
              <w:r>
                <w:t xml:space="preserve"> </w:t>
              </w:r>
              <w:r w:rsidRPr="007B3350">
                <w:t>Het beschrijft de ontwikkeling van de Nederlandse overheidsfinanciën en de economische</w:t>
              </w:r>
              <w:r>
                <w:t xml:space="preserve"> </w:t>
              </w:r>
              <w:r w:rsidRPr="007B3350">
                <w:t>vooruitzichten ten aanzien van het Stabiliteits- en Groeipact (SGP). Het huidige budgettair</w:t>
              </w:r>
              <w:r w:rsidR="00420E67">
                <w:t>-</w:t>
              </w:r>
              <w:r w:rsidRPr="007B3350">
                <w:t>structureel</w:t>
              </w:r>
            </w:p>
            <w:p w:rsidRPr="007B3350" w:rsidR="007B3350" w:rsidP="007B3350" w:rsidRDefault="007B3350" w14:paraId="7BC034FA" w14:textId="77777777">
              <w:r w:rsidRPr="007B3350">
                <w:t>plan geldt voor 2024 tot en met 2028. De overheidsfinanciën in de Jaarlijkse</w:t>
              </w:r>
            </w:p>
            <w:p w:rsidR="002318A8" w:rsidP="007B3350" w:rsidRDefault="007B3350" w14:paraId="713E2163" w14:textId="674C5859">
              <w:pPr>
                <w:rPr>
                  <w:b/>
                  <w:bCs/>
                </w:rPr>
              </w:pPr>
              <w:r w:rsidRPr="007B3350">
                <w:t>Voortgangsrapportage zijn gepresenteerd op basis van een ex-ante doorrekening van de</w:t>
              </w:r>
              <w:r>
                <w:t xml:space="preserve"> </w:t>
              </w:r>
              <w:r w:rsidRPr="007B3350">
                <w:t>voorjaarsbesluitvorming door het Centraal Planbureau (CPB). Dit verschilt met de Voorjaarsnota,</w:t>
              </w:r>
              <w:r>
                <w:t xml:space="preserve"> </w:t>
              </w:r>
              <w:r w:rsidRPr="007B3350">
                <w:t>die op basis van de ramingen van het kabinet wordt opgesteld. Hierdoor kunnen op sommige</w:t>
              </w:r>
              <w:r>
                <w:t xml:space="preserve"> </w:t>
              </w:r>
              <w:r w:rsidRPr="007B3350">
                <w:t>punten verschillen ontstaan. De economische vooruitzichten in zowel de Voorjaarsnota als het</w:t>
              </w:r>
              <w:r>
                <w:t xml:space="preserve"> </w:t>
              </w:r>
              <w:r w:rsidRPr="007B3350">
                <w:t>Jaarlijks Voortgangsverslag zijn gebaseerd op het Centraal Economisch Plan (CEP). De Afdeling</w:t>
              </w:r>
              <w:r>
                <w:t xml:space="preserve"> </w:t>
              </w:r>
              <w:r w:rsidRPr="007B3350">
                <w:t>heeft beoordeeld in hoeverre de ontwikkeling van de overheidsfinanciën voldoet aan de nationale</w:t>
              </w:r>
              <w:r>
                <w:t xml:space="preserve"> </w:t>
              </w:r>
              <w:r w:rsidRPr="007B3350">
                <w:t>begrotingsregels en de regels uit het SGP</w:t>
              </w:r>
              <w:r w:rsidRPr="007B3350">
                <w:rPr>
                  <w:b/>
                  <w:bCs/>
                </w:rPr>
                <w:t>.</w:t>
              </w:r>
            </w:p>
            <w:p w:rsidR="007B3350" w:rsidP="007B3350" w:rsidRDefault="007B3350" w14:paraId="79C4CD71" w14:textId="77777777">
              <w:pPr>
                <w:rPr>
                  <w:b/>
                  <w:bCs/>
                </w:rPr>
              </w:pPr>
            </w:p>
            <w:p w:rsidRPr="00C42878" w:rsidR="00C42878" w:rsidP="00C42878" w:rsidRDefault="00C42878" w14:paraId="381D42B4" w14:textId="48DDEBD7">
              <w:r w:rsidRPr="00C42878">
                <w:t>De meerjarige Voorjaarsnota blijft een belangrijke verbetering van het begrotingsproces. Door de</w:t>
              </w:r>
              <w:r>
                <w:t xml:space="preserve"> </w:t>
              </w:r>
              <w:r w:rsidRPr="00C42878">
                <w:t>besluitvorming te vervroegen en medio april af te ronden is ruimte gemaakt voor een doorrekening</w:t>
              </w:r>
              <w:r>
                <w:t xml:space="preserve"> </w:t>
              </w:r>
              <w:r w:rsidRPr="00C42878">
                <w:t>door het CPB, die is opgenomen in de Jaarlijkse Voortgangsrapportage. Ook kan de Raad van State</w:t>
              </w:r>
              <w:r>
                <w:t xml:space="preserve"> </w:t>
              </w:r>
              <w:r w:rsidRPr="00C42878">
                <w:t>deze doorrekening meenemen in zijn oordeel over de Voorjaarsnota en de Jaarlijkse</w:t>
              </w:r>
            </w:p>
            <w:p w:rsidRPr="00C42878" w:rsidR="005C1D50" w:rsidP="00C42878" w:rsidRDefault="00C42878" w14:paraId="1A3BD81F" w14:textId="1F4B04B7">
              <w:r w:rsidRPr="00C42878">
                <w:t>Voortgangsrapportage. De Afdeling constateert dat de presentatie van de meerjarige reeksen het</w:t>
              </w:r>
              <w:r>
                <w:t xml:space="preserve"> </w:t>
              </w:r>
              <w:r w:rsidRPr="00C42878">
                <w:t>parlement meer inzicht in de voorgenomen besluitvorming geeft, die hiermee beter in staat is het</w:t>
              </w:r>
              <w:r>
                <w:t xml:space="preserve"> </w:t>
              </w:r>
              <w:r w:rsidRPr="00C42878">
                <w:t>parlementair budgetrecht uit te oefenen. Daarbij is de Voorjaarsnota meer in lijn met het Europees</w:t>
              </w:r>
              <w:r>
                <w:t xml:space="preserve"> </w:t>
              </w:r>
              <w:r w:rsidRPr="00C42878">
                <w:t>Semester. Het kabinet onderschrijft deze constatering en benadrukt dat de ambitie om het</w:t>
              </w:r>
              <w:r>
                <w:t xml:space="preserve"> </w:t>
              </w:r>
              <w:r w:rsidRPr="00C42878">
                <w:t>begrotingsproces verder te verbeteren onverminderd blijft staan.</w:t>
              </w:r>
            </w:p>
            <w:p w:rsidR="0083494D" w:rsidP="002318A8" w:rsidRDefault="0083494D" w14:paraId="56F6C6C6" w14:textId="77777777">
              <w:pPr>
                <w:rPr>
                  <w:b/>
                  <w:bCs/>
                </w:rPr>
              </w:pPr>
            </w:p>
            <w:p w:rsidR="00151B44" w:rsidP="002318A8" w:rsidRDefault="00151B44" w14:paraId="165A397A" w14:textId="77777777">
              <w:pPr>
                <w:rPr>
                  <w:b/>
                  <w:bCs/>
                </w:rPr>
              </w:pPr>
            </w:p>
            <w:p w:rsidR="00151B44" w:rsidP="002318A8" w:rsidRDefault="00151B44" w14:paraId="4237EA23" w14:textId="77777777">
              <w:pPr>
                <w:rPr>
                  <w:b/>
                  <w:bCs/>
                </w:rPr>
              </w:pPr>
            </w:p>
            <w:p w:rsidRPr="00045C78" w:rsidR="00045C78" w:rsidP="00045C78" w:rsidRDefault="00045C78" w14:paraId="6643271F" w14:textId="77777777">
              <w:pPr>
                <w:rPr>
                  <w:u w:val="single"/>
                </w:rPr>
              </w:pPr>
              <w:r w:rsidRPr="00045C78">
                <w:rPr>
                  <w:u w:val="single"/>
                </w:rPr>
                <w:t>Toets aan de nationale begrotingsregels</w:t>
              </w:r>
            </w:p>
            <w:p w:rsidRPr="00045C78" w:rsidR="00045C78" w:rsidP="00045C78" w:rsidRDefault="00045C78" w14:paraId="3AA7DB26" w14:textId="0301B471">
              <w:r w:rsidRPr="00045C78">
                <w:t xml:space="preserve">De Afdeling constateert dat met deze Voorjaarsnota het trendmatig begrotingsbeleid </w:t>
              </w:r>
              <w:r w:rsidR="00965389">
                <w:t xml:space="preserve">over het algemeen </w:t>
              </w:r>
              <w:r w:rsidRPr="00045C78">
                <w:t>wordt gehandhaafd, de scheiding tussen inkomsten en uitgaven wordt gerespecteerd en dat zowel</w:t>
              </w:r>
              <w:r>
                <w:t xml:space="preserve"> </w:t>
              </w:r>
              <w:r w:rsidRPr="00045C78">
                <w:t>het inkomsten- als het uitgavenkader gesloten is. De Afdeling vraagt specifiek aandacht voor het</w:t>
              </w:r>
            </w:p>
            <w:p w:rsidR="00327C01" w:rsidP="00045C78" w:rsidRDefault="00045C78" w14:paraId="7C57D991" w14:textId="77777777">
              <w:r w:rsidRPr="00045C78">
                <w:t>feit dat de overheidsconsumptie en inkomensoverdrachten stijgen, terwijl investeringen minder</w:t>
              </w:r>
              <w:r>
                <w:t xml:space="preserve"> </w:t>
              </w:r>
              <w:r w:rsidRPr="00045C78">
                <w:t>sterk groeien. Ook constateert de Afdeling dat het niet verhogen van belastingen op consumptie</w:t>
              </w:r>
              <w:r>
                <w:t xml:space="preserve"> </w:t>
              </w:r>
              <w:r w:rsidRPr="00045C78">
                <w:t>wordt gedekt door de belastingen op arbeid te verhogen. De Afdeling vraagt het kabinet om op</w:t>
              </w:r>
              <w:r>
                <w:t xml:space="preserve"> </w:t>
              </w:r>
              <w:r w:rsidRPr="00045C78">
                <w:t>beide punten in te gaan in de economische structuuranalyse. Tevens adviseert de Afdeling de</w:t>
              </w:r>
              <w:r>
                <w:t xml:space="preserve"> </w:t>
              </w:r>
              <w:r w:rsidRPr="00045C78">
                <w:t>volgende Studiegroep Begrotingsruimte om onderzoek te doen naar de werking van zowel de</w:t>
              </w:r>
              <w:r>
                <w:t xml:space="preserve"> </w:t>
              </w:r>
              <w:r w:rsidRPr="00045C78">
                <w:t xml:space="preserve">meevallerformule als de 100%-eindejaarsmarge bij begrotingsfondsen. </w:t>
              </w:r>
            </w:p>
            <w:p w:rsidR="00327C01" w:rsidP="00045C78" w:rsidRDefault="00327C01" w14:paraId="278B6192" w14:textId="77777777"/>
            <w:p w:rsidR="004821D5" w:rsidP="00F15862" w:rsidRDefault="00327C01" w14:paraId="36A91FDE" w14:textId="401654B4">
              <w:r>
                <w:t xml:space="preserve">De Afdeling verwelkomt de aanbevelingen van de Expertgroep realistisch ramen. In het verlengde daarvan adviseert de Afdeling het CPB en het Ministerie </w:t>
              </w:r>
              <w:r w:rsidRPr="00045C78" w:rsidR="00045C78">
                <w:t>van Financiën om de</w:t>
              </w:r>
              <w:r w:rsidR="00707477">
                <w:t xml:space="preserve"> ramingsverschillen zoveel mogelijk te verkleinen en transparant te zijn over de </w:t>
              </w:r>
              <w:r w:rsidR="003053A7">
                <w:t>onderlinge ramings</w:t>
              </w:r>
              <w:r w:rsidR="00707477">
                <w:t>verschille</w:t>
              </w:r>
              <w:r w:rsidR="003053A7">
                <w:t>n van het EMU-saldo</w:t>
              </w:r>
              <w:r w:rsidR="00F15862">
                <w:t xml:space="preserve">. Daarbij gaat de Afdeling in op de aanbeveling van de Expertgroep om het zicht op de financiën van medeoverheden te verbeteren. De Afdeling adviseert het kabinet om niet alleen te concentreren op de statistische informatie die nodig is voor een betere raming van het saldo van medeoverheden, maar ook de gebieden in kaart te brengen waar de statistische informatie niet toereikend is om de balans tussen middelen en taken adequaat te kunnen analyseren. </w:t>
              </w:r>
            </w:p>
            <w:p w:rsidR="00F15862" w:rsidP="00F15862" w:rsidRDefault="00F15862" w14:paraId="453A032C" w14:textId="77777777"/>
            <w:p w:rsidR="00BF6393" w:rsidP="004821D5" w:rsidRDefault="004821D5" w14:paraId="0FCA59C0" w14:textId="77777777">
              <w:r w:rsidRPr="004821D5">
                <w:t>Het kabinet is de Afdeling erkentelijk voor de conclusies over het gevoerde begrotingsbeleid. Het</w:t>
              </w:r>
              <w:r>
                <w:t xml:space="preserve"> </w:t>
              </w:r>
              <w:r w:rsidRPr="004821D5">
                <w:t>kabinet voelt zich hierdoor gesterkt om trendmatig begrotingsbeleid te blijven voeren. Het</w:t>
              </w:r>
              <w:r>
                <w:t xml:space="preserve"> </w:t>
              </w:r>
              <w:r w:rsidRPr="004821D5">
                <w:t xml:space="preserve">trendmatig begrotingsbeleid biedt houvast voor Nederlandse burgers en </w:t>
              </w:r>
              <w:proofErr w:type="spellStart"/>
              <w:r w:rsidRPr="004821D5">
                <w:t>bedr</w:t>
              </w:r>
              <w:r w:rsidRPr="004821D5">
                <w:rPr>
                  <w:rFonts w:ascii="Calibri" w:hAnsi="Calibri" w:cs="Calibri"/>
                </w:rPr>
                <w:t>ĳ</w:t>
              </w:r>
              <w:r w:rsidRPr="004821D5">
                <w:t>ven</w:t>
              </w:r>
              <w:proofErr w:type="spellEnd"/>
              <w:r w:rsidRPr="004821D5">
                <w:t xml:space="preserve"> en draagt bij aan</w:t>
              </w:r>
              <w:r>
                <w:t xml:space="preserve"> </w:t>
              </w:r>
              <w:r w:rsidRPr="004821D5">
                <w:t>stabiel en voorspelbaar beleid. Om dit te waarborgen, stuurt het kabinet op de uitgaven- en</w:t>
              </w:r>
              <w:r>
                <w:t xml:space="preserve"> </w:t>
              </w:r>
              <w:r w:rsidRPr="004821D5">
                <w:t xml:space="preserve">inkomstenkaders die </w:t>
              </w:r>
              <w:proofErr w:type="spellStart"/>
              <w:r w:rsidRPr="004821D5">
                <w:t>b</w:t>
              </w:r>
              <w:r w:rsidRPr="004821D5">
                <w:rPr>
                  <w:rFonts w:ascii="Calibri" w:hAnsi="Calibri" w:cs="Calibri"/>
                </w:rPr>
                <w:t>ĳ</w:t>
              </w:r>
              <w:proofErr w:type="spellEnd"/>
              <w:r w:rsidRPr="004821D5">
                <w:t xml:space="preserve"> de start van de kabinetsperiode </w:t>
              </w:r>
              <w:proofErr w:type="spellStart"/>
              <w:r w:rsidRPr="004821D5">
                <w:t>z</w:t>
              </w:r>
              <w:r w:rsidRPr="004821D5">
                <w:rPr>
                  <w:rFonts w:ascii="Calibri" w:hAnsi="Calibri" w:cs="Calibri"/>
                </w:rPr>
                <w:t>ĳ</w:t>
              </w:r>
              <w:r w:rsidRPr="004821D5">
                <w:t>n</w:t>
              </w:r>
              <w:proofErr w:type="spellEnd"/>
              <w:r w:rsidRPr="004821D5">
                <w:t xml:space="preserve"> afgesproken. Tijdens de</w:t>
              </w:r>
              <w:r>
                <w:t xml:space="preserve"> </w:t>
              </w:r>
              <w:r w:rsidRPr="004821D5">
                <w:t>kabinetsperiode wil het kabinet niet tornen aan gemaakte afspraken, maar onderschrijft het belang</w:t>
              </w:r>
              <w:r>
                <w:t xml:space="preserve"> </w:t>
              </w:r>
              <w:r w:rsidRPr="004821D5">
                <w:t>van een evaluatie van de werking van deze afspraken. Het kabinet ondersteunt daarom het advies</w:t>
              </w:r>
              <w:r>
                <w:t xml:space="preserve"> </w:t>
              </w:r>
              <w:r w:rsidRPr="004821D5">
                <w:t>aan de eerstvolgende Studiegroep Begrotingsruimte om onderzoek te doen naar de</w:t>
              </w:r>
              <w:r>
                <w:t xml:space="preserve"> </w:t>
              </w:r>
              <w:r w:rsidRPr="004821D5">
                <w:t>meevallerformule en de 100%-eindejaarsmarge bij begrotingsfondsen en hierop te adviseren.</w:t>
              </w:r>
              <w:r>
                <w:t xml:space="preserve"> </w:t>
              </w:r>
            </w:p>
            <w:p w:rsidR="00BF6393" w:rsidP="004821D5" w:rsidRDefault="00BF6393" w14:paraId="5146FD87" w14:textId="77777777"/>
            <w:p w:rsidRPr="004821D5" w:rsidR="004821D5" w:rsidP="004821D5" w:rsidRDefault="004821D5" w14:paraId="0BD5FB41" w14:textId="6B240B58">
              <w:r w:rsidRPr="004821D5">
                <w:t>Het kabinet herkent de observatie van de Afdeling over de groei van de overheidsconsumptie. De</w:t>
              </w:r>
              <w:r w:rsidR="00BF6393">
                <w:t xml:space="preserve"> </w:t>
              </w:r>
              <w:r w:rsidRPr="004821D5">
                <w:t xml:space="preserve">sterke autonome groei van </w:t>
              </w:r>
              <w:proofErr w:type="spellStart"/>
              <w:r w:rsidRPr="004821D5">
                <w:t>vergrijzingsgerelateerde</w:t>
              </w:r>
              <w:proofErr w:type="spellEnd"/>
              <w:r w:rsidRPr="004821D5">
                <w:t xml:space="preserve"> uitgaven is een belangrijke uitdaging voor de</w:t>
              </w:r>
              <w:r w:rsidR="00BF6393">
                <w:t xml:space="preserve"> </w:t>
              </w:r>
              <w:r w:rsidRPr="004821D5">
                <w:t>lange termijn. Het kabinet heeft bij de Miljoenennota toegezegd een economische structuuranalyse</w:t>
              </w:r>
              <w:r w:rsidR="00BF6393">
                <w:t xml:space="preserve"> </w:t>
              </w:r>
              <w:r w:rsidRPr="004821D5">
                <w:t>te zullen betrekken bij de voorbereiding van de begroting van 2026. Het kabinet zal daarbij ingaan</w:t>
              </w:r>
            </w:p>
            <w:p w:rsidR="004821D5" w:rsidP="004821D5" w:rsidRDefault="004821D5" w14:paraId="3934DEC6" w14:textId="2712A009">
              <w:r w:rsidRPr="004821D5">
                <w:t xml:space="preserve">op de groei van de </w:t>
              </w:r>
              <w:proofErr w:type="spellStart"/>
              <w:r w:rsidRPr="004821D5">
                <w:t>vergrijzingsgerelateerde</w:t>
              </w:r>
              <w:proofErr w:type="spellEnd"/>
              <w:r w:rsidRPr="004821D5">
                <w:t xml:space="preserve"> uitgaven. Het kabinet zal hier ook ingaan op de wijze</w:t>
              </w:r>
              <w:r w:rsidR="00BF6393">
                <w:t xml:space="preserve"> </w:t>
              </w:r>
              <w:r w:rsidRPr="004821D5">
                <w:t>van belastingheffing, waarin specifiek de verhouding tussen het belasten van consumptie versus</w:t>
              </w:r>
              <w:r w:rsidR="00BF6393">
                <w:t xml:space="preserve"> </w:t>
              </w:r>
              <w:r w:rsidRPr="004821D5">
                <w:t>het belasten van arbeid wordt meegenomen.</w:t>
              </w:r>
            </w:p>
            <w:p w:rsidR="004821D5" w:rsidP="002318A8" w:rsidRDefault="004821D5" w14:paraId="5EC5AA99" w14:textId="77777777"/>
            <w:p w:rsidR="00BF6393" w:rsidP="00BF6393" w:rsidRDefault="00BF6393" w14:paraId="560D078E" w14:textId="61D5C7EC">
              <w:r w:rsidRPr="00BF6393">
                <w:t>Het kabinet heeft eerder, net als de Afdeling, de aanbevelingen van de Expertgroep realistisch</w:t>
              </w:r>
              <w:r>
                <w:t xml:space="preserve"> </w:t>
              </w:r>
              <w:r w:rsidRPr="00BF6393">
                <w:t>ramen verwelkomd en toegezegd de aanbevelingen uit te voeren. Het kabinet is zich bewust van de</w:t>
              </w:r>
              <w:r>
                <w:t xml:space="preserve"> </w:t>
              </w:r>
              <w:r w:rsidRPr="00BF6393">
                <w:t>verschillen die bestaan tussen de eigen ramingen en die van het CPB. Als</w:t>
              </w:r>
              <w:r>
                <w:t xml:space="preserve"> </w:t>
              </w:r>
              <w:r w:rsidRPr="00BF6393">
                <w:t>onafhankelijk instituut is het de rol van het CPB om eigen inschattingen te maken over onder</w:t>
              </w:r>
              <w:r>
                <w:t xml:space="preserve"> </w:t>
              </w:r>
              <w:r w:rsidRPr="00BF6393">
                <w:t xml:space="preserve">andere beleidsmaatregelen en de verwachte </w:t>
              </w:r>
              <w:proofErr w:type="spellStart"/>
              <w:r w:rsidRPr="00BF6393">
                <w:t>onderuitputting</w:t>
              </w:r>
              <w:proofErr w:type="spellEnd"/>
              <w:r w:rsidRPr="00BF6393">
                <w:t>, waardoor altijd verschillen kunnen</w:t>
              </w:r>
              <w:r>
                <w:t xml:space="preserve"> </w:t>
              </w:r>
              <w:r w:rsidRPr="00BF6393">
                <w:t>blijven bestaan tussen de ramingen. Het kabinet onderschrijft het belang van een heldere</w:t>
              </w:r>
              <w:r>
                <w:t xml:space="preserve"> </w:t>
              </w:r>
              <w:r w:rsidRPr="00BF6393">
                <w:t>toelichting van deze ramingsverschillen.</w:t>
              </w:r>
              <w:r w:rsidR="00F3270C">
                <w:t xml:space="preserve"> </w:t>
              </w:r>
              <w:r w:rsidRPr="00F3270C" w:rsidR="00F3270C">
                <w:t>In lijn met de aanbevelingen van de Expertgroep realistisch ramen heeft het kabinet toegezegd een werkgroep in te stellen die aan de slag zal gaan met een beter ramingsmodel van het EMU-saldo decentrale overheden op basis van actuele informatie. Het kabinet onderschrijft ook het bredere belang van statistische informatie en zal de werkgroep verzoeken het advies van de Afdeling mee te nemen in hun analyse</w:t>
              </w:r>
            </w:p>
            <w:p w:rsidR="00920F49" w:rsidP="00BF6393" w:rsidRDefault="00920F49" w14:paraId="1E675C61" w14:textId="77777777"/>
            <w:p w:rsidRPr="00151B44" w:rsidR="00151B44" w:rsidP="00151B44" w:rsidRDefault="00151B44" w14:paraId="6CE437DC" w14:textId="77777777">
              <w:pPr>
                <w:rPr>
                  <w:u w:val="single"/>
                </w:rPr>
              </w:pPr>
              <w:r w:rsidRPr="00151B44">
                <w:rPr>
                  <w:u w:val="single"/>
                </w:rPr>
                <w:t>Toets aan de Europese begrotingsregels</w:t>
              </w:r>
            </w:p>
            <w:p w:rsidRPr="00151B44" w:rsidR="00151B44" w:rsidP="00151B44" w:rsidRDefault="00151B44" w14:paraId="3BAA5634" w14:textId="04D52E08">
              <w:r w:rsidRPr="00151B44">
                <w:t>In de Voorjaarsrapportage toetst de Afdeling of de begroting voldoet aan de Europese</w:t>
              </w:r>
              <w:r>
                <w:t xml:space="preserve"> </w:t>
              </w:r>
              <w:r w:rsidRPr="00151B44">
                <w:t>begrotingsregels in 2024, 2025 en 2026. De Afdeling kijkt hierbij naar cijfers uit de Jaarlijkse</w:t>
              </w:r>
              <w:r>
                <w:t xml:space="preserve"> </w:t>
              </w:r>
              <w:r w:rsidRPr="00151B44">
                <w:t>Voortgangsrapportage waarin de CPB-ramingen voor de overheidsfinanciën (inclusief een ex-ante</w:t>
              </w:r>
              <w:r>
                <w:t xml:space="preserve"> </w:t>
              </w:r>
              <w:r w:rsidRPr="00151B44">
                <w:t>doorrekening van de</w:t>
              </w:r>
              <w:r>
                <w:t xml:space="preserve"> </w:t>
              </w:r>
              <w:r w:rsidRPr="00151B44">
                <w:t>voorjaarsbesluitvorming) zijn verwerkt. In de Jaarlijkse Voortgangsrapportage</w:t>
              </w:r>
              <w:r w:rsidRPr="00FF580F" w:rsidR="00FF580F">
                <w:t xml:space="preserve"> </w:t>
              </w:r>
              <w:r w:rsidRPr="00151B44">
                <w:t xml:space="preserve">rapporteren lidstaten van de Europese Unie over het meerjarig </w:t>
              </w:r>
              <w:proofErr w:type="spellStart"/>
              <w:r w:rsidRPr="00151B44">
                <w:t>uitgavenpad</w:t>
              </w:r>
              <w:proofErr w:type="spellEnd"/>
              <w:r w:rsidRPr="00151B44">
                <w:t xml:space="preserve"> en de voortgang op de</w:t>
              </w:r>
              <w:r>
                <w:t xml:space="preserve"> </w:t>
              </w:r>
              <w:r w:rsidRPr="00151B44">
                <w:t>hervormingen en investeringen die in het budgettair-structureel plan voor de middellange termijn</w:t>
              </w:r>
              <w:r>
                <w:t xml:space="preserve"> </w:t>
              </w:r>
              <w:r w:rsidRPr="00151B44">
                <w:t>zijn opgenomen. Deze rapportages vervangen het Stabiliteitsprogramma en Nationaal</w:t>
              </w:r>
              <w:r>
                <w:t xml:space="preserve"> </w:t>
              </w:r>
              <w:r w:rsidRPr="00151B44">
                <w:t>Hervormingsprogramma.</w:t>
              </w:r>
              <w:r w:rsidRPr="00FF580F" w:rsidR="00FF580F">
                <w:t xml:space="preserve"> </w:t>
              </w:r>
            </w:p>
            <w:p w:rsidRPr="00151B44" w:rsidR="00FF580F" w:rsidP="00151B44" w:rsidRDefault="00FF580F" w14:paraId="69FF4A45" w14:textId="77777777"/>
            <w:p w:rsidR="00151B44" w:rsidP="00151B44" w:rsidRDefault="00151B44" w14:paraId="4A025CAA" w14:textId="48CBAADD">
              <w:r w:rsidRPr="00151B44">
                <w:t>De Afdeling concludeert dat Nederland op basis van zowel de Jaarlijkse Voortgangsrapportage als</w:t>
              </w:r>
              <w:r>
                <w:t xml:space="preserve"> </w:t>
              </w:r>
              <w:r w:rsidRPr="00151B44">
                <w:t xml:space="preserve">de Voorjaarsnota in alle jaren voldoet aan de vereisten van de correctieve arm uit het </w:t>
              </w:r>
              <w:r w:rsidRPr="005E41FB" w:rsidR="005E41FB">
                <w:t xml:space="preserve">Stabiliteits-en </w:t>
              </w:r>
              <w:r w:rsidRPr="00151B44">
                <w:t>Groeipact (SGP). In 2024 bedraagt het EMU-saldo -0,9% bbp en de EMU-schuld 43,3% bbp.</w:t>
              </w:r>
              <w:r>
                <w:t xml:space="preserve"> </w:t>
              </w:r>
              <w:r w:rsidRPr="00151B44">
                <w:t>Ook in de ramingen van het CPB voor 2025 en 2026 blijft het EMU-saldo boven de -3% bbp</w:t>
              </w:r>
              <w:r w:rsidRPr="005E41FB" w:rsidR="005E41FB">
                <w:t xml:space="preserve"> </w:t>
              </w:r>
              <w:r w:rsidRPr="00151B44">
                <w:t>(respectievelijk -2,3% bbp en -2,8% bbp) en de EMU-schuld onder de 60% bbp (respectievelijk</w:t>
              </w:r>
              <w:r>
                <w:t xml:space="preserve"> </w:t>
              </w:r>
              <w:r w:rsidRPr="00151B44">
                <w:t>45% bbp en 47,8% bbp).</w:t>
              </w:r>
              <w:r w:rsidRPr="005E41FB" w:rsidR="005E41FB">
                <w:t xml:space="preserve"> </w:t>
              </w:r>
            </w:p>
            <w:p w:rsidR="005E41FB" w:rsidP="00151B44" w:rsidRDefault="005E41FB" w14:paraId="506A55CB" w14:textId="77777777"/>
            <w:p w:rsidRPr="005343C8" w:rsidR="005343C8" w:rsidP="005343C8" w:rsidRDefault="005343C8" w14:paraId="161EDEE8" w14:textId="4C84E68D">
              <w:r w:rsidRPr="005343C8">
                <w:t>Onder de herziene begrotingsregels van het SGP stelt de Raad van de Europese Unie (de Raad) per</w:t>
              </w:r>
              <w:r>
                <w:t xml:space="preserve"> </w:t>
              </w:r>
              <w:r w:rsidRPr="005343C8">
                <w:t xml:space="preserve">lidstaat een maximum voor de uitgavengroei vast, het zogenoemde aanbevolen </w:t>
              </w:r>
              <w:proofErr w:type="spellStart"/>
              <w:r w:rsidRPr="005343C8">
                <w:t>uitgavenpad</w:t>
              </w:r>
              <w:proofErr w:type="spellEnd"/>
              <w:r w:rsidRPr="005343C8">
                <w:t>. Het</w:t>
              </w:r>
              <w:r>
                <w:t xml:space="preserve"> </w:t>
              </w:r>
              <w:r w:rsidRPr="005343C8">
                <w:t xml:space="preserve">aanbevolen </w:t>
              </w:r>
              <w:proofErr w:type="spellStart"/>
              <w:r w:rsidRPr="005343C8">
                <w:t>uitgavenpad</w:t>
              </w:r>
              <w:proofErr w:type="spellEnd"/>
              <w:r w:rsidRPr="005343C8">
                <w:t xml:space="preserve"> zorgt ervoor dat de overheidsschuld van lidstaten op de middellange</w:t>
              </w:r>
              <w:r>
                <w:t xml:space="preserve"> </w:t>
              </w:r>
              <w:r w:rsidRPr="005343C8">
                <w:t>termijn (een tijdsperiode bestaande uit de aanpassingsperiode van 4 of 7 jaar plus 10 jaar) op een</w:t>
              </w:r>
            </w:p>
            <w:p w:rsidRPr="005343C8" w:rsidR="005343C8" w:rsidP="005343C8" w:rsidRDefault="005343C8" w14:paraId="5DDB8DCF" w14:textId="0C18E7F9">
              <w:r w:rsidRPr="005343C8">
                <w:t>prudent niveau blijft onder de 60% bbp, of geloofwaardig daalt indien de schuld hoger is dan 60%</w:t>
              </w:r>
              <w:r>
                <w:t xml:space="preserve"> </w:t>
              </w:r>
              <w:r w:rsidRPr="005343C8">
                <w:t xml:space="preserve">bbp. Ook moet dit </w:t>
              </w:r>
              <w:proofErr w:type="spellStart"/>
              <w:r w:rsidRPr="005343C8">
                <w:t>uitgavenpad</w:t>
              </w:r>
              <w:proofErr w:type="spellEnd"/>
              <w:r w:rsidRPr="005343C8">
                <w:t xml:space="preserve"> ervoor zorgen dat het tekort onder de 3% bbp blijft op de</w:t>
              </w:r>
              <w:r>
                <w:t xml:space="preserve"> </w:t>
              </w:r>
              <w:r w:rsidRPr="005343C8">
                <w:t xml:space="preserve">middellange termijn. Volgens het aanbevolen </w:t>
              </w:r>
              <w:proofErr w:type="spellStart"/>
              <w:r w:rsidRPr="005343C8">
                <w:t>uitgavenpad</w:t>
              </w:r>
              <w:proofErr w:type="spellEnd"/>
              <w:r w:rsidRPr="005343C8">
                <w:t xml:space="preserve"> kan Nederland, om te voldoen aan de</w:t>
              </w:r>
              <w:r>
                <w:t xml:space="preserve"> </w:t>
              </w:r>
              <w:r w:rsidRPr="005343C8">
                <w:t>eisen, de netto primaire uitgaven</w:t>
              </w:r>
              <w:r w:rsidR="00D57038">
                <w:rPr>
                  <w:rStyle w:val="Voetnootmarkering"/>
                </w:rPr>
                <w:footnoteReference w:id="70"/>
              </w:r>
              <w:r w:rsidRPr="005343C8">
                <w:t xml:space="preserve"> jaarlijks met gemiddeld 3,2% laten groeien in de periode van</w:t>
              </w:r>
            </w:p>
            <w:p w:rsidR="00151B44" w:rsidP="005343C8" w:rsidRDefault="005343C8" w14:paraId="24664688" w14:textId="62E87C6B">
              <w:r w:rsidRPr="005343C8">
                <w:t>2025 tot en met 2028. Specifiek mogen de uitgaven groeien met ten hoogste 3,5% in 2025, 3,3%</w:t>
              </w:r>
              <w:r>
                <w:t xml:space="preserve"> </w:t>
              </w:r>
              <w:r w:rsidRPr="005343C8">
                <w:t>in 2026 en 3,0% in zowel 2027 en 2028.</w:t>
              </w:r>
            </w:p>
            <w:p w:rsidR="00151B44" w:rsidP="00151B44" w:rsidRDefault="00151B44" w14:paraId="3444AECD" w14:textId="77777777"/>
            <w:p w:rsidR="005F3299" w:rsidP="005F3299" w:rsidRDefault="005F3299" w14:paraId="4DD7F8ED" w14:textId="61B9AA77">
              <w:r w:rsidRPr="005F3299">
                <w:t xml:space="preserve">De Afdeling constateert dat Nederland niet voldoet aan het aanbevolen </w:t>
              </w:r>
              <w:proofErr w:type="spellStart"/>
              <w:r w:rsidRPr="005F3299">
                <w:t>uitgavenpad</w:t>
              </w:r>
              <w:proofErr w:type="spellEnd"/>
              <w:r w:rsidRPr="005F3299">
                <w:t xml:space="preserve"> van de Raad.</w:t>
              </w:r>
              <w:r>
                <w:t xml:space="preserve"> </w:t>
              </w:r>
              <w:r w:rsidRPr="005F3299">
                <w:t>De netto primaire uitgaven stijgen jaarlijks met gemiddeld 4,9% in de periode van 2025 tot en met</w:t>
              </w:r>
              <w:r>
                <w:t xml:space="preserve"> </w:t>
              </w:r>
              <w:r w:rsidRPr="005F3299">
                <w:t>2028. In de verschillende jaren stijgen de uitgaven ten opzichte van 2023 met 8,9% in 2025, 3,5%</w:t>
              </w:r>
              <w:r>
                <w:t xml:space="preserve"> </w:t>
              </w:r>
              <w:r w:rsidRPr="005F3299">
                <w:t>in 2026, 3,2% in 2027 en 4,2% in 2028. De groei van de netto primaire uitgaven was in 2024 lager</w:t>
              </w:r>
              <w:r>
                <w:t xml:space="preserve"> </w:t>
              </w:r>
              <w:r w:rsidRPr="005F3299">
                <w:t>dan eerder geraamd in het budgettair-structureel plan. De cumulatieve netto uitgavengroei valt</w:t>
              </w:r>
              <w:r w:rsidR="00DA4197">
                <w:t xml:space="preserve"> </w:t>
              </w:r>
              <w:r w:rsidRPr="005F3299">
                <w:t>echter hoger uit dan gerapporteerd in het budgettair structureel plan. Daarbij is de hogere</w:t>
              </w:r>
              <w:r w:rsidR="00DA4197">
                <w:t xml:space="preserve"> </w:t>
              </w:r>
              <w:r w:rsidRPr="005F3299">
                <w:t>uitgavengroei mede het gevolg van expansief beleid dat is ingezet door het vorige kabinet</w:t>
              </w:r>
              <w:r w:rsidR="008A7F9B">
                <w:t xml:space="preserve"> en </w:t>
              </w:r>
              <w:r w:rsidRPr="005F3299">
                <w:t>nominale ontwikkeling. Zolang het EMU-saldo boven de -3% bbp en de EMU</w:t>
              </w:r>
              <w:r w:rsidR="008A7F9B">
                <w:t>-</w:t>
              </w:r>
              <w:r w:rsidRPr="005F3299">
                <w:t>schuld</w:t>
              </w:r>
              <w:r w:rsidR="00DA4197">
                <w:t xml:space="preserve"> </w:t>
              </w:r>
              <w:r w:rsidRPr="005F3299">
                <w:t xml:space="preserve">onder de 60% blijft heeft het niet voldoen aan het aanbevolen </w:t>
              </w:r>
              <w:proofErr w:type="spellStart"/>
              <w:r w:rsidRPr="005F3299">
                <w:t>uitgavenpad</w:t>
              </w:r>
              <w:proofErr w:type="spellEnd"/>
              <w:r w:rsidRPr="005F3299">
                <w:t xml:space="preserve"> geen concrete</w:t>
              </w:r>
              <w:r w:rsidR="00DA4197">
                <w:t xml:space="preserve"> </w:t>
              </w:r>
              <w:r w:rsidRPr="005F3299">
                <w:t>gevolgen. Dit is in de huidige kabinetsperiode nog steeds het geval.</w:t>
              </w:r>
            </w:p>
            <w:p w:rsidR="00DA4197" w:rsidP="005F3299" w:rsidRDefault="00DA4197" w14:paraId="1C4061A5" w14:textId="77777777"/>
            <w:p w:rsidR="00DA4197" w:rsidP="00DA4197" w:rsidRDefault="00DA4197" w14:paraId="2553E68D" w14:textId="1D79E12F">
              <w:r w:rsidRPr="00DA4197">
                <w:t>Tot slot roept de Afdeling op om in de Voorjaarsnota en Miljoenennota aandacht te besteden aan de</w:t>
              </w:r>
              <w:r>
                <w:t xml:space="preserve"> </w:t>
              </w:r>
              <w:r w:rsidRPr="00DA4197">
                <w:t>land-specifieke aanbevelingen die de Europese Commissie opstelt voor Nederland. De Afdeling</w:t>
              </w:r>
              <w:r>
                <w:t xml:space="preserve"> </w:t>
              </w:r>
              <w:r w:rsidRPr="00DA4197">
                <w:t>vraagt verder om de aanbevelingen te betrekken bij de economische structuuranalyse.</w:t>
              </w:r>
              <w:r w:rsidR="0011650C">
                <w:t xml:space="preserve"> </w:t>
              </w:r>
              <w:r w:rsidRPr="0011650C" w:rsidR="0011650C">
                <w:t xml:space="preserve">Tevens adviseert de Afdeling het kabinet om vanwege de geopolitieke en economische onzekerheden die hun weerslag kunnen hebben op de Nederlandse economie en de begroting hier aandacht aan te besteden in de komende Miljoenennota. Deze urgente thema’s dienen in samenhang met de toegezegde visie op de Nederlandse economie van een beschouwing te worden voorzien. </w:t>
              </w:r>
            </w:p>
            <w:p w:rsidRPr="00DA4197" w:rsidR="00DA4197" w:rsidP="00DA4197" w:rsidRDefault="00DA4197" w14:paraId="516E4A36" w14:textId="77777777"/>
            <w:p w:rsidR="00DA4197" w:rsidP="00821A33" w:rsidRDefault="00DA4197" w14:paraId="1E20391C" w14:textId="7CFF994F">
              <w:r w:rsidRPr="00DA4197">
                <w:t>Het kabinet onderschrijft de beoordeling van de Afdeling over de naleving van de Europese</w:t>
              </w:r>
              <w:r>
                <w:t xml:space="preserve"> </w:t>
              </w:r>
              <w:r w:rsidRPr="00DA4197">
                <w:t>begrotingsregels. De overheidsfinanciën voldoen mede door de maatregelen uit het</w:t>
              </w:r>
              <w:r w:rsidR="00821A33">
                <w:t xml:space="preserve"> </w:t>
              </w:r>
              <w:r w:rsidRPr="00821A33" w:rsidR="00821A33">
                <w:t>hoofdlijnenakkoord in de gehele kabinetsperiode aan de Europese referentiewaarden van -3%</w:t>
              </w:r>
              <w:r w:rsidR="00821A33">
                <w:t xml:space="preserve"> </w:t>
              </w:r>
              <w:r w:rsidRPr="00821A33" w:rsidR="00821A33">
                <w:t>EMU-saldo en 60% EMU-schuld. Hiermee geeft Nederland effectief invulling aan de afspraak om</w:t>
              </w:r>
              <w:r w:rsidR="00821A33">
                <w:t xml:space="preserve"> </w:t>
              </w:r>
              <w:r w:rsidRPr="00821A33" w:rsidR="00821A33">
                <w:t>buitensporige tekorten te vermijden en kunnen de Commissie en de Raad geen</w:t>
              </w:r>
              <w:r w:rsidR="00821A33">
                <w:t xml:space="preserve"> </w:t>
              </w:r>
              <w:r w:rsidRPr="00821A33" w:rsidR="00821A33">
                <w:t>handhavingsmaatregelen opleggen. Bovendien heeft het kabinet afgesproken maatregelen te</w:t>
              </w:r>
              <w:r w:rsidR="00821A33">
                <w:t xml:space="preserve"> </w:t>
              </w:r>
              <w:r w:rsidRPr="00821A33" w:rsidR="00821A33">
                <w:t>nemen als de referentiewaarde van 3% EMU-tekort wordt overschreden.</w:t>
              </w:r>
            </w:p>
            <w:p w:rsidR="00821A33" w:rsidP="00821A33" w:rsidRDefault="00821A33" w14:paraId="1F86D228" w14:textId="77777777"/>
            <w:p w:rsidR="00821A33" w:rsidP="00821A33" w:rsidRDefault="00821A33" w14:paraId="32368739" w14:textId="573A9147">
              <w:r w:rsidRPr="00821A33">
                <w:t xml:space="preserve">Het kabinet erkent dat de huidige begroting niet voldoet aan het </w:t>
              </w:r>
              <w:proofErr w:type="spellStart"/>
              <w:r w:rsidRPr="00821A33">
                <w:t>uitgavenpad</w:t>
              </w:r>
              <w:proofErr w:type="spellEnd"/>
              <w:r w:rsidRPr="00821A33">
                <w:t xml:space="preserve"> dat door de Raad is</w:t>
              </w:r>
              <w:r>
                <w:t xml:space="preserve"> </w:t>
              </w:r>
              <w:r w:rsidRPr="00821A33">
                <w:t>aanbevolen. De overheidsfinanciën verslechteren op de lange termijn als gevolg van de autonome</w:t>
              </w:r>
              <w:r>
                <w:t xml:space="preserve"> </w:t>
              </w:r>
              <w:r w:rsidRPr="00821A33">
                <w:t xml:space="preserve">groei van </w:t>
              </w:r>
              <w:proofErr w:type="spellStart"/>
              <w:r w:rsidRPr="00821A33">
                <w:t>vergrijzingsgerelateerde</w:t>
              </w:r>
              <w:proofErr w:type="spellEnd"/>
              <w:r w:rsidRPr="00821A33">
                <w:t xml:space="preserve"> uitgaven (</w:t>
              </w:r>
              <w:r w:rsidR="002B2B9B">
                <w:t xml:space="preserve">onder andere </w:t>
              </w:r>
              <w:r w:rsidRPr="00821A33">
                <w:t>zorg en sociale zekerheid). Het kabinet zet</w:t>
              </w:r>
              <w:r>
                <w:t xml:space="preserve"> </w:t>
              </w:r>
              <w:r w:rsidRPr="00821A33">
                <w:t>in het hoofdlijnenakkoord een eerste stap in de beheersing van de overheidsuitgaven door de groei</w:t>
              </w:r>
              <w:r>
                <w:t xml:space="preserve"> </w:t>
              </w:r>
              <w:r w:rsidRPr="00821A33">
                <w:t>van de overheidsuitgaven vanaf 2027 in te perken. Ook volgende kabinetten zullen stappen moeten</w:t>
              </w:r>
              <w:r>
                <w:t xml:space="preserve"> </w:t>
              </w:r>
              <w:r w:rsidRPr="00821A33">
                <w:t>zetten om de tekorten en de schuld binnen de Europese referentiewaarden te houden.</w:t>
              </w:r>
            </w:p>
            <w:p w:rsidR="00821A33" w:rsidP="00821A33" w:rsidRDefault="00821A33" w14:paraId="36A47B4E" w14:textId="77777777"/>
            <w:p w:rsidR="00821A33" w:rsidP="007B64FC" w:rsidRDefault="007B64FC" w14:paraId="336759C5" w14:textId="3D752D57">
              <w:r w:rsidRPr="007B64FC">
                <w:t xml:space="preserve">Het kabinet erkent de logica om in de begrotingsstukken aandacht te besteden aan de </w:t>
              </w:r>
              <w:proofErr w:type="spellStart"/>
              <w:r w:rsidRPr="007B64FC">
                <w:t>landspecifieke</w:t>
              </w:r>
              <w:proofErr w:type="spellEnd"/>
              <w:r>
                <w:t xml:space="preserve"> </w:t>
              </w:r>
              <w:r w:rsidRPr="007B64FC">
                <w:t>aanbevelingen. Het kabinet onderschrijft het belang van een betere aansluiting van de</w:t>
              </w:r>
              <w:r>
                <w:t xml:space="preserve"> </w:t>
              </w:r>
              <w:r w:rsidRPr="007B64FC">
                <w:t>begrotingscyclus op het Europees Semester. Het budgettair-structureel plan en de Jaarlijkse</w:t>
              </w:r>
              <w:r>
                <w:t xml:space="preserve"> </w:t>
              </w:r>
              <w:r w:rsidRPr="007B64FC">
                <w:t>Voortgangsrapportage gaan uitgebreid in op de land-specifieke aanbevelingen. Het kabinet geeft op</w:t>
              </w:r>
              <w:r>
                <w:t xml:space="preserve"> </w:t>
              </w:r>
              <w:r w:rsidRPr="007B64FC">
                <w:t>deze wijze invulling aan de aanbeveling.</w:t>
              </w:r>
              <w:r w:rsidR="00150410">
                <w:t xml:space="preserve"> </w:t>
              </w:r>
              <w:r w:rsidRPr="00150410" w:rsidR="00150410">
                <w:t>Tevens onderschrijft het kabinet de urgentie om aandacht te blijven besteden aan de actuele geopolitieke en economische onzekerheden. Het kabinet omarmt het advies van de Afdeling hierop en zal deze thema’s in de komende Miljoenennota van een beschouwing voorzien</w:t>
              </w:r>
              <w:r w:rsidR="00150410">
                <w:t xml:space="preserve">. </w:t>
              </w:r>
            </w:p>
            <w:p w:rsidR="007B64FC" w:rsidP="007B64FC" w:rsidRDefault="007B64FC" w14:paraId="06183AFB" w14:textId="77777777"/>
            <w:p w:rsidRPr="007B64FC" w:rsidR="007B64FC" w:rsidP="007B64FC" w:rsidRDefault="007B64FC" w14:paraId="2789B5F6" w14:textId="77777777">
              <w:pPr>
                <w:rPr>
                  <w:u w:val="single"/>
                </w:rPr>
              </w:pPr>
              <w:r w:rsidRPr="007B64FC">
                <w:rPr>
                  <w:u w:val="single"/>
                </w:rPr>
                <w:t>Begrotingsproces</w:t>
              </w:r>
            </w:p>
            <w:p w:rsidR="007B64FC" w:rsidP="007B64FC" w:rsidRDefault="007B64FC" w14:paraId="646A12FB" w14:textId="057D3016">
              <w:r w:rsidRPr="007B64FC">
                <w:t>De Afdeling beveelt aan om, in lijn met het proces rond de Miljoenennota, ook voor de</w:t>
              </w:r>
              <w:r>
                <w:t xml:space="preserve"> </w:t>
              </w:r>
              <w:r w:rsidRPr="007B64FC">
                <w:t>Voorjaarsnota specifieke deadlines vast te leggen zodat de aansluiting met het Europees semester</w:t>
              </w:r>
              <w:r>
                <w:t xml:space="preserve"> </w:t>
              </w:r>
              <w:r w:rsidRPr="007B64FC">
                <w:t>gewaarborgd wordt.</w:t>
              </w:r>
            </w:p>
            <w:p w:rsidR="007B64FC" w:rsidP="007B64FC" w:rsidRDefault="007B64FC" w14:paraId="5BB3FE11" w14:textId="77777777"/>
            <w:p w:rsidR="007B64FC" w:rsidP="008647DF" w:rsidRDefault="008647DF" w14:paraId="1E907C65" w14:textId="2EA21137">
              <w:r w:rsidRPr="008647DF">
                <w:t>Het kabinet zal deze aanbeveling meewegen in de plannen voor verdere verbetering van het</w:t>
              </w:r>
              <w:r>
                <w:t xml:space="preserve"> </w:t>
              </w:r>
              <w:r w:rsidRPr="008647DF">
                <w:t>begrotings- en verantwoordingsproces. Het kabinet informeert het parlement medio 2025 over de</w:t>
              </w:r>
              <w:r>
                <w:t xml:space="preserve"> </w:t>
              </w:r>
              <w:r w:rsidRPr="008647DF">
                <w:t>volgende stappen die het hierin wil zetten middels een Kamerbrief, zoals aangekondigd in de</w:t>
              </w:r>
              <w:r>
                <w:t xml:space="preserve"> </w:t>
              </w:r>
              <w:r w:rsidRPr="008647DF">
                <w:t>Agenda Toekomstbestendig Begroten en Verantwoorden.</w:t>
              </w:r>
              <w:r>
                <w:rPr>
                  <w:rStyle w:val="Voetnootmarkering"/>
                </w:rPr>
                <w:footnoteReference w:id="71"/>
              </w:r>
              <w:r w:rsidRPr="008647DF">
                <w:t xml:space="preserve"> In deze brief gaat het kabinet ook in op</w:t>
              </w:r>
              <w:r w:rsidR="009B60CB">
                <w:t xml:space="preserve"> </w:t>
              </w:r>
              <w:r w:rsidRPr="008647DF">
                <w:t>de informatievoorziening richting het parlement en zal daarbij het advies van de Afdeling over de</w:t>
              </w:r>
              <w:r w:rsidR="009B60CB">
                <w:t xml:space="preserve"> </w:t>
              </w:r>
              <w:proofErr w:type="spellStart"/>
              <w:r w:rsidRPr="008647DF">
                <w:t>landspecifieke</w:t>
              </w:r>
              <w:proofErr w:type="spellEnd"/>
              <w:r w:rsidRPr="008647DF">
                <w:t xml:space="preserve"> aanbevelingen meewegen</w:t>
              </w:r>
              <w:r w:rsidR="009B60CB">
                <w:t>.</w:t>
              </w:r>
            </w:p>
            <w:p w:rsidR="004821D5" w:rsidP="002318A8" w:rsidRDefault="004821D5" w14:paraId="0359AC0B" w14:textId="77777777"/>
            <w:p w:rsidRPr="00045C78" w:rsidR="009B60CB" w:rsidP="002318A8" w:rsidRDefault="009B60CB" w14:paraId="1DB1F767" w14:textId="77777777"/>
            <w:p w:rsidR="002318A8" w:rsidP="002318A8" w:rsidRDefault="002318A8" w14:paraId="7941D698" w14:textId="77777777">
              <w:r w:rsidRPr="00093B7D">
                <w:t xml:space="preserve">De Afdeling heeft in de reactie van de regering geen aanleiding gezien om haar beoordeling aan te passen. </w:t>
              </w:r>
            </w:p>
            <w:p w:rsidR="002318A8" w:rsidP="002318A8" w:rsidRDefault="002318A8" w14:paraId="6DD281F9" w14:textId="77777777"/>
            <w:p w:rsidR="002318A8" w:rsidP="002318A8" w:rsidRDefault="002318A8" w14:paraId="538FE3A5" w14:textId="77777777"/>
            <w:p w:rsidR="002318A8" w:rsidP="002318A8" w:rsidRDefault="002318A8" w14:paraId="4631EBDD" w14:textId="191924F9">
              <w:r w:rsidRPr="00093B7D">
                <w:t xml:space="preserve">De </w:t>
              </w:r>
              <w:proofErr w:type="spellStart"/>
              <w:r w:rsidRPr="00093B7D">
                <w:t>vice-president</w:t>
              </w:r>
              <w:proofErr w:type="spellEnd"/>
              <w:r w:rsidRPr="00093B7D">
                <w:t xml:space="preserve"> van de Raad van State, </w:t>
              </w:r>
            </w:p>
          </w:sdtContent>
        </w:sdt>
        <w:p w:rsidR="002318A8" w:rsidP="002318A8" w:rsidRDefault="002318A8" w14:paraId="4CAAC723" w14:textId="043262F8"/>
        <w:p w:rsidR="001B1BDC" w:rsidRDefault="00FC271F" w14:paraId="38FC65B6" w14:textId="77777777"/>
      </w:sdtContent>
    </w:sdt>
    <w:p w:rsidR="007F4227" w:rsidRDefault="007F4227" w14:paraId="2A898627" w14:textId="6D5AAEDF"/>
    <w:sectPr w:rsidR="007F4227" w:rsidSect="00F84D68">
      <w:headerReference w:type="default" r:id="rId11"/>
      <w:footerReference w:type="default" r:id="rId12"/>
      <w:headerReference w:type="first" r:id="rId13"/>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3F27" w14:textId="77777777" w:rsidR="00FF1FD6" w:rsidRDefault="00FF1FD6">
      <w:r>
        <w:separator/>
      </w:r>
    </w:p>
  </w:endnote>
  <w:endnote w:type="continuationSeparator" w:id="0">
    <w:p w14:paraId="7F710864" w14:textId="77777777" w:rsidR="00FF1FD6" w:rsidRDefault="00FF1FD6">
      <w:r>
        <w:continuationSeparator/>
      </w:r>
    </w:p>
  </w:endnote>
  <w:endnote w:type="continuationNotice" w:id="1">
    <w:p w14:paraId="1697645D" w14:textId="77777777" w:rsidR="00FF1FD6" w:rsidRDefault="00FF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F6FB8" w14:paraId="063D3B97" w14:textId="77777777" w:rsidTr="00D90098">
      <w:tc>
        <w:tcPr>
          <w:tcW w:w="4815" w:type="dxa"/>
        </w:tcPr>
        <w:p w14:paraId="063D3B95" w14:textId="77777777" w:rsidR="00D90098" w:rsidRDefault="00D90098" w:rsidP="00D90098">
          <w:pPr>
            <w:pStyle w:val="Voettekst"/>
          </w:pPr>
        </w:p>
      </w:tc>
      <w:tc>
        <w:tcPr>
          <w:tcW w:w="4247" w:type="dxa"/>
        </w:tcPr>
        <w:p w14:paraId="063D3B96" w14:textId="77777777" w:rsidR="00D90098" w:rsidRDefault="00D90098" w:rsidP="00D90098">
          <w:pPr>
            <w:pStyle w:val="Voettekst"/>
            <w:jc w:val="right"/>
          </w:pPr>
        </w:p>
      </w:tc>
    </w:tr>
  </w:tbl>
  <w:p w14:paraId="063D3B98" w14:textId="77777777" w:rsidR="00D90098" w:rsidRDefault="00D90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5BCF" w14:textId="77777777" w:rsidR="00FF1FD6" w:rsidRDefault="00FF1FD6">
      <w:r>
        <w:separator/>
      </w:r>
    </w:p>
  </w:footnote>
  <w:footnote w:type="continuationSeparator" w:id="0">
    <w:p w14:paraId="675EDF45" w14:textId="77777777" w:rsidR="00FF1FD6" w:rsidRDefault="00FF1FD6">
      <w:r>
        <w:continuationSeparator/>
      </w:r>
    </w:p>
  </w:footnote>
  <w:footnote w:type="continuationNotice" w:id="1">
    <w:p w14:paraId="79BF32BC" w14:textId="77777777" w:rsidR="00FF1FD6" w:rsidRDefault="00FF1FD6"/>
  </w:footnote>
  <w:footnote w:id="2">
    <w:p w14:paraId="2798E68B" w14:textId="77777777" w:rsidR="002318A8" w:rsidRDefault="002318A8" w:rsidP="002318A8">
      <w:pPr>
        <w:pStyle w:val="Voetnoottekst"/>
      </w:pPr>
      <w:r>
        <w:rPr>
          <w:rStyle w:val="Voetnootmarkering"/>
        </w:rPr>
        <w:footnoteRef/>
      </w:r>
      <w:r>
        <w:t xml:space="preserve"> </w:t>
      </w:r>
      <w:r w:rsidRPr="00EB7272">
        <w:t>Het betreft het begrotingstoezicht, bedoeld in het Verdrag inzake Stabiliteit, Coördinatie en Bestuur (VSCB), in artikel 5 van Verordening (EU) 473/2013 en zoals opgenomen in artikel 2, achtste lid van de Wet houdbare overheidsfinanciën</w:t>
      </w:r>
      <w:r>
        <w:t xml:space="preserve">. </w:t>
      </w:r>
    </w:p>
  </w:footnote>
  <w:footnote w:id="3">
    <w:p w14:paraId="2FD11AFE" w14:textId="77777777" w:rsidR="002318A8" w:rsidRDefault="002318A8" w:rsidP="002318A8">
      <w:pPr>
        <w:pStyle w:val="Voetnoottekst"/>
      </w:pPr>
      <w:r>
        <w:rPr>
          <w:rStyle w:val="Voetnootmarkering"/>
        </w:rPr>
        <w:footnoteRef/>
      </w:r>
      <w:r>
        <w:t xml:space="preserve"> Centraal Planbureau (2025). Centraal Economisch Plan 2025, februari 2025.</w:t>
      </w:r>
    </w:p>
  </w:footnote>
  <w:footnote w:id="4">
    <w:p w14:paraId="04055A78" w14:textId="77777777" w:rsidR="002318A8" w:rsidRDefault="002318A8" w:rsidP="002318A8">
      <w:pPr>
        <w:pStyle w:val="Voetnoottekst"/>
      </w:pPr>
      <w:r>
        <w:rPr>
          <w:rStyle w:val="Voetnootmarkering"/>
        </w:rPr>
        <w:footnoteRef/>
      </w:r>
      <w:r>
        <w:t xml:space="preserve"> Het Centraal Planbureau heeft in een aanvullende analyse de effecten van de importheffingen van president </w:t>
      </w:r>
      <w:proofErr w:type="spellStart"/>
      <w:r>
        <w:t>Trump</w:t>
      </w:r>
      <w:proofErr w:type="spellEnd"/>
      <w:r>
        <w:t xml:space="preserve"> doorgerekend. De tarieven hebben naar schatting een drukkend effect op de bbp-groei in 2025 en 2026 van respectievelijk 0,4% en 0,6%. Het negatieve effect op het EMU-saldo in deze jaren is achtereenvolgens 0,1% bbp en 0,3% bbp. Zie Centraal Planbureau (2025). Economische effecten van importheffingen. CPB Publicatie, mei. </w:t>
      </w:r>
      <w:hyperlink r:id="rId1" w:history="1">
        <w:r w:rsidRPr="00CE3C22">
          <w:rPr>
            <w:rStyle w:val="Hyperlink"/>
          </w:rPr>
          <w:t>(link</w:t>
        </w:r>
      </w:hyperlink>
      <w:r>
        <w:t>)</w:t>
      </w:r>
    </w:p>
  </w:footnote>
  <w:footnote w:id="5">
    <w:p w14:paraId="5C6C590D" w14:textId="77777777" w:rsidR="002318A8" w:rsidRDefault="002318A8" w:rsidP="002318A8">
      <w:pPr>
        <w:pStyle w:val="Voetnoottekst"/>
      </w:pPr>
      <w:r>
        <w:rPr>
          <w:rStyle w:val="Voetnootmarkering"/>
        </w:rPr>
        <w:footnoteRef/>
      </w:r>
      <w:r>
        <w:t xml:space="preserve"> CPB (2025). Impact energietransitie op </w:t>
      </w:r>
      <w:proofErr w:type="spellStart"/>
      <w:r>
        <w:t>middellangetermijn</w:t>
      </w:r>
      <w:proofErr w:type="spellEnd"/>
      <w:r>
        <w:t xml:space="preserve"> raming van investeringen. Achtergronddocument bij CEP 2025, februari. (</w:t>
      </w:r>
      <w:hyperlink r:id="rId2" w:history="1">
        <w:r w:rsidRPr="00163AC5">
          <w:rPr>
            <w:rStyle w:val="Hyperlink"/>
          </w:rPr>
          <w:t>link</w:t>
        </w:r>
      </w:hyperlink>
      <w:r>
        <w:t>)</w:t>
      </w:r>
    </w:p>
  </w:footnote>
  <w:footnote w:id="6">
    <w:p w14:paraId="43A12F0D" w14:textId="77777777" w:rsidR="002318A8" w:rsidRDefault="002318A8" w:rsidP="002318A8">
      <w:pPr>
        <w:pStyle w:val="Voetnoottekst"/>
      </w:pPr>
      <w:r>
        <w:rPr>
          <w:rStyle w:val="Voetnootmarkering"/>
        </w:rPr>
        <w:footnoteRef/>
      </w:r>
      <w:r>
        <w:t xml:space="preserve"> Dit zijn de bruto lonen (inclusief sociale lasten van werkgevers) per gewerkt uur.</w:t>
      </w:r>
    </w:p>
  </w:footnote>
  <w:footnote w:id="7">
    <w:p w14:paraId="1996CBB5" w14:textId="77777777" w:rsidR="002318A8" w:rsidRDefault="002318A8" w:rsidP="002318A8">
      <w:pPr>
        <w:pStyle w:val="Voetnoottekst"/>
      </w:pPr>
      <w:r>
        <w:rPr>
          <w:rStyle w:val="Voetnootmarkering"/>
        </w:rPr>
        <w:footnoteRef/>
      </w:r>
      <w:r>
        <w:t xml:space="preserve"> De collectieve uitgavenquote is het totaal van de gezamenlijke uitgaven van de overheid, de sociale fondsen en de zorgsector, uitgedrukt in percentage bbp. </w:t>
      </w:r>
    </w:p>
  </w:footnote>
  <w:footnote w:id="8">
    <w:p w14:paraId="4911AB41" w14:textId="77777777" w:rsidR="002318A8" w:rsidRDefault="002318A8" w:rsidP="002318A8">
      <w:pPr>
        <w:pStyle w:val="Voetnoottekst"/>
      </w:pPr>
      <w:r>
        <w:rPr>
          <w:rStyle w:val="Voetnootmarkering"/>
        </w:rPr>
        <w:footnoteRef/>
      </w:r>
      <w:r>
        <w:t xml:space="preserve"> Voor een uitgebreide toelichting, zie CPB (2025). Structureel arbeidsaanbod in het CEP 2025. Achtergronddocument bij CEP 2025, februari. (</w:t>
      </w:r>
      <w:hyperlink r:id="rId3" w:history="1">
        <w:r w:rsidRPr="00163AC5">
          <w:rPr>
            <w:rStyle w:val="Hyperlink"/>
          </w:rPr>
          <w:t>link</w:t>
        </w:r>
      </w:hyperlink>
      <w:r>
        <w:t>)</w:t>
      </w:r>
    </w:p>
  </w:footnote>
  <w:footnote w:id="9">
    <w:p w14:paraId="45E3C7E9" w14:textId="77777777" w:rsidR="002318A8" w:rsidRDefault="002318A8" w:rsidP="002318A8">
      <w:pPr>
        <w:pStyle w:val="Voetnoottekst"/>
      </w:pPr>
      <w:r>
        <w:rPr>
          <w:rStyle w:val="Voetnootmarkering"/>
        </w:rPr>
        <w:footnoteRef/>
      </w:r>
      <w:r>
        <w:t xml:space="preserve"> CPB (2025). </w:t>
      </w:r>
      <w:proofErr w:type="spellStart"/>
      <w:r>
        <w:t>Middellangetermijnraming</w:t>
      </w:r>
      <w:proofErr w:type="spellEnd"/>
      <w:r>
        <w:t xml:space="preserve"> zorg 2027-2033. Achtergronddocument bij CEP 2025, februari. (</w:t>
      </w:r>
      <w:hyperlink r:id="rId4" w:history="1">
        <w:r w:rsidRPr="007C1B42">
          <w:rPr>
            <w:rStyle w:val="Hyperlink"/>
          </w:rPr>
          <w:t>link</w:t>
        </w:r>
      </w:hyperlink>
      <w:r>
        <w:t>)</w:t>
      </w:r>
    </w:p>
  </w:footnote>
  <w:footnote w:id="10">
    <w:p w14:paraId="4E7913AE" w14:textId="77777777" w:rsidR="002318A8" w:rsidRDefault="002318A8" w:rsidP="002318A8">
      <w:pPr>
        <w:pStyle w:val="Voetnoottekst"/>
      </w:pPr>
      <w:r>
        <w:rPr>
          <w:rStyle w:val="Voetnootmarkering"/>
        </w:rPr>
        <w:footnoteRef/>
      </w:r>
      <w:r>
        <w:t xml:space="preserve"> De collectieve lastenquote zijn inkomsten van belastingen en premies ontvangen door de Nederlandse overheid als percentage van het bbp (inclusief </w:t>
      </w:r>
      <w:proofErr w:type="spellStart"/>
      <w:r>
        <w:t>zvw</w:t>
      </w:r>
      <w:proofErr w:type="spellEnd"/>
      <w:r>
        <w:t>-premies en premies betaald door niet-ingezetenen).</w:t>
      </w:r>
    </w:p>
  </w:footnote>
  <w:footnote w:id="11">
    <w:p w14:paraId="15F4D27B" w14:textId="77777777" w:rsidR="002318A8" w:rsidRDefault="002318A8" w:rsidP="002318A8">
      <w:pPr>
        <w:pStyle w:val="Voetnoottekst"/>
      </w:pPr>
      <w:r>
        <w:rPr>
          <w:rStyle w:val="Voetnootmarkering"/>
        </w:rPr>
        <w:footnoteRef/>
      </w:r>
      <w:r>
        <w:t xml:space="preserve"> Centraal Planbureau (2025). CEP 2025 – Verantwoording, Kader “ Overheidssaldo 2024: CEP vs. MEV. Zie sectie 1.3. voor een uitgebreidere discussie over de mogelijke consequenties van ramingsbijstellingen voor de begrotingstoetsing. </w:t>
      </w:r>
    </w:p>
  </w:footnote>
  <w:footnote w:id="12">
    <w:p w14:paraId="6C3B6B1C" w14:textId="77777777" w:rsidR="002318A8" w:rsidRDefault="002318A8" w:rsidP="002318A8">
      <w:pPr>
        <w:pStyle w:val="Voetnoottekst"/>
      </w:pPr>
      <w:r>
        <w:rPr>
          <w:rStyle w:val="Voetnootmarkering"/>
        </w:rPr>
        <w:footnoteRef/>
      </w:r>
      <w:r>
        <w:t xml:space="preserve"> Hieronder vallen de inkomsten en uitgaven van de Rijksoverheid, de overige centrale overheid, de decentrale overheden en de sociale fondsen. Zie Bijlage 2 van het rapport van de expertgroep voor een uitgebreide toelichting op de definitie van het EMU-saldo en de raming door het Ministerie van Financiën. Expertgroep Realistisch Ramen (2025) Op drift of op Koers? Analyses en aanbevelingen om beter te ramen en begroten. (</w:t>
      </w:r>
      <w:hyperlink r:id="rId5" w:history="1">
        <w:r w:rsidRPr="00B40D62">
          <w:rPr>
            <w:rStyle w:val="Hyperlink"/>
          </w:rPr>
          <w:t>link</w:t>
        </w:r>
      </w:hyperlink>
      <w:r w:rsidRPr="00B40D62">
        <w:t>)</w:t>
      </w:r>
    </w:p>
  </w:footnote>
  <w:footnote w:id="13">
    <w:p w14:paraId="3E88F461" w14:textId="77777777" w:rsidR="002318A8" w:rsidRPr="00B40D62" w:rsidRDefault="002318A8" w:rsidP="002318A8">
      <w:pPr>
        <w:pStyle w:val="Voetnoottekst"/>
      </w:pPr>
      <w:r>
        <w:rPr>
          <w:rStyle w:val="Voetnootmarkering"/>
        </w:rPr>
        <w:footnoteRef/>
      </w:r>
      <w:r>
        <w:t xml:space="preserve"> Expertgroep Realistisch Ramen (2025). Op drift of op koers? Analyses en aanbevelingen om beter te ramen en begroten. </w:t>
      </w:r>
      <w:r w:rsidRPr="00B40D62">
        <w:t>(</w:t>
      </w:r>
      <w:hyperlink r:id="rId6" w:history="1">
        <w:r w:rsidRPr="00B40D62">
          <w:rPr>
            <w:rStyle w:val="Hyperlink"/>
          </w:rPr>
          <w:t>link</w:t>
        </w:r>
      </w:hyperlink>
      <w:r w:rsidRPr="00B40D62">
        <w:t>)</w:t>
      </w:r>
    </w:p>
  </w:footnote>
  <w:footnote w:id="14">
    <w:p w14:paraId="2713F399" w14:textId="77777777" w:rsidR="002318A8" w:rsidRDefault="002318A8" w:rsidP="002318A8">
      <w:pPr>
        <w:pStyle w:val="Voetnoottekst"/>
      </w:pPr>
      <w:r>
        <w:rPr>
          <w:rStyle w:val="Voetnootmarkering"/>
        </w:rPr>
        <w:footnoteRef/>
      </w:r>
      <w:r>
        <w:t xml:space="preserve"> Zie het rapport voor een uitgebreide analyse van de ramingsverschillen en een complete lijst van aanbevelingen om de ramingen te verbeteren</w:t>
      </w:r>
    </w:p>
  </w:footnote>
  <w:footnote w:id="15">
    <w:p w14:paraId="4374FD90" w14:textId="77777777" w:rsidR="002318A8" w:rsidRPr="002D234C" w:rsidRDefault="002318A8" w:rsidP="002318A8">
      <w:pPr>
        <w:pStyle w:val="Voetnoottekst"/>
      </w:pPr>
      <w:r>
        <w:rPr>
          <w:rStyle w:val="Voetnootmarkering"/>
        </w:rPr>
        <w:footnoteRef/>
      </w:r>
      <w:r>
        <w:t xml:space="preserve"> </w:t>
      </w:r>
      <w:r w:rsidRPr="002D234C">
        <w:t>Miljoenennota (2025). Begrotingsregels kabinet Schoof. (</w:t>
      </w:r>
      <w:hyperlink r:id="rId7" w:history="1">
        <w:r w:rsidRPr="002D234C">
          <w:rPr>
            <w:rStyle w:val="Hyperlink"/>
          </w:rPr>
          <w:t>link</w:t>
        </w:r>
      </w:hyperlink>
      <w:r w:rsidRPr="002D234C">
        <w:t>)</w:t>
      </w:r>
    </w:p>
  </w:footnote>
  <w:footnote w:id="16">
    <w:p w14:paraId="7A305400" w14:textId="77777777" w:rsidR="002318A8" w:rsidRDefault="002318A8" w:rsidP="002318A8">
      <w:pPr>
        <w:pStyle w:val="Voetnoottekst"/>
      </w:pPr>
      <w:r>
        <w:rPr>
          <w:rStyle w:val="Voetnootmarkering"/>
        </w:rPr>
        <w:footnoteRef/>
      </w:r>
      <w:r>
        <w:t xml:space="preserve"> </w:t>
      </w:r>
      <w:r w:rsidRPr="00E17AE4">
        <w:t xml:space="preserve">Voor de overige factoren van de ramingsbijstellingen wijst de expertgroep vooral op verbetering van de schattingsmethoden en een realistischer planningen van de uitgaven. </w:t>
      </w:r>
    </w:p>
  </w:footnote>
  <w:footnote w:id="17">
    <w:p w14:paraId="2B138A46" w14:textId="77777777" w:rsidR="002318A8" w:rsidRDefault="002318A8" w:rsidP="002318A8">
      <w:pPr>
        <w:pStyle w:val="Voetnoottekst"/>
      </w:pPr>
      <w:r>
        <w:rPr>
          <w:rStyle w:val="Voetnootmarkering"/>
        </w:rPr>
        <w:footnoteRef/>
      </w:r>
      <w:r>
        <w:t xml:space="preserve"> De andere principes zijn: efficiënte allocatie van publieke middelen en beheersing van de overheidsfinanciën. </w:t>
      </w:r>
    </w:p>
  </w:footnote>
  <w:footnote w:id="18">
    <w:p w14:paraId="27AC6617" w14:textId="77777777" w:rsidR="002318A8" w:rsidRDefault="002318A8" w:rsidP="002318A8">
      <w:pPr>
        <w:pStyle w:val="Voetnoottekst"/>
      </w:pPr>
      <w:r>
        <w:rPr>
          <w:rStyle w:val="Voetnootmarkering"/>
        </w:rPr>
        <w:footnoteRef/>
      </w:r>
      <w:r>
        <w:t xml:space="preserve"> 15</w:t>
      </w:r>
      <w:r w:rsidRPr="0076621A">
        <w:rPr>
          <w:vertAlign w:val="superscript"/>
        </w:rPr>
        <w:t>e</w:t>
      </w:r>
      <w:r>
        <w:t xml:space="preserve"> Studiegroep Begrotingsruimte (2016). Van saldosturing naar stabilisatie. Rapport van de 15</w:t>
      </w:r>
      <w:r w:rsidRPr="0076621A">
        <w:rPr>
          <w:vertAlign w:val="superscript"/>
        </w:rPr>
        <w:t>e</w:t>
      </w:r>
      <w:r>
        <w:t xml:space="preserve"> Studiegroep Begrotingsruimte. </w:t>
      </w:r>
    </w:p>
  </w:footnote>
  <w:footnote w:id="19">
    <w:p w14:paraId="1BD53ED9" w14:textId="77777777" w:rsidR="002318A8" w:rsidRPr="00E22BC0" w:rsidRDefault="002318A8" w:rsidP="002318A8">
      <w:pPr>
        <w:rPr>
          <w:sz w:val="20"/>
          <w:szCs w:val="20"/>
        </w:rPr>
      </w:pPr>
      <w:r>
        <w:rPr>
          <w:rStyle w:val="Voetnootmarkering"/>
        </w:rPr>
        <w:footnoteRef/>
      </w:r>
      <w:r>
        <w:t xml:space="preserve"> </w:t>
      </w:r>
      <w:r w:rsidRPr="00E22BC0">
        <w:rPr>
          <w:sz w:val="20"/>
          <w:szCs w:val="20"/>
        </w:rPr>
        <w:t>Ten opzichte van vergelijkbare Europese landen zijn de ramingsbijstellingen van het EMU-saldo in Nederland vrij groot. Dit komt omdat in Nederland de afwijkingen van de inkomsten- en uitgavenramingen vaak dezelfde kant op werken: de inkomsten vallen mee en de uitgaven komen lager uit dan geraamd. Beide werken saldo-verbeterend.</w:t>
      </w:r>
      <w:r>
        <w:rPr>
          <w:sz w:val="20"/>
          <w:szCs w:val="20"/>
        </w:rPr>
        <w:t xml:space="preserve"> </w:t>
      </w:r>
      <w:r w:rsidRPr="00E22BC0">
        <w:rPr>
          <w:sz w:val="20"/>
          <w:szCs w:val="20"/>
        </w:rPr>
        <w:t>Bij andere eurolanden vallen afwijkingen aan de inkomsten- en uitgavenkant vaker tegen elkaar weg, bijvoorbeeld omdat meevallers worden ingezet om uitgaven te financieren.</w:t>
      </w:r>
      <w:r>
        <w:t xml:space="preserve"> </w:t>
      </w:r>
      <w:r>
        <w:rPr>
          <w:sz w:val="20"/>
          <w:szCs w:val="20"/>
        </w:rPr>
        <w:t xml:space="preserve">Zie het rapport: </w:t>
      </w:r>
      <w:r w:rsidRPr="00E22BC0">
        <w:rPr>
          <w:sz w:val="20"/>
          <w:szCs w:val="20"/>
        </w:rPr>
        <w:t>Expertgroep Realistisch Ramen</w:t>
      </w:r>
      <w:r>
        <w:rPr>
          <w:sz w:val="20"/>
          <w:szCs w:val="20"/>
        </w:rPr>
        <w:t xml:space="preserve">, p.17 </w:t>
      </w:r>
      <w:r w:rsidRPr="00E22BC0">
        <w:rPr>
          <w:sz w:val="20"/>
          <w:szCs w:val="20"/>
        </w:rPr>
        <w:t>(2025).</w:t>
      </w:r>
      <w:r>
        <w:t xml:space="preserve"> </w:t>
      </w:r>
    </w:p>
  </w:footnote>
  <w:footnote w:id="20">
    <w:p w14:paraId="5ED8D10A" w14:textId="77777777" w:rsidR="002318A8" w:rsidRDefault="002318A8" w:rsidP="002318A8">
      <w:pPr>
        <w:pStyle w:val="Voetnoottekst"/>
      </w:pPr>
      <w:r>
        <w:rPr>
          <w:rStyle w:val="Voetnootmarkering"/>
        </w:rPr>
        <w:footnoteRef/>
      </w:r>
      <w:r>
        <w:t xml:space="preserve"> 15</w:t>
      </w:r>
      <w:r w:rsidRPr="0076621A">
        <w:rPr>
          <w:vertAlign w:val="superscript"/>
        </w:rPr>
        <w:t>e</w:t>
      </w:r>
      <w:r>
        <w:t xml:space="preserve"> Studiegroep Begrotingsruimte (2016). Van saldosturing naar stabilisatie. Rapport van de 15</w:t>
      </w:r>
      <w:r w:rsidRPr="0076621A">
        <w:rPr>
          <w:vertAlign w:val="superscript"/>
        </w:rPr>
        <w:t>e</w:t>
      </w:r>
      <w:r>
        <w:t xml:space="preserve"> Studiegroep Begrotingsruimte. </w:t>
      </w:r>
    </w:p>
  </w:footnote>
  <w:footnote w:id="21">
    <w:p w14:paraId="3ED84E0A" w14:textId="77777777" w:rsidR="002318A8" w:rsidRDefault="002318A8" w:rsidP="002318A8">
      <w:pPr>
        <w:pStyle w:val="Voetnoottekst"/>
      </w:pPr>
      <w:r>
        <w:rPr>
          <w:rStyle w:val="Voetnootmarkering"/>
        </w:rPr>
        <w:footnoteRef/>
      </w:r>
      <w:r>
        <w:t xml:space="preserve"> Studiegroep Begrotingsruimte (2020). Koers bepalen: kiezen in tijden van budgettaire krapte. 16</w:t>
      </w:r>
      <w:r w:rsidRPr="00F564E5">
        <w:rPr>
          <w:vertAlign w:val="superscript"/>
        </w:rPr>
        <w:t>e</w:t>
      </w:r>
      <w:r>
        <w:t xml:space="preserve"> rapport Studiegroep Begrotingsruimte. (</w:t>
      </w:r>
      <w:hyperlink r:id="rId8" w:history="1">
        <w:r w:rsidRPr="00F564E5">
          <w:rPr>
            <w:rStyle w:val="Hyperlink"/>
          </w:rPr>
          <w:t>link</w:t>
        </w:r>
      </w:hyperlink>
      <w:r>
        <w:t>)</w:t>
      </w:r>
    </w:p>
  </w:footnote>
  <w:footnote w:id="22">
    <w:p w14:paraId="0B36B492" w14:textId="77777777" w:rsidR="002318A8" w:rsidRDefault="002318A8" w:rsidP="002318A8">
      <w:pPr>
        <w:pStyle w:val="Voetnoottekst"/>
      </w:pPr>
      <w:r>
        <w:rPr>
          <w:rStyle w:val="Voetnootmarkering"/>
        </w:rPr>
        <w:footnoteRef/>
      </w:r>
      <w:r>
        <w:t xml:space="preserve"> Hoofdlijnenakkoord PVV, VVD, NCS en BBB (2025). Hoop, lef en trots. </w:t>
      </w:r>
    </w:p>
  </w:footnote>
  <w:footnote w:id="23">
    <w:p w14:paraId="4CB9FDD6" w14:textId="77777777" w:rsidR="002318A8" w:rsidRDefault="002318A8" w:rsidP="002318A8">
      <w:pPr>
        <w:pStyle w:val="Voetnoottekst"/>
      </w:pPr>
      <w:r>
        <w:rPr>
          <w:rStyle w:val="Voetnootmarkering"/>
        </w:rPr>
        <w:footnoteRef/>
      </w:r>
      <w:r>
        <w:t xml:space="preserve"> BNR, 2025. Patstelling in coalitie: onenigheid over “meevallerformule” in voorjaarsnota. Nieuwsbericht, 11 april. (</w:t>
      </w:r>
      <w:hyperlink r:id="rId9" w:history="1">
        <w:r w:rsidRPr="00BD0F34">
          <w:rPr>
            <w:rStyle w:val="Hyperlink"/>
          </w:rPr>
          <w:t>link</w:t>
        </w:r>
      </w:hyperlink>
      <w:r>
        <w:t>)</w:t>
      </w:r>
    </w:p>
  </w:footnote>
  <w:footnote w:id="24">
    <w:p w14:paraId="164BC872" w14:textId="77777777" w:rsidR="002318A8" w:rsidRDefault="002318A8" w:rsidP="002318A8">
      <w:pPr>
        <w:pStyle w:val="Voetnoottekst"/>
      </w:pPr>
      <w:r>
        <w:rPr>
          <w:rStyle w:val="Voetnootmarkering"/>
        </w:rPr>
        <w:footnoteRef/>
      </w:r>
      <w:r>
        <w:t xml:space="preserve"> Kamerstukken, 2025. Motie van de leden Van der Lee en Inge van Dijk over bij inzet van de meevallerformule 50% naar lastenverlichting voor burgers en 50% naar investeringen laten gaan. (</w:t>
      </w:r>
      <w:hyperlink r:id="rId10" w:history="1">
        <w:r w:rsidRPr="00EE48E1">
          <w:rPr>
            <w:rStyle w:val="Hyperlink"/>
          </w:rPr>
          <w:t>link</w:t>
        </w:r>
      </w:hyperlink>
      <w:r>
        <w:t xml:space="preserve">) </w:t>
      </w:r>
    </w:p>
  </w:footnote>
  <w:footnote w:id="25">
    <w:p w14:paraId="74557EC0" w14:textId="77777777" w:rsidR="002318A8" w:rsidRDefault="002318A8" w:rsidP="002318A8">
      <w:pPr>
        <w:pStyle w:val="Voetnoottekst"/>
      </w:pPr>
      <w:r>
        <w:rPr>
          <w:rStyle w:val="Voetnootmarkering"/>
        </w:rPr>
        <w:footnoteRef/>
      </w:r>
      <w:r>
        <w:t xml:space="preserve"> Zie bijvoorbeeld Waar voor ons geld: IBO publieke investeringen in een politiek bestuurlijke context (2022). (</w:t>
      </w:r>
      <w:hyperlink r:id="rId11" w:history="1">
        <w:r w:rsidRPr="00DB38B8">
          <w:rPr>
            <w:rStyle w:val="Hyperlink"/>
          </w:rPr>
          <w:t>link</w:t>
        </w:r>
      </w:hyperlink>
      <w:r>
        <w:t>)</w:t>
      </w:r>
    </w:p>
  </w:footnote>
  <w:footnote w:id="26">
    <w:p w14:paraId="0EEC7494" w14:textId="77777777" w:rsidR="002318A8" w:rsidRDefault="002318A8" w:rsidP="002318A8">
      <w:pPr>
        <w:pStyle w:val="Voetnoottekst"/>
      </w:pPr>
      <w:r>
        <w:rPr>
          <w:rStyle w:val="Voetnootmarkering"/>
        </w:rPr>
        <w:footnoteRef/>
      </w:r>
      <w:r>
        <w:t xml:space="preserve"> Miljoenennota 2025 (2024), paragraaf 2.4.</w:t>
      </w:r>
    </w:p>
  </w:footnote>
  <w:footnote w:id="27">
    <w:p w14:paraId="204109BD" w14:textId="77777777" w:rsidR="002318A8" w:rsidRDefault="002318A8" w:rsidP="002318A8">
      <w:pPr>
        <w:pStyle w:val="Voetnoottekst"/>
      </w:pPr>
      <w:r>
        <w:rPr>
          <w:rStyle w:val="Voetnootmarkering"/>
        </w:rPr>
        <w:footnoteRef/>
      </w:r>
      <w:r>
        <w:t xml:space="preserve"> Miljoenennota 2024 (2023), paragraaf 2.2.3, Verschillen met het Centraal Planbureau. Soms lijken bijstellingen ook te ontstaan door technische aspecten zoals het verschillend doortrekken van bijstellingen van cijfers naar latere jaren. Normaliter zouden technische/statistische aspecten maar een beperkt effect op de verschillen moeten hebben. </w:t>
      </w:r>
    </w:p>
  </w:footnote>
  <w:footnote w:id="28">
    <w:p w14:paraId="7A1F656F" w14:textId="77777777" w:rsidR="002318A8" w:rsidRPr="00A47849" w:rsidRDefault="002318A8" w:rsidP="002318A8">
      <w:pPr>
        <w:pStyle w:val="Voetnoottekst"/>
        <w:rPr>
          <w:lang w:val="en-US"/>
        </w:rPr>
      </w:pPr>
      <w:r>
        <w:rPr>
          <w:rStyle w:val="Voetnootmarkering"/>
        </w:rPr>
        <w:footnoteRef/>
      </w:r>
      <w:r w:rsidRPr="00197E7F">
        <w:rPr>
          <w:lang w:val="en-US"/>
        </w:rPr>
        <w:t xml:space="preserve"> </w:t>
      </w:r>
      <w:proofErr w:type="spellStart"/>
      <w:r w:rsidRPr="00197E7F">
        <w:rPr>
          <w:lang w:val="en-US"/>
        </w:rPr>
        <w:t>Europese</w:t>
      </w:r>
      <w:proofErr w:type="spellEnd"/>
      <w:r w:rsidRPr="00197E7F">
        <w:rPr>
          <w:lang w:val="en-US"/>
        </w:rPr>
        <w:t xml:space="preserve"> Commissie (2025). </w:t>
      </w:r>
      <w:r w:rsidRPr="00A47849">
        <w:rPr>
          <w:lang w:val="en-US"/>
        </w:rPr>
        <w:t xml:space="preserve">White Paper for European </w:t>
      </w:r>
      <w:proofErr w:type="spellStart"/>
      <w:r w:rsidRPr="00A47849">
        <w:rPr>
          <w:lang w:val="en-US"/>
        </w:rPr>
        <w:t>Defence</w:t>
      </w:r>
      <w:proofErr w:type="spellEnd"/>
      <w:r w:rsidRPr="00A47849">
        <w:rPr>
          <w:lang w:val="en-US"/>
        </w:rPr>
        <w:t xml:space="preserve"> – Readiness 2030</w:t>
      </w:r>
      <w:r>
        <w:rPr>
          <w:lang w:val="en-US"/>
        </w:rPr>
        <w:t xml:space="preserve"> </w:t>
      </w:r>
    </w:p>
  </w:footnote>
  <w:footnote w:id="29">
    <w:p w14:paraId="218341FF" w14:textId="77777777" w:rsidR="002318A8" w:rsidRPr="00197E7F" w:rsidRDefault="002318A8" w:rsidP="002318A8">
      <w:pPr>
        <w:pStyle w:val="Voetnoottekst"/>
      </w:pPr>
      <w:r>
        <w:rPr>
          <w:rStyle w:val="Voetnootmarkering"/>
        </w:rPr>
        <w:footnoteRef/>
      </w:r>
      <w:r w:rsidRPr="00270B91">
        <w:t xml:space="preserve"> Europese Commissie (2025). Communicatie van de Commissie. </w:t>
      </w:r>
      <w:r w:rsidRPr="00BE2ACC">
        <w:t>Accommoderen</w:t>
      </w:r>
      <w:r w:rsidRPr="00270B91">
        <w:t xml:space="preserve"> van verhoogde defensie</w:t>
      </w:r>
      <w:r>
        <w:t>-</w:t>
      </w:r>
      <w:r w:rsidRPr="00270B91">
        <w:t>ui</w:t>
      </w:r>
      <w:r>
        <w:t xml:space="preserve">tgaven binnen het Stabiliteit- en Groeipact. </w:t>
      </w:r>
      <w:r w:rsidRPr="00197E7F">
        <w:t xml:space="preserve">C(2025) 2000 </w:t>
      </w:r>
      <w:proofErr w:type="spellStart"/>
      <w:r w:rsidRPr="00197E7F">
        <w:t>final</w:t>
      </w:r>
      <w:proofErr w:type="spellEnd"/>
      <w:r w:rsidRPr="00197E7F">
        <w:t xml:space="preserve">. </w:t>
      </w:r>
    </w:p>
  </w:footnote>
  <w:footnote w:id="30">
    <w:p w14:paraId="4387920D" w14:textId="77777777" w:rsidR="002318A8" w:rsidRDefault="002318A8" w:rsidP="002318A8">
      <w:pPr>
        <w:pStyle w:val="Voetnoottekst"/>
      </w:pPr>
      <w:r>
        <w:rPr>
          <w:rStyle w:val="Voetnootmarkering"/>
        </w:rPr>
        <w:footnoteRef/>
      </w:r>
      <w:r>
        <w:t xml:space="preserve"> Voor lidstaten in een </w:t>
      </w:r>
      <w:proofErr w:type="spellStart"/>
      <w:r>
        <w:t>buitensporigtekortprocedure</w:t>
      </w:r>
      <w:proofErr w:type="spellEnd"/>
      <w:r>
        <w:t xml:space="preserve"> zoals bedoeld in verordening 1467/97 mag met 1,5% bbp worden afgeweken van het correctieve pad om de buitensporige tekorten terug te dringen.</w:t>
      </w:r>
    </w:p>
  </w:footnote>
  <w:footnote w:id="31">
    <w:p w14:paraId="42FAE253" w14:textId="77777777" w:rsidR="002318A8" w:rsidRPr="0058652F" w:rsidRDefault="002318A8" w:rsidP="002318A8">
      <w:pPr>
        <w:pStyle w:val="Voetnoottekst"/>
      </w:pPr>
      <w:r>
        <w:rPr>
          <w:rStyle w:val="Voetnootmarkering"/>
        </w:rPr>
        <w:footnoteRef/>
      </w:r>
      <w:r w:rsidRPr="00270B91">
        <w:t xml:space="preserve"> Europese Commissie (2025). Voorstel voor een verordening van de Raad tot vaststelling van het instrument “Optreden voor de veiligheid van Europa door middel van versterking van de Europese defensie</w:t>
      </w:r>
      <w:r>
        <w:t xml:space="preserve">-industrie (SAFE) COM (2025) 122 </w:t>
      </w:r>
      <w:proofErr w:type="spellStart"/>
      <w:r>
        <w:t>final</w:t>
      </w:r>
      <w:proofErr w:type="spellEnd"/>
      <w:r>
        <w:t xml:space="preserve">. </w:t>
      </w:r>
    </w:p>
  </w:footnote>
  <w:footnote w:id="32">
    <w:p w14:paraId="2DC96FAE" w14:textId="77777777" w:rsidR="002318A8" w:rsidRPr="00DE16FF" w:rsidRDefault="002318A8" w:rsidP="002318A8">
      <w:pPr>
        <w:pStyle w:val="Voetnoottekst"/>
      </w:pPr>
      <w:r>
        <w:rPr>
          <w:rStyle w:val="Voetnootmarkering"/>
        </w:rPr>
        <w:footnoteRef/>
      </w:r>
      <w:r w:rsidRPr="00DE16FF">
        <w:t xml:space="preserve"> Verordening 2024/1263, art. 25, onder 1. </w:t>
      </w:r>
    </w:p>
  </w:footnote>
  <w:footnote w:id="33">
    <w:p w14:paraId="23CE44C6" w14:textId="77777777" w:rsidR="002318A8" w:rsidRDefault="002318A8" w:rsidP="002318A8">
      <w:pPr>
        <w:pStyle w:val="Voetnoottekst"/>
      </w:pPr>
      <w:r>
        <w:rPr>
          <w:rStyle w:val="Voetnootmarkering"/>
        </w:rPr>
        <w:footnoteRef/>
      </w:r>
      <w:r>
        <w:t xml:space="preserve"> D</w:t>
      </w:r>
      <w:r w:rsidRPr="00F25652">
        <w:t xml:space="preserve">e </w:t>
      </w:r>
      <w:r>
        <w:t>algemene ontsnappings</w:t>
      </w:r>
      <w:r w:rsidRPr="00F25652">
        <w:t xml:space="preserve">clausule werd ingevoerd bij de </w:t>
      </w:r>
      <w:r>
        <w:t>“</w:t>
      </w:r>
      <w:r w:rsidRPr="00C42E67">
        <w:rPr>
          <w:i/>
          <w:iCs/>
        </w:rPr>
        <w:t>Six-Pack</w:t>
      </w:r>
      <w:r w:rsidRPr="00C42E67">
        <w:t>”-</w:t>
      </w:r>
      <w:r w:rsidRPr="00F25652">
        <w:t xml:space="preserve">hervorming van het </w:t>
      </w:r>
      <w:r>
        <w:t>SGP</w:t>
      </w:r>
      <w:r w:rsidRPr="00F25652">
        <w:t xml:space="preserve"> in 2011, waarbij werd voortgebouwd op de lessen die uit de economische en financiële crisis waren getrokken. </w:t>
      </w:r>
      <w:r>
        <w:t xml:space="preserve">Er bleken specifieke bepalingen nodig om </w:t>
      </w:r>
      <w:r w:rsidRPr="00F25652">
        <w:t xml:space="preserve">in een situatie van algemene crisis ten gevolge van een ernstige economische neergang van de eurozone of de EU als geheel een gecoördineerde en tijdelijke afwijking van de normale </w:t>
      </w:r>
      <w:r>
        <w:t>begrotings</w:t>
      </w:r>
      <w:r w:rsidRPr="00F25652">
        <w:t>regels voor alle lidstaten mogelijk te maken</w:t>
      </w:r>
      <w:r>
        <w:t>.</w:t>
      </w:r>
    </w:p>
  </w:footnote>
  <w:footnote w:id="34">
    <w:p w14:paraId="3B311C3F" w14:textId="77777777" w:rsidR="002318A8" w:rsidRPr="009929D6" w:rsidRDefault="002318A8" w:rsidP="002318A8">
      <w:pPr>
        <w:pStyle w:val="Voetnoottekst"/>
      </w:pPr>
      <w:r>
        <w:rPr>
          <w:rStyle w:val="Voetnootmarkering"/>
        </w:rPr>
        <w:footnoteRef/>
      </w:r>
      <w:r w:rsidRPr="009929D6">
        <w:rPr>
          <w:lang w:val="en-US"/>
        </w:rPr>
        <w:t xml:space="preserve"> Bruegel (2025). </w:t>
      </w:r>
      <w:r w:rsidRPr="00F81CBC">
        <w:rPr>
          <w:lang w:val="en-US"/>
        </w:rPr>
        <w:t>Dilemmas for the EU i</w:t>
      </w:r>
      <w:r>
        <w:rPr>
          <w:lang w:val="en-US"/>
        </w:rPr>
        <w:t xml:space="preserve">n deficit-financing of </w:t>
      </w:r>
      <w:proofErr w:type="spellStart"/>
      <w:r>
        <w:rPr>
          <w:lang w:val="en-US"/>
        </w:rPr>
        <w:t>defence</w:t>
      </w:r>
      <w:proofErr w:type="spellEnd"/>
      <w:r>
        <w:rPr>
          <w:lang w:val="en-US"/>
        </w:rPr>
        <w:t xml:space="preserve"> expenditure and maintenance of fiscal discipline. </w:t>
      </w:r>
      <w:proofErr w:type="spellStart"/>
      <w:r w:rsidRPr="009929D6">
        <w:t>Working</w:t>
      </w:r>
      <w:proofErr w:type="spellEnd"/>
      <w:r w:rsidRPr="009929D6">
        <w:t xml:space="preserve"> Paper Issue 03/2025. </w:t>
      </w:r>
    </w:p>
  </w:footnote>
  <w:footnote w:id="35">
    <w:p w14:paraId="66157F31" w14:textId="77777777" w:rsidR="002318A8" w:rsidRDefault="002318A8" w:rsidP="002318A8">
      <w:pPr>
        <w:pStyle w:val="Voetnoottekst"/>
      </w:pPr>
      <w:r>
        <w:rPr>
          <w:rStyle w:val="Voetnootmarkering"/>
        </w:rPr>
        <w:footnoteRef/>
      </w:r>
      <w:r>
        <w:t xml:space="preserve"> voor de periode dat de ontsnappingsclausule geactiveerd is zullen overschrijdingen van het vastgestelde </w:t>
      </w:r>
      <w:proofErr w:type="spellStart"/>
      <w:r>
        <w:t>uitgavenpad</w:t>
      </w:r>
      <w:proofErr w:type="spellEnd"/>
      <w:r>
        <w:t xml:space="preserve"> tot 1,5% bbp voor defensie-uitgaven niet geregistreerd worden in de zgn. controlerekening. </w:t>
      </w:r>
    </w:p>
  </w:footnote>
  <w:footnote w:id="36">
    <w:p w14:paraId="61BD60A0" w14:textId="77777777" w:rsidR="002318A8" w:rsidRDefault="002318A8" w:rsidP="002318A8">
      <w:pPr>
        <w:pStyle w:val="Voetnoottekst"/>
      </w:pPr>
      <w:r>
        <w:rPr>
          <w:rStyle w:val="Voetnootmarkering"/>
        </w:rPr>
        <w:footnoteRef/>
      </w:r>
      <w:r>
        <w:t xml:space="preserve"> De levering van het militair materieel mag na de periode van vier jaar plaatsvinden, op voorwaarde dat de bijbehorende contracten werden ondertekend tijdens de periode van activering van de clausule en gebaseerd op voldoende nauwkeurige rapportage van de lidstaat. </w:t>
      </w:r>
    </w:p>
  </w:footnote>
  <w:footnote w:id="37">
    <w:p w14:paraId="3930D48F" w14:textId="77777777" w:rsidR="002318A8" w:rsidRDefault="002318A8" w:rsidP="002318A8">
      <w:pPr>
        <w:pStyle w:val="Voetnoottekst"/>
      </w:pPr>
      <w:r>
        <w:rPr>
          <w:rStyle w:val="Voetnootmarkering"/>
        </w:rPr>
        <w:footnoteRef/>
      </w:r>
      <w:r>
        <w:t xml:space="preserve"> In het onderzoek naar een buitensporig tekort </w:t>
      </w:r>
      <w:r w:rsidRPr="00791091">
        <w:t>houdt de Commissie rekening met alle zogenoemde relevante factoren. Een toename in defensie-uitgaven wordt gezien als een relevante factor.</w:t>
      </w:r>
      <w:r>
        <w:t xml:space="preserve"> </w:t>
      </w:r>
      <w:r w:rsidRPr="00791091">
        <w:t>Verordening 2024/1263, art. 2, lid 3</w:t>
      </w:r>
      <w:r>
        <w:rPr>
          <w:vertAlign w:val="superscript"/>
        </w:rPr>
        <w:t xml:space="preserve"> </w:t>
      </w:r>
      <w:r>
        <w:t xml:space="preserve">e. </w:t>
      </w:r>
    </w:p>
  </w:footnote>
  <w:footnote w:id="38">
    <w:p w14:paraId="21574426" w14:textId="77777777" w:rsidR="002318A8" w:rsidRDefault="002318A8" w:rsidP="002318A8">
      <w:pPr>
        <w:pStyle w:val="Voetnoottekst"/>
      </w:pPr>
      <w:r>
        <w:rPr>
          <w:rStyle w:val="Voetnootmarkering"/>
        </w:rPr>
        <w:footnoteRef/>
      </w:r>
      <w:r>
        <w:t xml:space="preserve"> Kamerstukken II 2024/25, 21501-07, nr. 2103.</w:t>
      </w:r>
    </w:p>
  </w:footnote>
  <w:footnote w:id="39">
    <w:p w14:paraId="2BDE233F" w14:textId="77777777" w:rsidR="002318A8" w:rsidRPr="00593025" w:rsidRDefault="002318A8" w:rsidP="002318A8">
      <w:pPr>
        <w:pStyle w:val="Voetnoottekst"/>
        <w:rPr>
          <w:lang w:val="en-US"/>
        </w:rPr>
      </w:pPr>
      <w:r>
        <w:rPr>
          <w:rStyle w:val="Voetnootmarkering"/>
        </w:rPr>
        <w:footnoteRef/>
      </w:r>
      <w:r>
        <w:t xml:space="preserve"> </w:t>
      </w:r>
      <w:r w:rsidRPr="00C8281B">
        <w:t>Europese C</w:t>
      </w:r>
      <w:r>
        <w:t xml:space="preserve">ommissie (2024). Mededeling van de Commissie aan het Europees Parlement, de Raad, De Europese Centrale Bank, het Europees economisch en sociaal comité, het comité van de regio’s en de Europese Investeringsbank. </w:t>
      </w:r>
      <w:proofErr w:type="spellStart"/>
      <w:r w:rsidRPr="00593025">
        <w:rPr>
          <w:lang w:val="en-US"/>
        </w:rPr>
        <w:t>Europees</w:t>
      </w:r>
      <w:proofErr w:type="spellEnd"/>
      <w:r w:rsidRPr="00593025">
        <w:rPr>
          <w:lang w:val="en-US"/>
        </w:rPr>
        <w:t xml:space="preserve"> Semester 2025 – </w:t>
      </w:r>
      <w:proofErr w:type="spellStart"/>
      <w:r w:rsidRPr="00593025">
        <w:rPr>
          <w:lang w:val="en-US"/>
        </w:rPr>
        <w:t>Najaarspakket</w:t>
      </w:r>
      <w:proofErr w:type="spellEnd"/>
      <w:r w:rsidRPr="00593025">
        <w:rPr>
          <w:lang w:val="en-US"/>
        </w:rPr>
        <w:t xml:space="preserve">. December 2024. </w:t>
      </w:r>
    </w:p>
  </w:footnote>
  <w:footnote w:id="40">
    <w:p w14:paraId="03FAFFA2" w14:textId="77777777" w:rsidR="002318A8" w:rsidRDefault="002318A8" w:rsidP="002318A8">
      <w:pPr>
        <w:pStyle w:val="Voetnoottekst"/>
      </w:pPr>
      <w:r>
        <w:rPr>
          <w:rStyle w:val="Voetnootmarkering"/>
        </w:rPr>
        <w:footnoteRef/>
      </w:r>
      <w:r w:rsidRPr="00593025">
        <w:rPr>
          <w:lang w:val="en-GB"/>
        </w:rPr>
        <w:t xml:space="preserve"> </w:t>
      </w:r>
      <w:proofErr w:type="spellStart"/>
      <w:r w:rsidRPr="00593025">
        <w:rPr>
          <w:lang w:val="en-GB"/>
        </w:rPr>
        <w:t>Europese</w:t>
      </w:r>
      <w:proofErr w:type="spellEnd"/>
      <w:r w:rsidRPr="00593025">
        <w:rPr>
          <w:lang w:val="en-GB"/>
        </w:rPr>
        <w:t xml:space="preserve"> Commissie (2024). The Draghi report: A competitiveness strategy for Europe. </w:t>
      </w:r>
      <w:r w:rsidRPr="00593025">
        <w:t>September. (</w:t>
      </w:r>
      <w:hyperlink r:id="rId12" w:anchor="paragraph_4705" w:history="1">
        <w:r w:rsidRPr="00593025">
          <w:rPr>
            <w:rStyle w:val="Hyperlink"/>
          </w:rPr>
          <w:t>link</w:t>
        </w:r>
      </w:hyperlink>
      <w:r w:rsidRPr="00593025">
        <w:t>)</w:t>
      </w:r>
      <w:r>
        <w:t xml:space="preserve"> </w:t>
      </w:r>
    </w:p>
  </w:footnote>
  <w:footnote w:id="41">
    <w:p w14:paraId="4F2D91DD" w14:textId="77777777" w:rsidR="002318A8" w:rsidRPr="00C8281B" w:rsidRDefault="002318A8" w:rsidP="002318A8">
      <w:pPr>
        <w:pStyle w:val="Voetnoottekst"/>
      </w:pPr>
      <w:r>
        <w:rPr>
          <w:rStyle w:val="Voetnootmarkering"/>
        </w:rPr>
        <w:footnoteRef/>
      </w:r>
      <w:r w:rsidRPr="00C8281B">
        <w:t xml:space="preserve"> </w:t>
      </w:r>
      <w:r w:rsidRPr="009C6789">
        <w:t xml:space="preserve">Ministerie van Financiën (2024). </w:t>
      </w:r>
      <w:r>
        <w:t>Update b</w:t>
      </w:r>
      <w:r w:rsidRPr="009C6789">
        <w:t xml:space="preserve">udgettair-structureel plan voor de middellange termijn 2024. </w:t>
      </w:r>
    </w:p>
  </w:footnote>
  <w:footnote w:id="42">
    <w:p w14:paraId="2241A4FA" w14:textId="77777777" w:rsidR="002318A8" w:rsidRPr="0058652F" w:rsidRDefault="002318A8" w:rsidP="002318A8">
      <w:pPr>
        <w:pStyle w:val="Voetnoottekst"/>
      </w:pPr>
      <w:r>
        <w:rPr>
          <w:rStyle w:val="Voetnootmarkering"/>
        </w:rPr>
        <w:footnoteRef/>
      </w:r>
      <w:r w:rsidRPr="0058652F">
        <w:t xml:space="preserve"> Raad van de Europese Unie (2025). Aanbeveling van de Raad tot vaststelling van het nett</w:t>
      </w:r>
      <w:r>
        <w:t>o-</w:t>
      </w:r>
      <w:proofErr w:type="spellStart"/>
      <w:r>
        <w:t>uitgavenpad</w:t>
      </w:r>
      <w:proofErr w:type="spellEnd"/>
      <w:r>
        <w:t xml:space="preserve"> van Nederland. </w:t>
      </w:r>
    </w:p>
  </w:footnote>
  <w:footnote w:id="43">
    <w:p w14:paraId="4B62CE8E" w14:textId="77777777" w:rsidR="002318A8" w:rsidRPr="006B2134" w:rsidRDefault="002318A8" w:rsidP="002318A8">
      <w:pPr>
        <w:pStyle w:val="Voetnoottekst"/>
      </w:pPr>
      <w:r>
        <w:rPr>
          <w:rStyle w:val="Voetnootmarkering"/>
        </w:rPr>
        <w:footnoteRef/>
      </w:r>
      <w:r w:rsidRPr="006B2134">
        <w:t xml:space="preserve"> Europese Commissie (2024). 2024 Landenrapport. </w:t>
      </w:r>
      <w:hyperlink r:id="rId13" w:history="1">
        <w:r w:rsidRPr="006B2134">
          <w:rPr>
            <w:rStyle w:val="Hyperlink"/>
          </w:rPr>
          <w:t xml:space="preserve">2024 European Semester: Country </w:t>
        </w:r>
        <w:proofErr w:type="spellStart"/>
        <w:r w:rsidRPr="006B2134">
          <w:rPr>
            <w:rStyle w:val="Hyperlink"/>
          </w:rPr>
          <w:t>Reports</w:t>
        </w:r>
        <w:proofErr w:type="spellEnd"/>
        <w:r w:rsidRPr="006B2134">
          <w:rPr>
            <w:rStyle w:val="Hyperlink"/>
          </w:rPr>
          <w:t xml:space="preserve"> - European </w:t>
        </w:r>
        <w:proofErr w:type="spellStart"/>
        <w:r w:rsidRPr="006B2134">
          <w:rPr>
            <w:rStyle w:val="Hyperlink"/>
          </w:rPr>
          <w:t>Commission</w:t>
        </w:r>
        <w:proofErr w:type="spellEnd"/>
      </w:hyperlink>
    </w:p>
  </w:footnote>
  <w:footnote w:id="44">
    <w:p w14:paraId="289AFF38" w14:textId="77777777" w:rsidR="002318A8" w:rsidRDefault="002318A8" w:rsidP="002318A8">
      <w:pPr>
        <w:pStyle w:val="Voetnoottekst"/>
      </w:pPr>
      <w:r>
        <w:rPr>
          <w:rStyle w:val="Voetnootmarkering"/>
        </w:rPr>
        <w:footnoteRef/>
      </w:r>
      <w:r>
        <w:t xml:space="preserve"> De andere lidstaten zijn: Cyprus, Duitsland, Griekenland, Italië, Hongarije, Roemenië, Slovenië en Zweden. Europese Commissie (2024). Alert </w:t>
      </w:r>
      <w:proofErr w:type="spellStart"/>
      <w:r>
        <w:t>Mechanism</w:t>
      </w:r>
      <w:proofErr w:type="spellEnd"/>
      <w:r>
        <w:t xml:space="preserve"> Report 2025. </w:t>
      </w:r>
    </w:p>
  </w:footnote>
  <w:footnote w:id="45">
    <w:p w14:paraId="5D3DD4D1" w14:textId="77777777" w:rsidR="002318A8" w:rsidRDefault="002318A8" w:rsidP="002318A8">
      <w:pPr>
        <w:pStyle w:val="Voetnoottekst"/>
      </w:pPr>
      <w:r>
        <w:rPr>
          <w:rStyle w:val="Voetnootmarkering"/>
        </w:rPr>
        <w:footnoteRef/>
      </w:r>
      <w:r>
        <w:t xml:space="preserve"> L</w:t>
      </w:r>
      <w:r w:rsidRPr="008120A7">
        <w:t xml:space="preserve">idstaten met een schuld boven de 60% bbp mogen jaarlijks tot 0,3% bbp afwijken van hun </w:t>
      </w:r>
      <w:proofErr w:type="spellStart"/>
      <w:r w:rsidRPr="008120A7">
        <w:t>uitgavenpad</w:t>
      </w:r>
      <w:proofErr w:type="spellEnd"/>
      <w:r w:rsidRPr="008120A7">
        <w:t xml:space="preserve"> en opgeteld over meerdere jaren tot 0,6% bbp. </w:t>
      </w:r>
      <w:r>
        <w:t>W</w:t>
      </w:r>
      <w:r w:rsidRPr="00061CBD">
        <w:t xml:space="preserve">anneer er sprake is van een overschrijding van de maximale toegestane afwijking van de </w:t>
      </w:r>
      <w:r>
        <w:t>controlerekening</w:t>
      </w:r>
      <w:r w:rsidRPr="00061CBD">
        <w:t xml:space="preserve"> voor een lidstaat, kan de Commissie onderzoeken of er sprake is van een buitensporig tekort</w:t>
      </w:r>
      <w:r>
        <w:t xml:space="preserve">. </w:t>
      </w:r>
    </w:p>
  </w:footnote>
  <w:footnote w:id="46">
    <w:p w14:paraId="281A4F16" w14:textId="77777777" w:rsidR="002318A8" w:rsidRDefault="002318A8" w:rsidP="002318A8">
      <w:pPr>
        <w:pStyle w:val="Voetnoottekst"/>
      </w:pPr>
      <w:r>
        <w:rPr>
          <w:rStyle w:val="Voetnootmarkering"/>
        </w:rPr>
        <w:footnoteRef/>
      </w:r>
      <w:r>
        <w:t xml:space="preserve"> Dit cijfer wordt neerwaarts beïnvloed door de éénmalige uitgaven van €8,15 mld. vanwege de affinanciering van de defensiepensioenen. </w:t>
      </w:r>
    </w:p>
  </w:footnote>
  <w:footnote w:id="47">
    <w:p w14:paraId="1458CDD2" w14:textId="77777777" w:rsidR="002318A8" w:rsidRDefault="002318A8" w:rsidP="002318A8">
      <w:pPr>
        <w:pStyle w:val="Voetnoottekst"/>
      </w:pPr>
      <w:r>
        <w:rPr>
          <w:rStyle w:val="Voetnootmarkering"/>
        </w:rPr>
        <w:footnoteRef/>
      </w:r>
      <w:r>
        <w:t xml:space="preserve"> </w:t>
      </w:r>
      <w:r w:rsidRPr="00F02CEA">
        <w:t xml:space="preserve">Om het begrotingskader bestand te maken tegen onzekere economische ontwikkelingen, moet het </w:t>
      </w:r>
      <w:proofErr w:type="spellStart"/>
      <w:r w:rsidRPr="00F02CEA">
        <w:t>referentiepad</w:t>
      </w:r>
      <w:proofErr w:type="spellEnd"/>
      <w:r w:rsidRPr="00F02CEA">
        <w:t xml:space="preserve"> ook voorzien in een gemeenschappelijke bestendigheidsmarge ten opzichte van de in artikel 126, lid 2, VWEU in samenhang met Protocol (nr. 12) bedoelde tekortreferentiewaarde of de convergentie naar die tekortreferentiewaarde. Dankzij die gemeenschappelijke bestendigheidswaarborg moeten er begrotingsbuffers voor ongunstige omstandigheden en schokken kunnen worden aangelegd. Zie Verordening (EU) 2024/1263 </w:t>
      </w:r>
    </w:p>
  </w:footnote>
  <w:footnote w:id="48">
    <w:p w14:paraId="2DDCA810" w14:textId="77777777" w:rsidR="002318A8" w:rsidRPr="0058652F" w:rsidRDefault="002318A8" w:rsidP="002318A8">
      <w:pPr>
        <w:pStyle w:val="Voetnoottekst"/>
      </w:pPr>
      <w:r>
        <w:rPr>
          <w:rStyle w:val="Voetnootmarkering"/>
        </w:rPr>
        <w:footnoteRef/>
      </w:r>
      <w:r w:rsidRPr="0058652F">
        <w:t xml:space="preserve"> Raad van de Europese Unie (2025). Aanbeveling van de Raad tot vaststelling van het nett</w:t>
      </w:r>
      <w:r>
        <w:t>o-</w:t>
      </w:r>
      <w:proofErr w:type="spellStart"/>
      <w:r>
        <w:t>uitgavenpad</w:t>
      </w:r>
      <w:proofErr w:type="spellEnd"/>
      <w:r>
        <w:t xml:space="preserve"> van Nederland. </w:t>
      </w:r>
    </w:p>
  </w:footnote>
  <w:footnote w:id="49">
    <w:p w14:paraId="05283F30" w14:textId="77777777" w:rsidR="002318A8" w:rsidRDefault="002318A8" w:rsidP="002318A8">
      <w:pPr>
        <w:pStyle w:val="Voetnoottekst"/>
      </w:pPr>
      <w:r>
        <w:rPr>
          <w:rStyle w:val="Voetnootmarkering"/>
        </w:rPr>
        <w:footnoteRef/>
      </w:r>
      <w:r>
        <w:t xml:space="preserve"> Er zijn ook endogene (macro-economische) omstandigheden zoals bijvoorbeeld de volumegroei van het bbp, van invloed op de groei van de overheidsuitgaven. </w:t>
      </w:r>
    </w:p>
  </w:footnote>
  <w:footnote w:id="50">
    <w:p w14:paraId="740CD1F3" w14:textId="77777777" w:rsidR="002318A8" w:rsidRPr="009D289E" w:rsidRDefault="002318A8" w:rsidP="002318A8">
      <w:pPr>
        <w:pStyle w:val="Voetnoottekst"/>
        <w:rPr>
          <w:b/>
          <w:bCs/>
        </w:rPr>
      </w:pPr>
      <w:r>
        <w:rPr>
          <w:rStyle w:val="Voetnootmarkering"/>
        </w:rPr>
        <w:footnoteRef/>
      </w:r>
      <w:r>
        <w:t xml:space="preserve"> </w:t>
      </w:r>
      <w:r w:rsidRPr="0005045D">
        <w:t xml:space="preserve">De maximaal toegestane groei van de netto-primaire uitgaven </w:t>
      </w:r>
      <w:r>
        <w:t xml:space="preserve">in de Europese begrotingsregels </w:t>
      </w:r>
      <w:r w:rsidRPr="0005045D">
        <w:t>worden uitgedrukt in nominale termen</w:t>
      </w:r>
      <w:r w:rsidRPr="003874AD">
        <w:t>. De uitgavenkaders in het nationale begrotingsraamwerk worden vastgesteld in reële termen, maar worden</w:t>
      </w:r>
      <w:r>
        <w:t xml:space="preserve"> jaarlijks aangepast met de loon- en prijsontwikkeling, waarmee ze de facto ook nominaal zijn.</w:t>
      </w:r>
    </w:p>
  </w:footnote>
  <w:footnote w:id="51">
    <w:p w14:paraId="2ADF5C5A" w14:textId="77777777" w:rsidR="002318A8" w:rsidRDefault="002318A8" w:rsidP="002318A8">
      <w:pPr>
        <w:pStyle w:val="Voetnoottekst"/>
      </w:pPr>
      <w:r>
        <w:rPr>
          <w:rStyle w:val="Voetnootmarkering"/>
        </w:rPr>
        <w:footnoteRef/>
      </w:r>
      <w:r>
        <w:t xml:space="preserve"> </w:t>
      </w:r>
      <w:r w:rsidRPr="00E740DE">
        <w:t>Kamerstukken II 202</w:t>
      </w:r>
      <w:r>
        <w:t>4/25</w:t>
      </w:r>
      <w:r w:rsidRPr="00E740DE">
        <w:t xml:space="preserve">. </w:t>
      </w:r>
      <w:r>
        <w:t>21501-03, nr.187.</w:t>
      </w:r>
    </w:p>
  </w:footnote>
  <w:footnote w:id="52">
    <w:p w14:paraId="55E6B2F3" w14:textId="77777777" w:rsidR="002318A8" w:rsidRPr="003263A7" w:rsidRDefault="002318A8" w:rsidP="002318A8">
      <w:pPr>
        <w:pStyle w:val="Voetnoottekst"/>
      </w:pPr>
      <w:r>
        <w:rPr>
          <w:rStyle w:val="Voetnootmarkering"/>
        </w:rPr>
        <w:footnoteRef/>
      </w:r>
      <w:r>
        <w:t xml:space="preserve"> Centraal Planbureau (2025) Centraal Economisch Plan. </w:t>
      </w:r>
      <w:r w:rsidRPr="003263A7">
        <w:t>CPB Raming februari 2025 en B</w:t>
      </w:r>
      <w:r>
        <w:t xml:space="preserve">udgettaire Analyse Voorjaarsnota. April 2025 </w:t>
      </w:r>
    </w:p>
  </w:footnote>
  <w:footnote w:id="53">
    <w:p w14:paraId="0E6BEE58" w14:textId="77777777" w:rsidR="002318A8" w:rsidRDefault="002318A8" w:rsidP="002318A8">
      <w:pPr>
        <w:pStyle w:val="Voetnoottekst"/>
      </w:pPr>
      <w:r>
        <w:rPr>
          <w:rStyle w:val="Voetnootmarkering"/>
        </w:rPr>
        <w:footnoteRef/>
      </w:r>
      <w:r w:rsidRPr="003263A7">
        <w:t xml:space="preserve"> ESB (2022). </w:t>
      </w:r>
      <w:r>
        <w:t>Rutte IV intensiveert historisch veel. 14 maart 2022</w:t>
      </w:r>
    </w:p>
  </w:footnote>
  <w:footnote w:id="54">
    <w:p w14:paraId="5DA3662E" w14:textId="77777777" w:rsidR="002318A8" w:rsidRDefault="002318A8" w:rsidP="002318A8">
      <w:pPr>
        <w:pStyle w:val="Voetnoottekst"/>
      </w:pPr>
      <w:r>
        <w:rPr>
          <w:rStyle w:val="Voetnootmarkering"/>
        </w:rPr>
        <w:footnoteRef/>
      </w:r>
      <w:r>
        <w:t xml:space="preserve"> Voorjaarsrapportage 2023. </w:t>
      </w:r>
      <w:r w:rsidRPr="00FF6563">
        <w:t>No. W06.23.00107/III</w:t>
      </w:r>
    </w:p>
  </w:footnote>
  <w:footnote w:id="55">
    <w:p w14:paraId="6093E619" w14:textId="77777777" w:rsidR="002318A8" w:rsidRPr="00862FDD" w:rsidRDefault="002318A8" w:rsidP="002318A8">
      <w:pPr>
        <w:pStyle w:val="Voetnoottekst"/>
      </w:pPr>
      <w:r>
        <w:rPr>
          <w:rStyle w:val="Voetnootmarkering"/>
        </w:rPr>
        <w:footnoteRef/>
      </w:r>
      <w:r w:rsidRPr="00862FDD">
        <w:t xml:space="preserve"> </w:t>
      </w:r>
      <w:r w:rsidRPr="00BF42EC">
        <w:t xml:space="preserve">Ministerie van Financiën (2024). Budgettair-structureel plan voor de middellange termijn 2024. </w:t>
      </w:r>
    </w:p>
  </w:footnote>
  <w:footnote w:id="56">
    <w:p w14:paraId="24EF42CC" w14:textId="77777777" w:rsidR="002318A8" w:rsidRDefault="002318A8" w:rsidP="002318A8">
      <w:pPr>
        <w:pStyle w:val="Voetnoottekst"/>
      </w:pPr>
      <w:r>
        <w:rPr>
          <w:rStyle w:val="Voetnootmarkering"/>
        </w:rPr>
        <w:footnoteRef/>
      </w:r>
      <w:r>
        <w:t xml:space="preserve"> </w:t>
      </w:r>
      <w:r w:rsidRPr="00BF42EC">
        <w:t xml:space="preserve">Zie ook het advies van de Afdeling bij de Miljoenennota 2024 om het begrotingsraamwerk </w:t>
      </w:r>
      <w:proofErr w:type="spellStart"/>
      <w:r w:rsidRPr="00BF42EC">
        <w:t>klimaatinclusief</w:t>
      </w:r>
      <w:proofErr w:type="spellEnd"/>
      <w:r w:rsidRPr="00BF42EC">
        <w:t xml:space="preserve"> te maken en het 17e rapport van de Studiegroep Begrotingsruimte</w:t>
      </w:r>
    </w:p>
  </w:footnote>
  <w:footnote w:id="57">
    <w:p w14:paraId="09E24D4D" w14:textId="77777777" w:rsidR="002318A8" w:rsidRDefault="002318A8" w:rsidP="002318A8">
      <w:pPr>
        <w:pStyle w:val="Voetnoottekst"/>
      </w:pPr>
      <w:r>
        <w:rPr>
          <w:rStyle w:val="Voetnootmarkering"/>
        </w:rPr>
        <w:footnoteRef/>
      </w:r>
      <w:r>
        <w:t xml:space="preserve"> 17</w:t>
      </w:r>
      <w:r w:rsidRPr="00EE39FF">
        <w:rPr>
          <w:vertAlign w:val="superscript"/>
        </w:rPr>
        <w:t>e</w:t>
      </w:r>
      <w:r>
        <w:t xml:space="preserve"> Studiegroep Begrotingsruimte (2023). Bijsturen met het oog op de toekomst. </w:t>
      </w:r>
    </w:p>
  </w:footnote>
  <w:footnote w:id="58">
    <w:p w14:paraId="49BC377F" w14:textId="77777777" w:rsidR="002318A8" w:rsidRDefault="002318A8" w:rsidP="002318A8">
      <w:pPr>
        <w:pStyle w:val="Voetnoottekst"/>
      </w:pPr>
      <w:r>
        <w:rPr>
          <w:rStyle w:val="Voetnootmarkering"/>
        </w:rPr>
        <w:footnoteRef/>
      </w:r>
      <w:r>
        <w:t xml:space="preserve"> Ontwerp-Miljoenennota-advies 2025 en Septemberrapportage </w:t>
      </w:r>
      <w:proofErr w:type="spellStart"/>
      <w:r>
        <w:t>OBt</w:t>
      </w:r>
      <w:proofErr w:type="spellEnd"/>
      <w:r>
        <w:t xml:space="preserve"> 2024. </w:t>
      </w:r>
      <w:r w:rsidRPr="00BF42EC">
        <w:t xml:space="preserve">No. W06.24.00186/III </w:t>
      </w:r>
    </w:p>
  </w:footnote>
  <w:footnote w:id="59">
    <w:p w14:paraId="54A9E9A3" w14:textId="77777777" w:rsidR="002318A8" w:rsidRDefault="002318A8" w:rsidP="002318A8">
      <w:pPr>
        <w:pStyle w:val="Voetnoottekst"/>
      </w:pPr>
      <w:r>
        <w:rPr>
          <w:rStyle w:val="Voetnootmarkering"/>
        </w:rPr>
        <w:footnoteRef/>
      </w:r>
      <w:r>
        <w:t xml:space="preserve"> </w:t>
      </w:r>
      <w:proofErr w:type="spellStart"/>
      <w:r>
        <w:t>DenkWerk</w:t>
      </w:r>
      <w:proofErr w:type="spellEnd"/>
      <w:r>
        <w:t xml:space="preserve"> (2025). Kiezen én Delen. Werken en investeren voor morgen met een contract voor de toekomst. Januari 2025.</w:t>
      </w:r>
    </w:p>
  </w:footnote>
  <w:footnote w:id="60">
    <w:p w14:paraId="1574FEA4" w14:textId="77777777" w:rsidR="002318A8" w:rsidRDefault="002318A8" w:rsidP="002318A8">
      <w:pPr>
        <w:pStyle w:val="Voetnoottekst"/>
      </w:pPr>
      <w:r>
        <w:rPr>
          <w:rStyle w:val="Voetnootmarkering"/>
        </w:rPr>
        <w:footnoteRef/>
      </w:r>
      <w:r>
        <w:t xml:space="preserve"> Centraal Planbureau (2025). Centraal Economisch Plan. Maartraming 2025. </w:t>
      </w:r>
    </w:p>
  </w:footnote>
  <w:footnote w:id="61">
    <w:p w14:paraId="445986AF" w14:textId="77777777" w:rsidR="002318A8" w:rsidRDefault="002318A8" w:rsidP="002318A8">
      <w:pPr>
        <w:pStyle w:val="Voetnoottekst"/>
      </w:pPr>
      <w:r>
        <w:rPr>
          <w:rStyle w:val="Voetnootmarkering"/>
        </w:rPr>
        <w:footnoteRef/>
      </w:r>
      <w:r>
        <w:t xml:space="preserve"> </w:t>
      </w:r>
      <w:r w:rsidRPr="00E740DE">
        <w:t xml:space="preserve">Kamerstukken II 2022/23. 36200, nr. 6. </w:t>
      </w:r>
    </w:p>
  </w:footnote>
  <w:footnote w:id="62">
    <w:p w14:paraId="3990CEC0" w14:textId="2CFC0C90" w:rsidR="002318A8" w:rsidRPr="001B5032" w:rsidRDefault="002318A8" w:rsidP="002318A8">
      <w:pPr>
        <w:pStyle w:val="Voetnoottekst"/>
        <w:rPr>
          <w:b/>
          <w:bCs/>
        </w:rPr>
      </w:pPr>
      <w:r>
        <w:rPr>
          <w:rStyle w:val="Voetnootmarkering"/>
        </w:rPr>
        <w:footnoteRef/>
      </w:r>
      <w:r>
        <w:t xml:space="preserve"> </w:t>
      </w:r>
      <w:r w:rsidRPr="001B5032">
        <w:t>Junirapportage 2022, Kamerstukken II 36120, nr.3 W06.22.0084/111/B</w:t>
      </w:r>
      <w:r>
        <w:rPr>
          <w:b/>
          <w:bCs/>
        </w:rPr>
        <w:t xml:space="preserve"> </w:t>
      </w:r>
    </w:p>
  </w:footnote>
  <w:footnote w:id="63">
    <w:p w14:paraId="03587A2A" w14:textId="77777777" w:rsidR="002318A8" w:rsidRDefault="002318A8" w:rsidP="002318A8">
      <w:pPr>
        <w:pStyle w:val="Voetnoottekst"/>
      </w:pPr>
      <w:r>
        <w:rPr>
          <w:rStyle w:val="Voetnootmarkering"/>
        </w:rPr>
        <w:footnoteRef/>
      </w:r>
      <w:r>
        <w:t xml:space="preserve"> Voorbeelden van generale dossiers zijn hogere uitgaven aan Justitie en Veiligheid door hogere asielinstroom en veranderingen in de EU-afdrachten. </w:t>
      </w:r>
    </w:p>
  </w:footnote>
  <w:footnote w:id="64">
    <w:p w14:paraId="74534BA3" w14:textId="77777777" w:rsidR="002318A8" w:rsidRDefault="002318A8" w:rsidP="002318A8">
      <w:pPr>
        <w:pStyle w:val="Voetnoottekst"/>
      </w:pPr>
      <w:r>
        <w:rPr>
          <w:rStyle w:val="Voetnootmarkering"/>
        </w:rPr>
        <w:footnoteRef/>
      </w:r>
      <w:r>
        <w:t xml:space="preserve"> Zie Centraal Planbureau (2025) Budgettaire analyse Voorjaarsnota 2025: Bijlage verschillen in beleidsmatige zorguitgaven. </w:t>
      </w:r>
    </w:p>
  </w:footnote>
  <w:footnote w:id="65">
    <w:p w14:paraId="3A8996C3" w14:textId="77777777" w:rsidR="002318A8" w:rsidRDefault="002318A8" w:rsidP="002318A8">
      <w:pPr>
        <w:pStyle w:val="Voetnoottekst"/>
      </w:pPr>
      <w:r>
        <w:rPr>
          <w:rStyle w:val="Voetnootmarkering"/>
        </w:rPr>
        <w:footnoteRef/>
      </w:r>
      <w:r>
        <w:t xml:space="preserve"> </w:t>
      </w:r>
      <w:r w:rsidRPr="00397687">
        <w:t xml:space="preserve">De in=uittaakstelling is de </w:t>
      </w:r>
      <w:proofErr w:type="spellStart"/>
      <w:r w:rsidRPr="00397687">
        <w:t>jaarl</w:t>
      </w:r>
      <w:r w:rsidRPr="00397687">
        <w:rPr>
          <w:rFonts w:ascii="Calibri" w:hAnsi="Calibri" w:cs="Calibri"/>
        </w:rPr>
        <w:t>ĳ</w:t>
      </w:r>
      <w:r w:rsidRPr="00397687">
        <w:t>kse</w:t>
      </w:r>
      <w:proofErr w:type="spellEnd"/>
      <w:r w:rsidRPr="00397687">
        <w:t xml:space="preserve"> tegenhanger van de eindejaarsmarge. Om te voorkomen dat het uitgavenplafond wordt overschreden door de </w:t>
      </w:r>
      <w:proofErr w:type="spellStart"/>
      <w:r w:rsidRPr="00397687">
        <w:t>jaarl</w:t>
      </w:r>
      <w:r w:rsidRPr="00397687">
        <w:rPr>
          <w:rFonts w:ascii="Calibri" w:hAnsi="Calibri" w:cs="Calibri"/>
        </w:rPr>
        <w:t>ĳ</w:t>
      </w:r>
      <w:r w:rsidRPr="00397687">
        <w:t>kse</w:t>
      </w:r>
      <w:proofErr w:type="spellEnd"/>
      <w:r w:rsidRPr="00397687">
        <w:t xml:space="preserve"> uitkering van de eindejaarsmarge, wordt </w:t>
      </w:r>
      <w:proofErr w:type="spellStart"/>
      <w:r w:rsidRPr="00397687">
        <w:t>tegel</w:t>
      </w:r>
      <w:r w:rsidRPr="00397687">
        <w:rPr>
          <w:rFonts w:ascii="Calibri" w:hAnsi="Calibri" w:cs="Calibri"/>
        </w:rPr>
        <w:t>ĳ</w:t>
      </w:r>
      <w:r w:rsidRPr="00397687">
        <w:t>kert</w:t>
      </w:r>
      <w:r w:rsidRPr="00397687">
        <w:rPr>
          <w:rFonts w:ascii="Calibri" w:hAnsi="Calibri" w:cs="Calibri"/>
        </w:rPr>
        <w:t>ĳ</w:t>
      </w:r>
      <w:r w:rsidRPr="00397687">
        <w:t>d</w:t>
      </w:r>
      <w:proofErr w:type="spellEnd"/>
      <w:r w:rsidRPr="00397687">
        <w:t xml:space="preserve"> een even grote taakstelling ingeboekt, de zogenoemde in=uittaakstelling. Hierdoor levert het doorschuiven via de eindejaarsmarge dus geen extra middelen op in het jaar waarnaar wordt doorgeschoven. De in=uittaakstelling kent geen concrete invulling, maar moet gaandeweg het jaar ingevuld worden met </w:t>
      </w:r>
      <w:proofErr w:type="spellStart"/>
      <w:r w:rsidRPr="00397687">
        <w:t>onderuitputting</w:t>
      </w:r>
      <w:proofErr w:type="spellEnd"/>
      <w:r w:rsidRPr="00397687">
        <w:t xml:space="preserve"> en generale meevallers. </w:t>
      </w:r>
    </w:p>
  </w:footnote>
  <w:footnote w:id="66">
    <w:p w14:paraId="4B699C11" w14:textId="77777777" w:rsidR="002318A8" w:rsidRDefault="002318A8" w:rsidP="002318A8">
      <w:pPr>
        <w:pStyle w:val="Voetnoottekst"/>
      </w:pPr>
      <w:r>
        <w:rPr>
          <w:rStyle w:val="Voetnootmarkering"/>
        </w:rPr>
        <w:footnoteRef/>
      </w:r>
      <w:r>
        <w:t xml:space="preserve"> Het deel wat aan het eind van het jaar niet wordt ingevuld leidt tot saldoverslechtering. </w:t>
      </w:r>
    </w:p>
  </w:footnote>
  <w:footnote w:id="67">
    <w:p w14:paraId="2D95213A" w14:textId="77777777" w:rsidR="002318A8" w:rsidRDefault="002318A8" w:rsidP="002318A8">
      <w:pPr>
        <w:pStyle w:val="Voetnoottekst"/>
      </w:pPr>
      <w:r>
        <w:rPr>
          <w:rStyle w:val="Voetnootmarkering"/>
          <w:rFonts w:eastAsiaTheme="majorEastAsia"/>
        </w:rPr>
        <w:footnoteRef/>
      </w:r>
      <w:r>
        <w:t xml:space="preserve"> Raad voor Openbaar Bestuur (2025). Afrekenen met disbalans, Advies over medebewindstaken, 19 maart. (</w:t>
      </w:r>
      <w:hyperlink r:id="rId14" w:history="1">
        <w:r>
          <w:rPr>
            <w:rStyle w:val="Hyperlink"/>
            <w:rFonts w:eastAsiaTheme="majorEastAsia"/>
          </w:rPr>
          <w:t>link</w:t>
        </w:r>
      </w:hyperlink>
      <w:r>
        <w:t xml:space="preserve">) </w:t>
      </w:r>
    </w:p>
  </w:footnote>
  <w:footnote w:id="68">
    <w:p w14:paraId="4D287ADF" w14:textId="77777777" w:rsidR="002318A8" w:rsidRDefault="002318A8" w:rsidP="002318A8">
      <w:pPr>
        <w:pStyle w:val="Voetnoottekst"/>
      </w:pPr>
      <w:r>
        <w:rPr>
          <w:rStyle w:val="Voetnootmarkering"/>
        </w:rPr>
        <w:footnoteRef/>
      </w:r>
      <w:r>
        <w:t xml:space="preserve"> Expertgroep Realistisch Ramen (2025). Op drift of op koers? Analyses en aanbevelingen om beter te ramen en begroten. </w:t>
      </w:r>
      <w:r w:rsidRPr="00B40D62">
        <w:t>(</w:t>
      </w:r>
      <w:hyperlink r:id="rId15" w:history="1">
        <w:r w:rsidRPr="00B40D62">
          <w:rPr>
            <w:rStyle w:val="Hyperlink"/>
          </w:rPr>
          <w:t>link</w:t>
        </w:r>
      </w:hyperlink>
      <w:r w:rsidRPr="00B40D62">
        <w:t>)</w:t>
      </w:r>
    </w:p>
  </w:footnote>
  <w:footnote w:id="69">
    <w:p w14:paraId="24FE9DD2" w14:textId="77777777" w:rsidR="002318A8" w:rsidRDefault="002318A8" w:rsidP="002318A8">
      <w:pPr>
        <w:pStyle w:val="Voetnoottekst"/>
      </w:pPr>
      <w:r>
        <w:rPr>
          <w:rStyle w:val="Voetnootmarkering"/>
        </w:rPr>
        <w:footnoteRef/>
      </w:r>
      <w:r>
        <w:t xml:space="preserve"> Expertgroep Realistisch Ramen (2025). Op drift of op koers? Analyses en aanbevelingen om beter te ramen en begroten. </w:t>
      </w:r>
      <w:r w:rsidRPr="00B40D62">
        <w:t>(</w:t>
      </w:r>
      <w:hyperlink r:id="rId16" w:history="1">
        <w:r w:rsidRPr="00B40D62">
          <w:rPr>
            <w:rStyle w:val="Hyperlink"/>
          </w:rPr>
          <w:t>link</w:t>
        </w:r>
      </w:hyperlink>
      <w:r w:rsidRPr="00B40D62">
        <w:t>)</w:t>
      </w:r>
    </w:p>
    <w:p w14:paraId="56F94ED7" w14:textId="77777777" w:rsidR="002318A8" w:rsidRDefault="002318A8" w:rsidP="002318A8">
      <w:pPr>
        <w:pStyle w:val="Voetnoottekst"/>
      </w:pPr>
    </w:p>
  </w:footnote>
  <w:footnote w:id="70">
    <w:p w14:paraId="3287E9B0" w14:textId="6F040396" w:rsidR="00D57038" w:rsidRDefault="00D57038" w:rsidP="00D57038">
      <w:pPr>
        <w:pStyle w:val="Voetnoottekst"/>
      </w:pPr>
      <w:r>
        <w:rPr>
          <w:rStyle w:val="Voetnootmarkering"/>
        </w:rPr>
        <w:footnoteRef/>
      </w:r>
      <w:r>
        <w:t xml:space="preserve"> </w:t>
      </w:r>
      <w:r w:rsidRPr="00D57038">
        <w:t>De netto primaire uitgaven betreffen de overheidsuitgaven exclusief rentelasten, cyclische werkloosheidsuitgaven, uitgaven</w:t>
      </w:r>
      <w:r>
        <w:t xml:space="preserve"> </w:t>
      </w:r>
      <w:r w:rsidRPr="00D57038">
        <w:t>die worden gedekt met middelen uit de EU-begroting, cofinanciering van Europese subsidies en tijdelijke en eenmalige</w:t>
      </w:r>
      <w:r>
        <w:t xml:space="preserve"> </w:t>
      </w:r>
      <w:r w:rsidRPr="00D57038">
        <w:t>uitgaven (‘</w:t>
      </w:r>
      <w:proofErr w:type="spellStart"/>
      <w:r w:rsidRPr="00D57038">
        <w:t>one-offs</w:t>
      </w:r>
      <w:proofErr w:type="spellEnd"/>
      <w:r w:rsidRPr="00D57038">
        <w:t>’). Bij het vaststellen van de netto primaire uitgaven wordt daarnaast rekening gehouden met</w:t>
      </w:r>
      <w:r>
        <w:t xml:space="preserve"> </w:t>
      </w:r>
      <w:r w:rsidRPr="00D57038">
        <w:t>discretionaire inkomstenmaatregelen.</w:t>
      </w:r>
    </w:p>
  </w:footnote>
  <w:footnote w:id="71">
    <w:p w14:paraId="07271918" w14:textId="58161BF1" w:rsidR="008647DF" w:rsidRDefault="008647DF">
      <w:pPr>
        <w:pStyle w:val="Voetnoottekst"/>
      </w:pPr>
      <w:r>
        <w:rPr>
          <w:rStyle w:val="Voetnootmarkering"/>
        </w:rPr>
        <w:footnoteRef/>
      </w:r>
      <w:r>
        <w:t xml:space="preserve"> </w:t>
      </w:r>
      <w:hyperlink r:id="rId17" w:history="1">
        <w:r w:rsidRPr="009B60CB">
          <w:rPr>
            <w:rStyle w:val="Hyperlink"/>
          </w:rPr>
          <w:t>Kamerbrief agenda voor toekomstbestendig begroten en verantwoorden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3B93" w14:textId="77777777" w:rsidR="00FA7BCD" w:rsidRDefault="00732C1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3B99" w14:textId="77777777" w:rsidR="00DA0CDA" w:rsidRDefault="00732C1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63D3B9A" w14:textId="77777777" w:rsidR="00993C75" w:rsidRDefault="00732C1C">
    <w:pPr>
      <w:pStyle w:val="Koptekst"/>
    </w:pPr>
    <w:r>
      <w:rPr>
        <w:noProof/>
      </w:rPr>
      <w:drawing>
        <wp:anchor distT="0" distB="0" distL="114300" distR="114300" simplePos="0" relativeHeight="251658240" behindDoc="1" locked="0" layoutInCell="1" allowOverlap="1" wp14:anchorId="063D3BA5" wp14:editId="063D3BA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B69"/>
    <w:multiLevelType w:val="hybridMultilevel"/>
    <w:tmpl w:val="1A081878"/>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E25DE"/>
    <w:multiLevelType w:val="hybridMultilevel"/>
    <w:tmpl w:val="E63AFA58"/>
    <w:lvl w:ilvl="0" w:tplc="04130001">
      <w:start w:val="1"/>
      <w:numFmt w:val="bullet"/>
      <w:lvlText w:val=""/>
      <w:lvlJc w:val="left"/>
      <w:pPr>
        <w:ind w:left="945" w:hanging="360"/>
      </w:pPr>
      <w:rPr>
        <w:rFonts w:ascii="Symbol" w:hAnsi="Symbol" w:hint="default"/>
      </w:rPr>
    </w:lvl>
    <w:lvl w:ilvl="1" w:tplc="04130003">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2" w15:restartNumberingAfterBreak="0">
    <w:nsid w:val="03BC0550"/>
    <w:multiLevelType w:val="hybridMultilevel"/>
    <w:tmpl w:val="67F6D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E52817"/>
    <w:multiLevelType w:val="hybridMultilevel"/>
    <w:tmpl w:val="B13499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A85926"/>
    <w:multiLevelType w:val="hybridMultilevel"/>
    <w:tmpl w:val="88B65404"/>
    <w:lvl w:ilvl="0" w:tplc="6EF64CDA">
      <w:start w:val="1"/>
      <w:numFmt w:val="decimal"/>
      <w:lvlText w:val="%1."/>
      <w:lvlJc w:val="left"/>
      <w:pPr>
        <w:ind w:left="1020" w:hanging="360"/>
      </w:pPr>
    </w:lvl>
    <w:lvl w:ilvl="1" w:tplc="94BA267A">
      <w:start w:val="1"/>
      <w:numFmt w:val="decimal"/>
      <w:lvlText w:val="%2."/>
      <w:lvlJc w:val="left"/>
      <w:pPr>
        <w:ind w:left="1020" w:hanging="360"/>
      </w:pPr>
    </w:lvl>
    <w:lvl w:ilvl="2" w:tplc="69322C2A">
      <w:start w:val="1"/>
      <w:numFmt w:val="decimal"/>
      <w:lvlText w:val="%3."/>
      <w:lvlJc w:val="left"/>
      <w:pPr>
        <w:ind w:left="1020" w:hanging="360"/>
      </w:pPr>
    </w:lvl>
    <w:lvl w:ilvl="3" w:tplc="9C981C4E">
      <w:start w:val="1"/>
      <w:numFmt w:val="decimal"/>
      <w:lvlText w:val="%4."/>
      <w:lvlJc w:val="left"/>
      <w:pPr>
        <w:ind w:left="1020" w:hanging="360"/>
      </w:pPr>
    </w:lvl>
    <w:lvl w:ilvl="4" w:tplc="4BBCEE18">
      <w:start w:val="1"/>
      <w:numFmt w:val="decimal"/>
      <w:lvlText w:val="%5."/>
      <w:lvlJc w:val="left"/>
      <w:pPr>
        <w:ind w:left="1020" w:hanging="360"/>
      </w:pPr>
    </w:lvl>
    <w:lvl w:ilvl="5" w:tplc="B31E3B64">
      <w:start w:val="1"/>
      <w:numFmt w:val="decimal"/>
      <w:lvlText w:val="%6."/>
      <w:lvlJc w:val="left"/>
      <w:pPr>
        <w:ind w:left="1020" w:hanging="360"/>
      </w:pPr>
    </w:lvl>
    <w:lvl w:ilvl="6" w:tplc="E620EEAE">
      <w:start w:val="1"/>
      <w:numFmt w:val="decimal"/>
      <w:lvlText w:val="%7."/>
      <w:lvlJc w:val="left"/>
      <w:pPr>
        <w:ind w:left="1020" w:hanging="360"/>
      </w:pPr>
    </w:lvl>
    <w:lvl w:ilvl="7" w:tplc="3FCE42C6">
      <w:start w:val="1"/>
      <w:numFmt w:val="decimal"/>
      <w:lvlText w:val="%8."/>
      <w:lvlJc w:val="left"/>
      <w:pPr>
        <w:ind w:left="1020" w:hanging="360"/>
      </w:pPr>
    </w:lvl>
    <w:lvl w:ilvl="8" w:tplc="27927082">
      <w:start w:val="1"/>
      <w:numFmt w:val="decimal"/>
      <w:lvlText w:val="%9."/>
      <w:lvlJc w:val="left"/>
      <w:pPr>
        <w:ind w:left="1020" w:hanging="360"/>
      </w:pPr>
    </w:lvl>
  </w:abstractNum>
  <w:abstractNum w:abstractNumId="5" w15:restartNumberingAfterBreak="0">
    <w:nsid w:val="0EA156BD"/>
    <w:multiLevelType w:val="hybridMultilevel"/>
    <w:tmpl w:val="84D45C74"/>
    <w:lvl w:ilvl="0" w:tplc="2334D3C0">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135A8"/>
    <w:multiLevelType w:val="hybridMultilevel"/>
    <w:tmpl w:val="787E1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D63B9"/>
    <w:multiLevelType w:val="hybridMultilevel"/>
    <w:tmpl w:val="1CE03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E7F92"/>
    <w:multiLevelType w:val="hybridMultilevel"/>
    <w:tmpl w:val="B038D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D3928"/>
    <w:multiLevelType w:val="hybridMultilevel"/>
    <w:tmpl w:val="61EE7596"/>
    <w:lvl w:ilvl="0" w:tplc="12DE162E">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164687"/>
    <w:multiLevelType w:val="multilevel"/>
    <w:tmpl w:val="B7302428"/>
    <w:lvl w:ilvl="0">
      <w:start w:val="1"/>
      <w:numFmt w:val="decimal"/>
      <w:lvlText w:val="%1"/>
      <w:lvlJc w:val="left"/>
      <w:pPr>
        <w:ind w:left="1130" w:hanging="1130"/>
      </w:pPr>
      <w:rPr>
        <w:rFonts w:hint="default"/>
      </w:rPr>
    </w:lvl>
    <w:lvl w:ilvl="1">
      <w:start w:val="1"/>
      <w:numFmt w:val="decimal"/>
      <w:lvlText w:val="%1.%2"/>
      <w:lvlJc w:val="left"/>
      <w:pPr>
        <w:ind w:left="1490" w:hanging="1130"/>
      </w:pPr>
      <w:rPr>
        <w:rFonts w:hint="default"/>
      </w:rPr>
    </w:lvl>
    <w:lvl w:ilvl="2">
      <w:start w:val="1"/>
      <w:numFmt w:val="decimal"/>
      <w:lvlText w:val="%1.%2.%3"/>
      <w:lvlJc w:val="left"/>
      <w:pPr>
        <w:ind w:left="1850" w:hanging="1130"/>
      </w:pPr>
      <w:rPr>
        <w:rFonts w:hint="default"/>
      </w:rPr>
    </w:lvl>
    <w:lvl w:ilvl="3">
      <w:start w:val="1"/>
      <w:numFmt w:val="decimal"/>
      <w:lvlText w:val="%1.%2.%3.%4"/>
      <w:lvlJc w:val="left"/>
      <w:pPr>
        <w:ind w:left="2210" w:hanging="1130"/>
      </w:pPr>
      <w:rPr>
        <w:rFonts w:hint="default"/>
      </w:rPr>
    </w:lvl>
    <w:lvl w:ilvl="4">
      <w:start w:val="1"/>
      <w:numFmt w:val="decimal"/>
      <w:lvlText w:val="%1.%2.%3.%4.%5"/>
      <w:lvlJc w:val="left"/>
      <w:pPr>
        <w:ind w:left="2570" w:hanging="113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C4F365E"/>
    <w:multiLevelType w:val="hybridMultilevel"/>
    <w:tmpl w:val="DF5EB98C"/>
    <w:lvl w:ilvl="0" w:tplc="059A3BA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B62492"/>
    <w:multiLevelType w:val="hybridMultilevel"/>
    <w:tmpl w:val="2EFCFA5A"/>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5C1861"/>
    <w:multiLevelType w:val="hybridMultilevel"/>
    <w:tmpl w:val="162E25B4"/>
    <w:lvl w:ilvl="0" w:tplc="C3286FA2">
      <w:start w:val="1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FE7A52"/>
    <w:multiLevelType w:val="multilevel"/>
    <w:tmpl w:val="C1B6F24A"/>
    <w:lvl w:ilvl="0">
      <w:start w:val="1"/>
      <w:numFmt w:val="decimal"/>
      <w:lvlText w:val="%1."/>
      <w:lvlJc w:val="left"/>
      <w:pPr>
        <w:ind w:left="720" w:hanging="360"/>
      </w:pPr>
      <w:rPr>
        <w:rFonts w:hint="default"/>
        <w:u w:val="none"/>
      </w:rPr>
    </w:lvl>
    <w:lvl w:ilvl="1">
      <w:start w:val="1"/>
      <w:numFmt w:val="decimal"/>
      <w:isLgl/>
      <w:lvlText w:val="%1.%2"/>
      <w:lvlJc w:val="left"/>
      <w:pPr>
        <w:ind w:left="1410" w:hanging="1050"/>
      </w:pPr>
      <w:rPr>
        <w:rFonts w:hint="default"/>
        <w:i w:val="0"/>
      </w:rPr>
    </w:lvl>
    <w:lvl w:ilvl="2">
      <w:start w:val="1"/>
      <w:numFmt w:val="decimal"/>
      <w:isLgl/>
      <w:lvlText w:val="%1.%2.%3"/>
      <w:lvlJc w:val="left"/>
      <w:pPr>
        <w:ind w:left="1410" w:hanging="105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5" w15:restartNumberingAfterBreak="0">
    <w:nsid w:val="2D2E7BD6"/>
    <w:multiLevelType w:val="multilevel"/>
    <w:tmpl w:val="C1B6F24A"/>
    <w:lvl w:ilvl="0">
      <w:start w:val="1"/>
      <w:numFmt w:val="decimal"/>
      <w:lvlText w:val="%1."/>
      <w:lvlJc w:val="left"/>
      <w:pPr>
        <w:ind w:left="720" w:hanging="360"/>
      </w:pPr>
      <w:rPr>
        <w:rFonts w:hint="default"/>
        <w:u w:val="none"/>
      </w:rPr>
    </w:lvl>
    <w:lvl w:ilvl="1">
      <w:start w:val="1"/>
      <w:numFmt w:val="decimal"/>
      <w:isLgl/>
      <w:lvlText w:val="%1.%2"/>
      <w:lvlJc w:val="left"/>
      <w:pPr>
        <w:ind w:left="1410" w:hanging="1050"/>
      </w:pPr>
      <w:rPr>
        <w:rFonts w:hint="default"/>
        <w:i w:val="0"/>
      </w:rPr>
    </w:lvl>
    <w:lvl w:ilvl="2">
      <w:start w:val="1"/>
      <w:numFmt w:val="decimal"/>
      <w:isLgl/>
      <w:lvlText w:val="%1.%2.%3"/>
      <w:lvlJc w:val="left"/>
      <w:pPr>
        <w:ind w:left="1410" w:hanging="105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6" w15:restartNumberingAfterBreak="0">
    <w:nsid w:val="2F6A450E"/>
    <w:multiLevelType w:val="multilevel"/>
    <w:tmpl w:val="CDC239E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92A3ACC"/>
    <w:multiLevelType w:val="hybridMultilevel"/>
    <w:tmpl w:val="B204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2F7425"/>
    <w:multiLevelType w:val="hybridMultilevel"/>
    <w:tmpl w:val="244A7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E735B9"/>
    <w:multiLevelType w:val="hybridMultilevel"/>
    <w:tmpl w:val="73202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267BBB"/>
    <w:multiLevelType w:val="hybridMultilevel"/>
    <w:tmpl w:val="EE1C5642"/>
    <w:lvl w:ilvl="0" w:tplc="CD48B8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7F2960"/>
    <w:multiLevelType w:val="hybridMultilevel"/>
    <w:tmpl w:val="20F01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98288F"/>
    <w:multiLevelType w:val="multilevel"/>
    <w:tmpl w:val="CEC0376C"/>
    <w:lvl w:ilvl="0">
      <w:start w:val="2"/>
      <w:numFmt w:val="decimal"/>
      <w:lvlText w:val="%1"/>
      <w:lvlJc w:val="left"/>
      <w:pPr>
        <w:ind w:left="555" w:hanging="555"/>
      </w:pPr>
      <w:rPr>
        <w:rFonts w:hint="default"/>
      </w:rPr>
    </w:lvl>
    <w:lvl w:ilvl="1">
      <w:start w:val="1"/>
      <w:numFmt w:val="decimal"/>
      <w:lvlText w:val="%1.%2"/>
      <w:lvlJc w:val="left"/>
      <w:pPr>
        <w:ind w:left="735" w:hanging="555"/>
      </w:pPr>
      <w:rPr>
        <w:rFonts w:hint="default"/>
        <w:i w:val="0"/>
        <w:iCs w:val="0"/>
      </w:rPr>
    </w:lvl>
    <w:lvl w:ilvl="2">
      <w:start w:val="1"/>
      <w:numFmt w:val="decimal"/>
      <w:lvlText w:val="%1.%2.%3"/>
      <w:lvlJc w:val="left"/>
      <w:pPr>
        <w:ind w:left="1080" w:hanging="720"/>
      </w:pPr>
      <w:rPr>
        <w:rFonts w:hint="default"/>
        <w:i w:val="0"/>
        <w:iCs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10A66"/>
    <w:multiLevelType w:val="hybridMultilevel"/>
    <w:tmpl w:val="1022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B0B1A"/>
    <w:multiLevelType w:val="hybridMultilevel"/>
    <w:tmpl w:val="2882668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5828350C"/>
    <w:multiLevelType w:val="hybridMultilevel"/>
    <w:tmpl w:val="85F2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915758"/>
    <w:multiLevelType w:val="hybridMultilevel"/>
    <w:tmpl w:val="43626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2B2299"/>
    <w:multiLevelType w:val="hybridMultilevel"/>
    <w:tmpl w:val="0550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4C156D"/>
    <w:multiLevelType w:val="multilevel"/>
    <w:tmpl w:val="7220B398"/>
    <w:lvl w:ilvl="0">
      <w:start w:val="1"/>
      <w:numFmt w:val="decimal"/>
      <w:lvlText w:val="%1."/>
      <w:lvlJc w:val="left"/>
      <w:pPr>
        <w:ind w:left="720" w:hanging="360"/>
      </w:pPr>
      <w:rPr>
        <w:rFonts w:hint="default"/>
      </w:rPr>
    </w:lvl>
    <w:lvl w:ilvl="1">
      <w:start w:val="2"/>
      <w:numFmt w:val="decimal"/>
      <w:isLgl/>
      <w:lvlText w:val="%1.%2"/>
      <w:lvlJc w:val="left"/>
      <w:pPr>
        <w:ind w:left="1485" w:hanging="1125"/>
      </w:pPr>
      <w:rPr>
        <w:rFonts w:hint="default"/>
        <w:i w:val="0"/>
      </w:rPr>
    </w:lvl>
    <w:lvl w:ilvl="2">
      <w:start w:val="1"/>
      <w:numFmt w:val="decimal"/>
      <w:isLgl/>
      <w:lvlText w:val="%1.%2.%3"/>
      <w:lvlJc w:val="left"/>
      <w:pPr>
        <w:ind w:left="1485" w:hanging="1125"/>
      </w:pPr>
      <w:rPr>
        <w:rFonts w:hint="default"/>
        <w:i w:val="0"/>
      </w:rPr>
    </w:lvl>
    <w:lvl w:ilvl="3">
      <w:start w:val="1"/>
      <w:numFmt w:val="decimal"/>
      <w:isLgl/>
      <w:lvlText w:val="%1.%2.%3.%4"/>
      <w:lvlJc w:val="left"/>
      <w:pPr>
        <w:ind w:left="1485" w:hanging="1125"/>
      </w:pPr>
      <w:rPr>
        <w:rFonts w:hint="default"/>
        <w:i w:val="0"/>
      </w:rPr>
    </w:lvl>
    <w:lvl w:ilvl="4">
      <w:start w:val="1"/>
      <w:numFmt w:val="decimal"/>
      <w:isLgl/>
      <w:lvlText w:val="%1.%2.%3.%4.%5"/>
      <w:lvlJc w:val="left"/>
      <w:pPr>
        <w:ind w:left="1485" w:hanging="1125"/>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9" w15:restartNumberingAfterBreak="0">
    <w:nsid w:val="5E1B061F"/>
    <w:multiLevelType w:val="hybridMultilevel"/>
    <w:tmpl w:val="C1E8983A"/>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9F303D"/>
    <w:multiLevelType w:val="hybridMultilevel"/>
    <w:tmpl w:val="136EABE8"/>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AF2E6D"/>
    <w:multiLevelType w:val="hybridMultilevel"/>
    <w:tmpl w:val="A992B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C36FDC"/>
    <w:multiLevelType w:val="multilevel"/>
    <w:tmpl w:val="471C6DF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88871D3"/>
    <w:multiLevelType w:val="multilevel"/>
    <w:tmpl w:val="1140125C"/>
    <w:lvl w:ilvl="0">
      <w:start w:val="1"/>
      <w:numFmt w:val="upperRoman"/>
      <w:lvlText w:val="%1."/>
      <w:lvlJc w:val="right"/>
      <w:pPr>
        <w:ind w:left="720" w:hanging="360"/>
      </w:pPr>
      <w:rPr>
        <w:rFonts w:hint="default"/>
      </w:rPr>
    </w:lvl>
    <w:lvl w:ilvl="1">
      <w:start w:val="1"/>
      <w:numFmt w:val="decimal"/>
      <w:isLgl/>
      <w:lvlText w:val="%1.%2"/>
      <w:lvlJc w:val="left"/>
      <w:pPr>
        <w:ind w:left="1242" w:hanging="708"/>
      </w:pPr>
      <w:rPr>
        <w:rFonts w:hint="default"/>
        <w:i w:val="0"/>
      </w:rPr>
    </w:lvl>
    <w:lvl w:ilvl="2">
      <w:start w:val="2"/>
      <w:numFmt w:val="decimal"/>
      <w:isLgl/>
      <w:lvlText w:val="%1.%2.%3"/>
      <w:lvlJc w:val="left"/>
      <w:pPr>
        <w:ind w:left="1428" w:hanging="720"/>
      </w:pPr>
      <w:rPr>
        <w:rFonts w:hint="default"/>
        <w:i w:val="0"/>
      </w:rPr>
    </w:lvl>
    <w:lvl w:ilvl="3">
      <w:start w:val="1"/>
      <w:numFmt w:val="decimal"/>
      <w:isLgl/>
      <w:lvlText w:val="%1.%2.%3.%4"/>
      <w:lvlJc w:val="left"/>
      <w:pPr>
        <w:ind w:left="1962" w:hanging="1080"/>
      </w:pPr>
      <w:rPr>
        <w:rFonts w:hint="default"/>
        <w:i w:val="0"/>
      </w:rPr>
    </w:lvl>
    <w:lvl w:ilvl="4">
      <w:start w:val="1"/>
      <w:numFmt w:val="decimal"/>
      <w:isLgl/>
      <w:lvlText w:val="%1.%2.%3.%4.%5"/>
      <w:lvlJc w:val="left"/>
      <w:pPr>
        <w:ind w:left="2136" w:hanging="1080"/>
      </w:pPr>
      <w:rPr>
        <w:rFonts w:hint="default"/>
        <w:i w:val="0"/>
      </w:rPr>
    </w:lvl>
    <w:lvl w:ilvl="5">
      <w:start w:val="1"/>
      <w:numFmt w:val="decimal"/>
      <w:isLgl/>
      <w:lvlText w:val="%1.%2.%3.%4.%5.%6"/>
      <w:lvlJc w:val="left"/>
      <w:pPr>
        <w:ind w:left="2670" w:hanging="1440"/>
      </w:pPr>
      <w:rPr>
        <w:rFonts w:hint="default"/>
        <w:i w:val="0"/>
      </w:rPr>
    </w:lvl>
    <w:lvl w:ilvl="6">
      <w:start w:val="1"/>
      <w:numFmt w:val="decimal"/>
      <w:isLgl/>
      <w:lvlText w:val="%1.%2.%3.%4.%5.%6.%7"/>
      <w:lvlJc w:val="left"/>
      <w:pPr>
        <w:ind w:left="2844" w:hanging="1440"/>
      </w:pPr>
      <w:rPr>
        <w:rFonts w:hint="default"/>
        <w:i w:val="0"/>
      </w:rPr>
    </w:lvl>
    <w:lvl w:ilvl="7">
      <w:start w:val="1"/>
      <w:numFmt w:val="decimal"/>
      <w:isLgl/>
      <w:lvlText w:val="%1.%2.%3.%4.%5.%6.%7.%8"/>
      <w:lvlJc w:val="left"/>
      <w:pPr>
        <w:ind w:left="3378" w:hanging="1800"/>
      </w:pPr>
      <w:rPr>
        <w:rFonts w:hint="default"/>
        <w:i w:val="0"/>
      </w:rPr>
    </w:lvl>
    <w:lvl w:ilvl="8">
      <w:start w:val="1"/>
      <w:numFmt w:val="decimal"/>
      <w:isLgl/>
      <w:lvlText w:val="%1.%2.%3.%4.%5.%6.%7.%8.%9"/>
      <w:lvlJc w:val="left"/>
      <w:pPr>
        <w:ind w:left="3912" w:hanging="2160"/>
      </w:pPr>
      <w:rPr>
        <w:rFonts w:hint="default"/>
        <w:i w:val="0"/>
      </w:rPr>
    </w:lvl>
  </w:abstractNum>
  <w:abstractNum w:abstractNumId="34" w15:restartNumberingAfterBreak="0">
    <w:nsid w:val="6A2321C5"/>
    <w:multiLevelType w:val="hybridMultilevel"/>
    <w:tmpl w:val="921C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380263"/>
    <w:multiLevelType w:val="hybridMultilevel"/>
    <w:tmpl w:val="F48E8DF4"/>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1E3779"/>
    <w:multiLevelType w:val="hybridMultilevel"/>
    <w:tmpl w:val="B12EB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9D443B"/>
    <w:multiLevelType w:val="hybridMultilevel"/>
    <w:tmpl w:val="FF667E4C"/>
    <w:lvl w:ilvl="0" w:tplc="99780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8871604">
    <w:abstractNumId w:val="29"/>
  </w:num>
  <w:num w:numId="2" w16cid:durableId="1371421213">
    <w:abstractNumId w:val="15"/>
  </w:num>
  <w:num w:numId="3" w16cid:durableId="1031422921">
    <w:abstractNumId w:val="28"/>
  </w:num>
  <w:num w:numId="4" w16cid:durableId="721246048">
    <w:abstractNumId w:val="10"/>
  </w:num>
  <w:num w:numId="5" w16cid:durableId="904730122">
    <w:abstractNumId w:val="21"/>
  </w:num>
  <w:num w:numId="6" w16cid:durableId="1525051797">
    <w:abstractNumId w:val="22"/>
  </w:num>
  <w:num w:numId="7" w16cid:durableId="1190682166">
    <w:abstractNumId w:val="32"/>
  </w:num>
  <w:num w:numId="8" w16cid:durableId="201483297">
    <w:abstractNumId w:val="9"/>
  </w:num>
  <w:num w:numId="9" w16cid:durableId="1528256319">
    <w:abstractNumId w:val="20"/>
  </w:num>
  <w:num w:numId="10" w16cid:durableId="10185997">
    <w:abstractNumId w:val="35"/>
  </w:num>
  <w:num w:numId="11" w16cid:durableId="1746032010">
    <w:abstractNumId w:val="37"/>
  </w:num>
  <w:num w:numId="12" w16cid:durableId="1002197926">
    <w:abstractNumId w:val="3"/>
  </w:num>
  <w:num w:numId="13" w16cid:durableId="1447384926">
    <w:abstractNumId w:val="5"/>
  </w:num>
  <w:num w:numId="14" w16cid:durableId="1703287907">
    <w:abstractNumId w:val="17"/>
  </w:num>
  <w:num w:numId="15" w16cid:durableId="2057318035">
    <w:abstractNumId w:val="34"/>
  </w:num>
  <w:num w:numId="16" w16cid:durableId="1280063193">
    <w:abstractNumId w:val="27"/>
  </w:num>
  <w:num w:numId="17" w16cid:durableId="476998724">
    <w:abstractNumId w:val="18"/>
  </w:num>
  <w:num w:numId="18" w16cid:durableId="1288470306">
    <w:abstractNumId w:val="7"/>
  </w:num>
  <w:num w:numId="19" w16cid:durableId="285432504">
    <w:abstractNumId w:val="6"/>
  </w:num>
  <w:num w:numId="20" w16cid:durableId="1271863717">
    <w:abstractNumId w:val="36"/>
  </w:num>
  <w:num w:numId="21" w16cid:durableId="1788310549">
    <w:abstractNumId w:val="8"/>
  </w:num>
  <w:num w:numId="22" w16cid:durableId="22904571">
    <w:abstractNumId w:val="19"/>
  </w:num>
  <w:num w:numId="23" w16cid:durableId="2077891327">
    <w:abstractNumId w:val="26"/>
  </w:num>
  <w:num w:numId="24" w16cid:durableId="1337029411">
    <w:abstractNumId w:val="24"/>
  </w:num>
  <w:num w:numId="25" w16cid:durableId="1192524483">
    <w:abstractNumId w:val="31"/>
  </w:num>
  <w:num w:numId="26" w16cid:durableId="1126463460">
    <w:abstractNumId w:val="23"/>
  </w:num>
  <w:num w:numId="27" w16cid:durableId="468522918">
    <w:abstractNumId w:val="1"/>
  </w:num>
  <w:num w:numId="28" w16cid:durableId="1453749059">
    <w:abstractNumId w:val="2"/>
  </w:num>
  <w:num w:numId="29" w16cid:durableId="479931287">
    <w:abstractNumId w:val="33"/>
  </w:num>
  <w:num w:numId="30" w16cid:durableId="752506705">
    <w:abstractNumId w:val="12"/>
  </w:num>
  <w:num w:numId="31" w16cid:durableId="909077381">
    <w:abstractNumId w:val="0"/>
  </w:num>
  <w:num w:numId="32" w16cid:durableId="1167861044">
    <w:abstractNumId w:val="4"/>
  </w:num>
  <w:num w:numId="33" w16cid:durableId="1707634126">
    <w:abstractNumId w:val="25"/>
  </w:num>
  <w:num w:numId="34" w16cid:durableId="164173760">
    <w:abstractNumId w:val="30"/>
  </w:num>
  <w:num w:numId="35" w16cid:durableId="1286278020">
    <w:abstractNumId w:val="11"/>
  </w:num>
  <w:num w:numId="36" w16cid:durableId="1658529798">
    <w:abstractNumId w:val="14"/>
  </w:num>
  <w:num w:numId="37" w16cid:durableId="616185411">
    <w:abstractNumId w:val="16"/>
  </w:num>
  <w:num w:numId="38" w16cid:durableId="6913471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B8"/>
    <w:rsid w:val="000018F6"/>
    <w:rsid w:val="00001CCB"/>
    <w:rsid w:val="000037A6"/>
    <w:rsid w:val="00006C27"/>
    <w:rsid w:val="0000736A"/>
    <w:rsid w:val="000107C0"/>
    <w:rsid w:val="000131F1"/>
    <w:rsid w:val="000135C9"/>
    <w:rsid w:val="00013D07"/>
    <w:rsid w:val="00014DAA"/>
    <w:rsid w:val="00016C9A"/>
    <w:rsid w:val="00017C54"/>
    <w:rsid w:val="000202AA"/>
    <w:rsid w:val="00024FB5"/>
    <w:rsid w:val="0003281A"/>
    <w:rsid w:val="000352C6"/>
    <w:rsid w:val="0004319D"/>
    <w:rsid w:val="00044440"/>
    <w:rsid w:val="00045607"/>
    <w:rsid w:val="00045C78"/>
    <w:rsid w:val="00045F85"/>
    <w:rsid w:val="0005007E"/>
    <w:rsid w:val="0005045D"/>
    <w:rsid w:val="00050D82"/>
    <w:rsid w:val="00054B0D"/>
    <w:rsid w:val="00055F69"/>
    <w:rsid w:val="00063F87"/>
    <w:rsid w:val="00066A48"/>
    <w:rsid w:val="00072BA4"/>
    <w:rsid w:val="00073196"/>
    <w:rsid w:val="00074014"/>
    <w:rsid w:val="00075F1F"/>
    <w:rsid w:val="000767EC"/>
    <w:rsid w:val="00080E44"/>
    <w:rsid w:val="000827B9"/>
    <w:rsid w:val="00084C76"/>
    <w:rsid w:val="0008772C"/>
    <w:rsid w:val="00090DDD"/>
    <w:rsid w:val="0009250B"/>
    <w:rsid w:val="000932DF"/>
    <w:rsid w:val="00093E4C"/>
    <w:rsid w:val="00096674"/>
    <w:rsid w:val="000A25E6"/>
    <w:rsid w:val="000A41EB"/>
    <w:rsid w:val="000A484D"/>
    <w:rsid w:val="000B33A4"/>
    <w:rsid w:val="000B6BC6"/>
    <w:rsid w:val="000C010F"/>
    <w:rsid w:val="000C357C"/>
    <w:rsid w:val="000C4C5E"/>
    <w:rsid w:val="000C7896"/>
    <w:rsid w:val="000D1FB2"/>
    <w:rsid w:val="000D415A"/>
    <w:rsid w:val="000E0AD2"/>
    <w:rsid w:val="000E1481"/>
    <w:rsid w:val="000E2937"/>
    <w:rsid w:val="000E5861"/>
    <w:rsid w:val="000E7758"/>
    <w:rsid w:val="000E7B8B"/>
    <w:rsid w:val="000F16A7"/>
    <w:rsid w:val="000F23F6"/>
    <w:rsid w:val="000F4549"/>
    <w:rsid w:val="000F5DC2"/>
    <w:rsid w:val="000F63F2"/>
    <w:rsid w:val="000F7CB4"/>
    <w:rsid w:val="00104D9A"/>
    <w:rsid w:val="001062FE"/>
    <w:rsid w:val="00107117"/>
    <w:rsid w:val="00107B00"/>
    <w:rsid w:val="00114B6C"/>
    <w:rsid w:val="00115604"/>
    <w:rsid w:val="00115881"/>
    <w:rsid w:val="00115C18"/>
    <w:rsid w:val="00115FC5"/>
    <w:rsid w:val="0011650C"/>
    <w:rsid w:val="00116791"/>
    <w:rsid w:val="00123D30"/>
    <w:rsid w:val="00124870"/>
    <w:rsid w:val="00125E93"/>
    <w:rsid w:val="001266FB"/>
    <w:rsid w:val="0012732D"/>
    <w:rsid w:val="00131084"/>
    <w:rsid w:val="00133DF3"/>
    <w:rsid w:val="00140172"/>
    <w:rsid w:val="00141252"/>
    <w:rsid w:val="00150410"/>
    <w:rsid w:val="001517BB"/>
    <w:rsid w:val="00151B44"/>
    <w:rsid w:val="00151B6A"/>
    <w:rsid w:val="001550EA"/>
    <w:rsid w:val="00167894"/>
    <w:rsid w:val="00170637"/>
    <w:rsid w:val="00171835"/>
    <w:rsid w:val="001718A5"/>
    <w:rsid w:val="00175D25"/>
    <w:rsid w:val="00176A4F"/>
    <w:rsid w:val="00177503"/>
    <w:rsid w:val="001777FD"/>
    <w:rsid w:val="0019039D"/>
    <w:rsid w:val="00193FF2"/>
    <w:rsid w:val="001978DD"/>
    <w:rsid w:val="00197B1D"/>
    <w:rsid w:val="001A2E29"/>
    <w:rsid w:val="001A5337"/>
    <w:rsid w:val="001B1391"/>
    <w:rsid w:val="001B1BDC"/>
    <w:rsid w:val="001B4084"/>
    <w:rsid w:val="001B5683"/>
    <w:rsid w:val="001B57E8"/>
    <w:rsid w:val="001B6C93"/>
    <w:rsid w:val="001D46CB"/>
    <w:rsid w:val="001D53D6"/>
    <w:rsid w:val="001D6205"/>
    <w:rsid w:val="001E542A"/>
    <w:rsid w:val="001E564E"/>
    <w:rsid w:val="001E5EB1"/>
    <w:rsid w:val="001E74A2"/>
    <w:rsid w:val="001F2D1D"/>
    <w:rsid w:val="001F4A7C"/>
    <w:rsid w:val="001F5F01"/>
    <w:rsid w:val="001F7231"/>
    <w:rsid w:val="00201811"/>
    <w:rsid w:val="00204C3A"/>
    <w:rsid w:val="00211FC3"/>
    <w:rsid w:val="00216318"/>
    <w:rsid w:val="00216BBF"/>
    <w:rsid w:val="00220392"/>
    <w:rsid w:val="00221C95"/>
    <w:rsid w:val="002229B3"/>
    <w:rsid w:val="0022384C"/>
    <w:rsid w:val="00226A33"/>
    <w:rsid w:val="00227DA2"/>
    <w:rsid w:val="00230F92"/>
    <w:rsid w:val="002318A8"/>
    <w:rsid w:val="00241412"/>
    <w:rsid w:val="00244B90"/>
    <w:rsid w:val="00246257"/>
    <w:rsid w:val="00247CEF"/>
    <w:rsid w:val="00251EA7"/>
    <w:rsid w:val="0025355B"/>
    <w:rsid w:val="00254F45"/>
    <w:rsid w:val="00261601"/>
    <w:rsid w:val="00266FEA"/>
    <w:rsid w:val="00270448"/>
    <w:rsid w:val="00281264"/>
    <w:rsid w:val="00282F4F"/>
    <w:rsid w:val="00285AC1"/>
    <w:rsid w:val="002914AA"/>
    <w:rsid w:val="002923B9"/>
    <w:rsid w:val="00293C8E"/>
    <w:rsid w:val="00295BF7"/>
    <w:rsid w:val="00297294"/>
    <w:rsid w:val="00297A9E"/>
    <w:rsid w:val="002A7150"/>
    <w:rsid w:val="002A74ED"/>
    <w:rsid w:val="002B0116"/>
    <w:rsid w:val="002B2749"/>
    <w:rsid w:val="002B2B9B"/>
    <w:rsid w:val="002D1291"/>
    <w:rsid w:val="002D365B"/>
    <w:rsid w:val="002D4F73"/>
    <w:rsid w:val="002D7591"/>
    <w:rsid w:val="002E011E"/>
    <w:rsid w:val="002E1F0E"/>
    <w:rsid w:val="002E23D8"/>
    <w:rsid w:val="002E45E6"/>
    <w:rsid w:val="002E4883"/>
    <w:rsid w:val="002E4A66"/>
    <w:rsid w:val="002E66AF"/>
    <w:rsid w:val="002E6B12"/>
    <w:rsid w:val="002E759B"/>
    <w:rsid w:val="002F1027"/>
    <w:rsid w:val="002F27C0"/>
    <w:rsid w:val="002F3C74"/>
    <w:rsid w:val="002F625C"/>
    <w:rsid w:val="00300040"/>
    <w:rsid w:val="0030295D"/>
    <w:rsid w:val="003053A7"/>
    <w:rsid w:val="00307880"/>
    <w:rsid w:val="00314D80"/>
    <w:rsid w:val="00317CF0"/>
    <w:rsid w:val="003214FE"/>
    <w:rsid w:val="0032273C"/>
    <w:rsid w:val="00322B1D"/>
    <w:rsid w:val="003236FF"/>
    <w:rsid w:val="00325463"/>
    <w:rsid w:val="00325DCD"/>
    <w:rsid w:val="00326A49"/>
    <w:rsid w:val="00327197"/>
    <w:rsid w:val="00327B52"/>
    <w:rsid w:val="00327C01"/>
    <w:rsid w:val="00327F8B"/>
    <w:rsid w:val="0033007F"/>
    <w:rsid w:val="003306B6"/>
    <w:rsid w:val="003353FD"/>
    <w:rsid w:val="003359F0"/>
    <w:rsid w:val="00337345"/>
    <w:rsid w:val="00344948"/>
    <w:rsid w:val="00346E45"/>
    <w:rsid w:val="00347200"/>
    <w:rsid w:val="00351BCF"/>
    <w:rsid w:val="00352887"/>
    <w:rsid w:val="003567AD"/>
    <w:rsid w:val="0036084A"/>
    <w:rsid w:val="00360F0D"/>
    <w:rsid w:val="00361072"/>
    <w:rsid w:val="0036226C"/>
    <w:rsid w:val="0036620E"/>
    <w:rsid w:val="00367C74"/>
    <w:rsid w:val="00372D3D"/>
    <w:rsid w:val="00380B9D"/>
    <w:rsid w:val="00384781"/>
    <w:rsid w:val="003876F5"/>
    <w:rsid w:val="0039007C"/>
    <w:rsid w:val="00396E26"/>
    <w:rsid w:val="003A2343"/>
    <w:rsid w:val="003A31D8"/>
    <w:rsid w:val="003A4E39"/>
    <w:rsid w:val="003A6672"/>
    <w:rsid w:val="003B0C6B"/>
    <w:rsid w:val="003B1481"/>
    <w:rsid w:val="003B1CA8"/>
    <w:rsid w:val="003B7782"/>
    <w:rsid w:val="003C270C"/>
    <w:rsid w:val="003C7B1C"/>
    <w:rsid w:val="003C7B8F"/>
    <w:rsid w:val="003D101D"/>
    <w:rsid w:val="003D195D"/>
    <w:rsid w:val="003D3DEF"/>
    <w:rsid w:val="003D4EAF"/>
    <w:rsid w:val="003D72EE"/>
    <w:rsid w:val="003E0A75"/>
    <w:rsid w:val="003E5A4B"/>
    <w:rsid w:val="003F3DBA"/>
    <w:rsid w:val="00400771"/>
    <w:rsid w:val="00414A2F"/>
    <w:rsid w:val="00415C25"/>
    <w:rsid w:val="0041630C"/>
    <w:rsid w:val="00420E67"/>
    <w:rsid w:val="00423089"/>
    <w:rsid w:val="004256E5"/>
    <w:rsid w:val="00427677"/>
    <w:rsid w:val="00427FFC"/>
    <w:rsid w:val="00436BBC"/>
    <w:rsid w:val="00437597"/>
    <w:rsid w:val="004404E9"/>
    <w:rsid w:val="00445423"/>
    <w:rsid w:val="00447EF0"/>
    <w:rsid w:val="00452AB8"/>
    <w:rsid w:val="00452EFB"/>
    <w:rsid w:val="004530B1"/>
    <w:rsid w:val="00461246"/>
    <w:rsid w:val="00462856"/>
    <w:rsid w:val="00464325"/>
    <w:rsid w:val="0046753C"/>
    <w:rsid w:val="0047113D"/>
    <w:rsid w:val="00472242"/>
    <w:rsid w:val="0047309A"/>
    <w:rsid w:val="004748ED"/>
    <w:rsid w:val="004811AF"/>
    <w:rsid w:val="00481694"/>
    <w:rsid w:val="004821D5"/>
    <w:rsid w:val="00487C58"/>
    <w:rsid w:val="004904F7"/>
    <w:rsid w:val="004925AF"/>
    <w:rsid w:val="00492F98"/>
    <w:rsid w:val="004944AD"/>
    <w:rsid w:val="0049579C"/>
    <w:rsid w:val="00495F9D"/>
    <w:rsid w:val="00496CED"/>
    <w:rsid w:val="004974B7"/>
    <w:rsid w:val="004A0F24"/>
    <w:rsid w:val="004A15C1"/>
    <w:rsid w:val="004A49B1"/>
    <w:rsid w:val="004A709D"/>
    <w:rsid w:val="004A75F1"/>
    <w:rsid w:val="004A76B4"/>
    <w:rsid w:val="004B3783"/>
    <w:rsid w:val="004B3F32"/>
    <w:rsid w:val="004B416F"/>
    <w:rsid w:val="004B491A"/>
    <w:rsid w:val="004B49FF"/>
    <w:rsid w:val="004C1DB4"/>
    <w:rsid w:val="004C398A"/>
    <w:rsid w:val="004C43E3"/>
    <w:rsid w:val="004C58CC"/>
    <w:rsid w:val="004C66B0"/>
    <w:rsid w:val="004C7128"/>
    <w:rsid w:val="004D4487"/>
    <w:rsid w:val="004D7E05"/>
    <w:rsid w:val="004E3D88"/>
    <w:rsid w:val="004E4F89"/>
    <w:rsid w:val="004E57F5"/>
    <w:rsid w:val="004F0A93"/>
    <w:rsid w:val="00506A4C"/>
    <w:rsid w:val="00512DC7"/>
    <w:rsid w:val="0051389D"/>
    <w:rsid w:val="005162AF"/>
    <w:rsid w:val="00517D35"/>
    <w:rsid w:val="00520673"/>
    <w:rsid w:val="00522002"/>
    <w:rsid w:val="00524235"/>
    <w:rsid w:val="005267F0"/>
    <w:rsid w:val="00526C0D"/>
    <w:rsid w:val="00526CD8"/>
    <w:rsid w:val="00527E54"/>
    <w:rsid w:val="00532F1F"/>
    <w:rsid w:val="00532FA5"/>
    <w:rsid w:val="00533B7B"/>
    <w:rsid w:val="005343C8"/>
    <w:rsid w:val="00541A56"/>
    <w:rsid w:val="00544BED"/>
    <w:rsid w:val="0054522C"/>
    <w:rsid w:val="00545DE8"/>
    <w:rsid w:val="00546981"/>
    <w:rsid w:val="005479B4"/>
    <w:rsid w:val="0055057D"/>
    <w:rsid w:val="005515C3"/>
    <w:rsid w:val="005521EC"/>
    <w:rsid w:val="00556D59"/>
    <w:rsid w:val="0056448D"/>
    <w:rsid w:val="00564CE0"/>
    <w:rsid w:val="005652D0"/>
    <w:rsid w:val="00567CCE"/>
    <w:rsid w:val="00570FDF"/>
    <w:rsid w:val="00575879"/>
    <w:rsid w:val="00575BDD"/>
    <w:rsid w:val="0057644D"/>
    <w:rsid w:val="005764F9"/>
    <w:rsid w:val="00577DFE"/>
    <w:rsid w:val="005816FA"/>
    <w:rsid w:val="00581924"/>
    <w:rsid w:val="00581C1E"/>
    <w:rsid w:val="005850B4"/>
    <w:rsid w:val="00590C3F"/>
    <w:rsid w:val="00591671"/>
    <w:rsid w:val="00595643"/>
    <w:rsid w:val="005A02C9"/>
    <w:rsid w:val="005A068D"/>
    <w:rsid w:val="005A4D6B"/>
    <w:rsid w:val="005B0467"/>
    <w:rsid w:val="005B0BC6"/>
    <w:rsid w:val="005B1912"/>
    <w:rsid w:val="005B2D58"/>
    <w:rsid w:val="005B391D"/>
    <w:rsid w:val="005B79BB"/>
    <w:rsid w:val="005C1A32"/>
    <w:rsid w:val="005C1D50"/>
    <w:rsid w:val="005C2416"/>
    <w:rsid w:val="005C7E9A"/>
    <w:rsid w:val="005D0C71"/>
    <w:rsid w:val="005D57C8"/>
    <w:rsid w:val="005D6D96"/>
    <w:rsid w:val="005E41FB"/>
    <w:rsid w:val="005E4924"/>
    <w:rsid w:val="005E5CF0"/>
    <w:rsid w:val="005E69B4"/>
    <w:rsid w:val="005E6F9A"/>
    <w:rsid w:val="005E6FC2"/>
    <w:rsid w:val="005E7875"/>
    <w:rsid w:val="005E796F"/>
    <w:rsid w:val="005F0006"/>
    <w:rsid w:val="005F3299"/>
    <w:rsid w:val="005F3F23"/>
    <w:rsid w:val="005F40F0"/>
    <w:rsid w:val="005F6FB8"/>
    <w:rsid w:val="00600A77"/>
    <w:rsid w:val="00601A6C"/>
    <w:rsid w:val="00602680"/>
    <w:rsid w:val="00603961"/>
    <w:rsid w:val="00604FFA"/>
    <w:rsid w:val="00606F46"/>
    <w:rsid w:val="00610358"/>
    <w:rsid w:val="00612B63"/>
    <w:rsid w:val="0061501F"/>
    <w:rsid w:val="00615175"/>
    <w:rsid w:val="00615A68"/>
    <w:rsid w:val="006174EA"/>
    <w:rsid w:val="00621867"/>
    <w:rsid w:val="0062650D"/>
    <w:rsid w:val="006265F3"/>
    <w:rsid w:val="00630A61"/>
    <w:rsid w:val="00631ADE"/>
    <w:rsid w:val="006321DE"/>
    <w:rsid w:val="00635F08"/>
    <w:rsid w:val="0064034B"/>
    <w:rsid w:val="006418FA"/>
    <w:rsid w:val="0064272D"/>
    <w:rsid w:val="0065237B"/>
    <w:rsid w:val="00657C14"/>
    <w:rsid w:val="0066208C"/>
    <w:rsid w:val="006621F2"/>
    <w:rsid w:val="00662551"/>
    <w:rsid w:val="006651A4"/>
    <w:rsid w:val="0066599C"/>
    <w:rsid w:val="00666AC8"/>
    <w:rsid w:val="006719D1"/>
    <w:rsid w:val="00673A50"/>
    <w:rsid w:val="00675701"/>
    <w:rsid w:val="00676021"/>
    <w:rsid w:val="0067731E"/>
    <w:rsid w:val="00677CD0"/>
    <w:rsid w:val="00681918"/>
    <w:rsid w:val="006819B8"/>
    <w:rsid w:val="00684BA4"/>
    <w:rsid w:val="00686768"/>
    <w:rsid w:val="00691CE2"/>
    <w:rsid w:val="00696DA4"/>
    <w:rsid w:val="006A3CDE"/>
    <w:rsid w:val="006A5C4B"/>
    <w:rsid w:val="006A64FB"/>
    <w:rsid w:val="006B2134"/>
    <w:rsid w:val="006B3822"/>
    <w:rsid w:val="006B5D20"/>
    <w:rsid w:val="006B6488"/>
    <w:rsid w:val="006C174C"/>
    <w:rsid w:val="006C3028"/>
    <w:rsid w:val="006C33D0"/>
    <w:rsid w:val="006C7950"/>
    <w:rsid w:val="006D0186"/>
    <w:rsid w:val="006D024D"/>
    <w:rsid w:val="006D3F56"/>
    <w:rsid w:val="006D422E"/>
    <w:rsid w:val="006D42C0"/>
    <w:rsid w:val="006D4547"/>
    <w:rsid w:val="006D4D2E"/>
    <w:rsid w:val="006D5D61"/>
    <w:rsid w:val="006D6D4A"/>
    <w:rsid w:val="006D7496"/>
    <w:rsid w:val="006D7ABE"/>
    <w:rsid w:val="006E1AB3"/>
    <w:rsid w:val="006E1B1D"/>
    <w:rsid w:val="006E42F9"/>
    <w:rsid w:val="006E5745"/>
    <w:rsid w:val="006E65CA"/>
    <w:rsid w:val="006E7291"/>
    <w:rsid w:val="006E7CDB"/>
    <w:rsid w:val="006F00DB"/>
    <w:rsid w:val="006F0164"/>
    <w:rsid w:val="006F1BB3"/>
    <w:rsid w:val="006F1CE7"/>
    <w:rsid w:val="006F286E"/>
    <w:rsid w:val="006F2CA0"/>
    <w:rsid w:val="006F6FA1"/>
    <w:rsid w:val="00700656"/>
    <w:rsid w:val="00705120"/>
    <w:rsid w:val="00705DA8"/>
    <w:rsid w:val="00707477"/>
    <w:rsid w:val="00714888"/>
    <w:rsid w:val="00714BC5"/>
    <w:rsid w:val="00716079"/>
    <w:rsid w:val="00720537"/>
    <w:rsid w:val="00720795"/>
    <w:rsid w:val="007237F3"/>
    <w:rsid w:val="00723C8E"/>
    <w:rsid w:val="00723EEE"/>
    <w:rsid w:val="00724911"/>
    <w:rsid w:val="00727EF6"/>
    <w:rsid w:val="00730120"/>
    <w:rsid w:val="00732C1C"/>
    <w:rsid w:val="0074241F"/>
    <w:rsid w:val="00742D34"/>
    <w:rsid w:val="00743843"/>
    <w:rsid w:val="00745AB3"/>
    <w:rsid w:val="00745C4E"/>
    <w:rsid w:val="00747933"/>
    <w:rsid w:val="007506BB"/>
    <w:rsid w:val="00750898"/>
    <w:rsid w:val="00752873"/>
    <w:rsid w:val="00753DAB"/>
    <w:rsid w:val="00754102"/>
    <w:rsid w:val="00754C7C"/>
    <w:rsid w:val="00756328"/>
    <w:rsid w:val="00756474"/>
    <w:rsid w:val="007564ED"/>
    <w:rsid w:val="007610A9"/>
    <w:rsid w:val="007642B9"/>
    <w:rsid w:val="00764A45"/>
    <w:rsid w:val="00767119"/>
    <w:rsid w:val="007671DC"/>
    <w:rsid w:val="0077121C"/>
    <w:rsid w:val="007728CA"/>
    <w:rsid w:val="00774A1D"/>
    <w:rsid w:val="007753AA"/>
    <w:rsid w:val="007813E2"/>
    <w:rsid w:val="00786B69"/>
    <w:rsid w:val="007919AE"/>
    <w:rsid w:val="00792247"/>
    <w:rsid w:val="00793A26"/>
    <w:rsid w:val="007953B3"/>
    <w:rsid w:val="00795B02"/>
    <w:rsid w:val="007A1BCE"/>
    <w:rsid w:val="007A2B9B"/>
    <w:rsid w:val="007A555D"/>
    <w:rsid w:val="007A5970"/>
    <w:rsid w:val="007A5A8D"/>
    <w:rsid w:val="007A5E18"/>
    <w:rsid w:val="007B021C"/>
    <w:rsid w:val="007B08B2"/>
    <w:rsid w:val="007B3350"/>
    <w:rsid w:val="007B617A"/>
    <w:rsid w:val="007B64FC"/>
    <w:rsid w:val="007B6C78"/>
    <w:rsid w:val="007B793E"/>
    <w:rsid w:val="007B7B06"/>
    <w:rsid w:val="007C221B"/>
    <w:rsid w:val="007C527F"/>
    <w:rsid w:val="007D0093"/>
    <w:rsid w:val="007D152E"/>
    <w:rsid w:val="007D2361"/>
    <w:rsid w:val="007D2AD3"/>
    <w:rsid w:val="007D2F20"/>
    <w:rsid w:val="007D3747"/>
    <w:rsid w:val="007D3A47"/>
    <w:rsid w:val="007D3C65"/>
    <w:rsid w:val="007D5FEA"/>
    <w:rsid w:val="007D7FC7"/>
    <w:rsid w:val="007E2BEE"/>
    <w:rsid w:val="007E37A5"/>
    <w:rsid w:val="007E69ED"/>
    <w:rsid w:val="007F0C98"/>
    <w:rsid w:val="007F1F53"/>
    <w:rsid w:val="007F4227"/>
    <w:rsid w:val="007F44FC"/>
    <w:rsid w:val="007F5E9C"/>
    <w:rsid w:val="007F6D79"/>
    <w:rsid w:val="0080068F"/>
    <w:rsid w:val="00802222"/>
    <w:rsid w:val="008034D9"/>
    <w:rsid w:val="00806B34"/>
    <w:rsid w:val="00812E11"/>
    <w:rsid w:val="00813100"/>
    <w:rsid w:val="0081716C"/>
    <w:rsid w:val="008214F2"/>
    <w:rsid w:val="008219DB"/>
    <w:rsid w:val="00821A33"/>
    <w:rsid w:val="008268BB"/>
    <w:rsid w:val="00826E21"/>
    <w:rsid w:val="00833A99"/>
    <w:rsid w:val="0083494D"/>
    <w:rsid w:val="00835769"/>
    <w:rsid w:val="00835D16"/>
    <w:rsid w:val="00837AA2"/>
    <w:rsid w:val="00840725"/>
    <w:rsid w:val="00840FB6"/>
    <w:rsid w:val="00840FD2"/>
    <w:rsid w:val="00841151"/>
    <w:rsid w:val="008468C0"/>
    <w:rsid w:val="0086406F"/>
    <w:rsid w:val="008647DF"/>
    <w:rsid w:val="00864D69"/>
    <w:rsid w:val="00867CF5"/>
    <w:rsid w:val="00870B1D"/>
    <w:rsid w:val="00872BB1"/>
    <w:rsid w:val="00874CC4"/>
    <w:rsid w:val="008775F7"/>
    <w:rsid w:val="00887A8D"/>
    <w:rsid w:val="00896763"/>
    <w:rsid w:val="008973A4"/>
    <w:rsid w:val="008A085F"/>
    <w:rsid w:val="008A20B7"/>
    <w:rsid w:val="008A212F"/>
    <w:rsid w:val="008A3719"/>
    <w:rsid w:val="008A42DD"/>
    <w:rsid w:val="008A6AD1"/>
    <w:rsid w:val="008A6E31"/>
    <w:rsid w:val="008A7F9B"/>
    <w:rsid w:val="008B25D6"/>
    <w:rsid w:val="008B3A2C"/>
    <w:rsid w:val="008B5092"/>
    <w:rsid w:val="008B568D"/>
    <w:rsid w:val="008B7773"/>
    <w:rsid w:val="008C28E1"/>
    <w:rsid w:val="008C584A"/>
    <w:rsid w:val="008C5B4F"/>
    <w:rsid w:val="008D0C81"/>
    <w:rsid w:val="008D16CD"/>
    <w:rsid w:val="008D34B0"/>
    <w:rsid w:val="008D3664"/>
    <w:rsid w:val="008D5D8C"/>
    <w:rsid w:val="008E77A3"/>
    <w:rsid w:val="008E7E82"/>
    <w:rsid w:val="008F0E6D"/>
    <w:rsid w:val="008F3F39"/>
    <w:rsid w:val="008F7F29"/>
    <w:rsid w:val="00900BC5"/>
    <w:rsid w:val="00900E18"/>
    <w:rsid w:val="00900E7C"/>
    <w:rsid w:val="00902D94"/>
    <w:rsid w:val="00906972"/>
    <w:rsid w:val="00907E05"/>
    <w:rsid w:val="009105AC"/>
    <w:rsid w:val="009132D4"/>
    <w:rsid w:val="00920F49"/>
    <w:rsid w:val="0092222F"/>
    <w:rsid w:val="0092290B"/>
    <w:rsid w:val="0092291D"/>
    <w:rsid w:val="00925475"/>
    <w:rsid w:val="00926644"/>
    <w:rsid w:val="00931DB2"/>
    <w:rsid w:val="00932B62"/>
    <w:rsid w:val="00933ED1"/>
    <w:rsid w:val="009341C5"/>
    <w:rsid w:val="00934A5B"/>
    <w:rsid w:val="009377A4"/>
    <w:rsid w:val="009436D5"/>
    <w:rsid w:val="0094476B"/>
    <w:rsid w:val="00945951"/>
    <w:rsid w:val="00951681"/>
    <w:rsid w:val="009520E9"/>
    <w:rsid w:val="00954AD9"/>
    <w:rsid w:val="00961D5A"/>
    <w:rsid w:val="00963C14"/>
    <w:rsid w:val="00965389"/>
    <w:rsid w:val="009675C5"/>
    <w:rsid w:val="0097090F"/>
    <w:rsid w:val="00970B14"/>
    <w:rsid w:val="009712BA"/>
    <w:rsid w:val="00976779"/>
    <w:rsid w:val="009807E6"/>
    <w:rsid w:val="00981B4C"/>
    <w:rsid w:val="00982AE0"/>
    <w:rsid w:val="009851DE"/>
    <w:rsid w:val="00993C75"/>
    <w:rsid w:val="0099742F"/>
    <w:rsid w:val="009A1C24"/>
    <w:rsid w:val="009A59E6"/>
    <w:rsid w:val="009A6B54"/>
    <w:rsid w:val="009B114D"/>
    <w:rsid w:val="009B4947"/>
    <w:rsid w:val="009B5592"/>
    <w:rsid w:val="009B5DE8"/>
    <w:rsid w:val="009B60CB"/>
    <w:rsid w:val="009C0D53"/>
    <w:rsid w:val="009C680C"/>
    <w:rsid w:val="009D0757"/>
    <w:rsid w:val="009D0901"/>
    <w:rsid w:val="009D0C9B"/>
    <w:rsid w:val="009D289E"/>
    <w:rsid w:val="009D7D6E"/>
    <w:rsid w:val="009E0133"/>
    <w:rsid w:val="009E03AB"/>
    <w:rsid w:val="009E22B9"/>
    <w:rsid w:val="009E35A1"/>
    <w:rsid w:val="009E43B1"/>
    <w:rsid w:val="009E778E"/>
    <w:rsid w:val="009F1BEC"/>
    <w:rsid w:val="009F3423"/>
    <w:rsid w:val="009F3C0C"/>
    <w:rsid w:val="009F61EE"/>
    <w:rsid w:val="009F7444"/>
    <w:rsid w:val="00A0185C"/>
    <w:rsid w:val="00A0487B"/>
    <w:rsid w:val="00A0679F"/>
    <w:rsid w:val="00A12E3A"/>
    <w:rsid w:val="00A13D92"/>
    <w:rsid w:val="00A13DDE"/>
    <w:rsid w:val="00A14058"/>
    <w:rsid w:val="00A15787"/>
    <w:rsid w:val="00A226E8"/>
    <w:rsid w:val="00A22C5E"/>
    <w:rsid w:val="00A2312B"/>
    <w:rsid w:val="00A26480"/>
    <w:rsid w:val="00A27C0B"/>
    <w:rsid w:val="00A30132"/>
    <w:rsid w:val="00A3693F"/>
    <w:rsid w:val="00A37505"/>
    <w:rsid w:val="00A43C3F"/>
    <w:rsid w:val="00A43C91"/>
    <w:rsid w:val="00A44C05"/>
    <w:rsid w:val="00A45127"/>
    <w:rsid w:val="00A45CAF"/>
    <w:rsid w:val="00A46A39"/>
    <w:rsid w:val="00A47528"/>
    <w:rsid w:val="00A508AC"/>
    <w:rsid w:val="00A52267"/>
    <w:rsid w:val="00A52DF3"/>
    <w:rsid w:val="00A54E3E"/>
    <w:rsid w:val="00A5662E"/>
    <w:rsid w:val="00A5692B"/>
    <w:rsid w:val="00A56B5F"/>
    <w:rsid w:val="00A56F5E"/>
    <w:rsid w:val="00A607FA"/>
    <w:rsid w:val="00A61408"/>
    <w:rsid w:val="00A61454"/>
    <w:rsid w:val="00A647DB"/>
    <w:rsid w:val="00A65EEF"/>
    <w:rsid w:val="00A67F3E"/>
    <w:rsid w:val="00A739F4"/>
    <w:rsid w:val="00A764E4"/>
    <w:rsid w:val="00A778BE"/>
    <w:rsid w:val="00A8409E"/>
    <w:rsid w:val="00A858DD"/>
    <w:rsid w:val="00A92698"/>
    <w:rsid w:val="00A92BFE"/>
    <w:rsid w:val="00AA2FCA"/>
    <w:rsid w:val="00AA71C7"/>
    <w:rsid w:val="00AA79F9"/>
    <w:rsid w:val="00AB0B6C"/>
    <w:rsid w:val="00AB1A5C"/>
    <w:rsid w:val="00AB2B31"/>
    <w:rsid w:val="00AB3D43"/>
    <w:rsid w:val="00AB49FA"/>
    <w:rsid w:val="00AB5522"/>
    <w:rsid w:val="00AB72C8"/>
    <w:rsid w:val="00AD2016"/>
    <w:rsid w:val="00AD27FC"/>
    <w:rsid w:val="00AD54D9"/>
    <w:rsid w:val="00AE150B"/>
    <w:rsid w:val="00AE34FD"/>
    <w:rsid w:val="00AE5E5D"/>
    <w:rsid w:val="00AE74C7"/>
    <w:rsid w:val="00AF1F03"/>
    <w:rsid w:val="00AF2252"/>
    <w:rsid w:val="00AF7F37"/>
    <w:rsid w:val="00B03C8B"/>
    <w:rsid w:val="00B04AF0"/>
    <w:rsid w:val="00B05A9E"/>
    <w:rsid w:val="00B13451"/>
    <w:rsid w:val="00B14E78"/>
    <w:rsid w:val="00B15717"/>
    <w:rsid w:val="00B169DB"/>
    <w:rsid w:val="00B20C65"/>
    <w:rsid w:val="00B2664A"/>
    <w:rsid w:val="00B26EE1"/>
    <w:rsid w:val="00B304DB"/>
    <w:rsid w:val="00B32606"/>
    <w:rsid w:val="00B338E8"/>
    <w:rsid w:val="00B33E24"/>
    <w:rsid w:val="00B3745F"/>
    <w:rsid w:val="00B432D5"/>
    <w:rsid w:val="00B55DA5"/>
    <w:rsid w:val="00B60378"/>
    <w:rsid w:val="00B60CC4"/>
    <w:rsid w:val="00B62951"/>
    <w:rsid w:val="00B62F60"/>
    <w:rsid w:val="00B635B2"/>
    <w:rsid w:val="00B6589F"/>
    <w:rsid w:val="00B65A35"/>
    <w:rsid w:val="00B678FE"/>
    <w:rsid w:val="00B73CE4"/>
    <w:rsid w:val="00B7565F"/>
    <w:rsid w:val="00B7695B"/>
    <w:rsid w:val="00B81319"/>
    <w:rsid w:val="00B8279D"/>
    <w:rsid w:val="00B84276"/>
    <w:rsid w:val="00B856BA"/>
    <w:rsid w:val="00B86374"/>
    <w:rsid w:val="00B93808"/>
    <w:rsid w:val="00B96D79"/>
    <w:rsid w:val="00B97ECA"/>
    <w:rsid w:val="00BA1261"/>
    <w:rsid w:val="00BA2DA7"/>
    <w:rsid w:val="00BA58BB"/>
    <w:rsid w:val="00BB4385"/>
    <w:rsid w:val="00BB463C"/>
    <w:rsid w:val="00BB5A25"/>
    <w:rsid w:val="00BB5C40"/>
    <w:rsid w:val="00BB6A2A"/>
    <w:rsid w:val="00BC173F"/>
    <w:rsid w:val="00BC5761"/>
    <w:rsid w:val="00BC6E59"/>
    <w:rsid w:val="00BD3A5A"/>
    <w:rsid w:val="00BD53B9"/>
    <w:rsid w:val="00BD60E4"/>
    <w:rsid w:val="00BD72AB"/>
    <w:rsid w:val="00BE06D9"/>
    <w:rsid w:val="00BE2ACC"/>
    <w:rsid w:val="00BF6393"/>
    <w:rsid w:val="00C01AA7"/>
    <w:rsid w:val="00C02DDC"/>
    <w:rsid w:val="00C0483E"/>
    <w:rsid w:val="00C130EF"/>
    <w:rsid w:val="00C20654"/>
    <w:rsid w:val="00C22B0B"/>
    <w:rsid w:val="00C2376B"/>
    <w:rsid w:val="00C23AC0"/>
    <w:rsid w:val="00C248C5"/>
    <w:rsid w:val="00C24BA8"/>
    <w:rsid w:val="00C2586A"/>
    <w:rsid w:val="00C32528"/>
    <w:rsid w:val="00C3649E"/>
    <w:rsid w:val="00C406FC"/>
    <w:rsid w:val="00C40EDF"/>
    <w:rsid w:val="00C42878"/>
    <w:rsid w:val="00C42F73"/>
    <w:rsid w:val="00C44B06"/>
    <w:rsid w:val="00C46F43"/>
    <w:rsid w:val="00C476F9"/>
    <w:rsid w:val="00C50A01"/>
    <w:rsid w:val="00C51E3B"/>
    <w:rsid w:val="00C5657E"/>
    <w:rsid w:val="00C56EDF"/>
    <w:rsid w:val="00C576D8"/>
    <w:rsid w:val="00C60254"/>
    <w:rsid w:val="00C61952"/>
    <w:rsid w:val="00C64C7E"/>
    <w:rsid w:val="00C664AC"/>
    <w:rsid w:val="00C70974"/>
    <w:rsid w:val="00C70F2A"/>
    <w:rsid w:val="00C728B7"/>
    <w:rsid w:val="00C815F6"/>
    <w:rsid w:val="00C83B5E"/>
    <w:rsid w:val="00C83F60"/>
    <w:rsid w:val="00C853A7"/>
    <w:rsid w:val="00C910FA"/>
    <w:rsid w:val="00C929CE"/>
    <w:rsid w:val="00C92FB3"/>
    <w:rsid w:val="00C93E43"/>
    <w:rsid w:val="00CA0B9E"/>
    <w:rsid w:val="00CA1316"/>
    <w:rsid w:val="00CA4A5C"/>
    <w:rsid w:val="00CA5DEA"/>
    <w:rsid w:val="00CA61FB"/>
    <w:rsid w:val="00CB2432"/>
    <w:rsid w:val="00CB3F7D"/>
    <w:rsid w:val="00CB4B54"/>
    <w:rsid w:val="00CC4538"/>
    <w:rsid w:val="00CC464D"/>
    <w:rsid w:val="00CC6CDA"/>
    <w:rsid w:val="00CD0872"/>
    <w:rsid w:val="00CD29A2"/>
    <w:rsid w:val="00CD5A60"/>
    <w:rsid w:val="00CE085E"/>
    <w:rsid w:val="00CE2EC5"/>
    <w:rsid w:val="00CE3CDC"/>
    <w:rsid w:val="00CE42BE"/>
    <w:rsid w:val="00CE60A8"/>
    <w:rsid w:val="00CF0F5C"/>
    <w:rsid w:val="00CF203D"/>
    <w:rsid w:val="00CF2DA2"/>
    <w:rsid w:val="00CF2DCB"/>
    <w:rsid w:val="00CF3A0D"/>
    <w:rsid w:val="00CF42D9"/>
    <w:rsid w:val="00D015B5"/>
    <w:rsid w:val="00D03AD2"/>
    <w:rsid w:val="00D05C01"/>
    <w:rsid w:val="00D068D3"/>
    <w:rsid w:val="00D10ECD"/>
    <w:rsid w:val="00D131A7"/>
    <w:rsid w:val="00D14F38"/>
    <w:rsid w:val="00D16F1F"/>
    <w:rsid w:val="00D17244"/>
    <w:rsid w:val="00D20D55"/>
    <w:rsid w:val="00D225C5"/>
    <w:rsid w:val="00D23355"/>
    <w:rsid w:val="00D31AB1"/>
    <w:rsid w:val="00D34F7C"/>
    <w:rsid w:val="00D469B0"/>
    <w:rsid w:val="00D518E2"/>
    <w:rsid w:val="00D53C04"/>
    <w:rsid w:val="00D55513"/>
    <w:rsid w:val="00D56614"/>
    <w:rsid w:val="00D56E1D"/>
    <w:rsid w:val="00D57038"/>
    <w:rsid w:val="00D617C7"/>
    <w:rsid w:val="00D61913"/>
    <w:rsid w:val="00D7183F"/>
    <w:rsid w:val="00D75D50"/>
    <w:rsid w:val="00D75E93"/>
    <w:rsid w:val="00D8571A"/>
    <w:rsid w:val="00D90098"/>
    <w:rsid w:val="00D96A72"/>
    <w:rsid w:val="00DA0CDA"/>
    <w:rsid w:val="00DA1887"/>
    <w:rsid w:val="00DA2BE8"/>
    <w:rsid w:val="00DA3246"/>
    <w:rsid w:val="00DA3347"/>
    <w:rsid w:val="00DA4197"/>
    <w:rsid w:val="00DA56ED"/>
    <w:rsid w:val="00DA5C19"/>
    <w:rsid w:val="00DB2D10"/>
    <w:rsid w:val="00DB5480"/>
    <w:rsid w:val="00DB7C0E"/>
    <w:rsid w:val="00DC4490"/>
    <w:rsid w:val="00DC46E5"/>
    <w:rsid w:val="00DC5B40"/>
    <w:rsid w:val="00DD1B19"/>
    <w:rsid w:val="00DD2D37"/>
    <w:rsid w:val="00DD4133"/>
    <w:rsid w:val="00DD4EBA"/>
    <w:rsid w:val="00DD541F"/>
    <w:rsid w:val="00DE1919"/>
    <w:rsid w:val="00DE4363"/>
    <w:rsid w:val="00DE794B"/>
    <w:rsid w:val="00DF1DF8"/>
    <w:rsid w:val="00DF3413"/>
    <w:rsid w:val="00DF3B03"/>
    <w:rsid w:val="00E003AE"/>
    <w:rsid w:val="00E02A39"/>
    <w:rsid w:val="00E05CAB"/>
    <w:rsid w:val="00E071B7"/>
    <w:rsid w:val="00E21AEA"/>
    <w:rsid w:val="00E23A64"/>
    <w:rsid w:val="00E24457"/>
    <w:rsid w:val="00E26ABD"/>
    <w:rsid w:val="00E30C8D"/>
    <w:rsid w:val="00E351CA"/>
    <w:rsid w:val="00E36AEF"/>
    <w:rsid w:val="00E37823"/>
    <w:rsid w:val="00E44B4E"/>
    <w:rsid w:val="00E463CB"/>
    <w:rsid w:val="00E46474"/>
    <w:rsid w:val="00E47194"/>
    <w:rsid w:val="00E47887"/>
    <w:rsid w:val="00E47DCD"/>
    <w:rsid w:val="00E53E66"/>
    <w:rsid w:val="00E54366"/>
    <w:rsid w:val="00E56C47"/>
    <w:rsid w:val="00E61935"/>
    <w:rsid w:val="00E6264A"/>
    <w:rsid w:val="00E65135"/>
    <w:rsid w:val="00E65E63"/>
    <w:rsid w:val="00E71F45"/>
    <w:rsid w:val="00E76FCF"/>
    <w:rsid w:val="00E82EBC"/>
    <w:rsid w:val="00E83B11"/>
    <w:rsid w:val="00E8420D"/>
    <w:rsid w:val="00E842D4"/>
    <w:rsid w:val="00E8762D"/>
    <w:rsid w:val="00E87BDB"/>
    <w:rsid w:val="00E90AD0"/>
    <w:rsid w:val="00E92842"/>
    <w:rsid w:val="00E95D17"/>
    <w:rsid w:val="00E976E8"/>
    <w:rsid w:val="00EB24B7"/>
    <w:rsid w:val="00EB2926"/>
    <w:rsid w:val="00EB4128"/>
    <w:rsid w:val="00EB569B"/>
    <w:rsid w:val="00EB6C2B"/>
    <w:rsid w:val="00EC0725"/>
    <w:rsid w:val="00EC1009"/>
    <w:rsid w:val="00EC2750"/>
    <w:rsid w:val="00EC4775"/>
    <w:rsid w:val="00EC5007"/>
    <w:rsid w:val="00ED5252"/>
    <w:rsid w:val="00EE4102"/>
    <w:rsid w:val="00EE6A44"/>
    <w:rsid w:val="00EE77C1"/>
    <w:rsid w:val="00EE78B4"/>
    <w:rsid w:val="00EF16BC"/>
    <w:rsid w:val="00EF171F"/>
    <w:rsid w:val="00EF1875"/>
    <w:rsid w:val="00EF53E7"/>
    <w:rsid w:val="00F00F9F"/>
    <w:rsid w:val="00F0412F"/>
    <w:rsid w:val="00F04C9A"/>
    <w:rsid w:val="00F057A2"/>
    <w:rsid w:val="00F135C8"/>
    <w:rsid w:val="00F15862"/>
    <w:rsid w:val="00F23D0A"/>
    <w:rsid w:val="00F2576C"/>
    <w:rsid w:val="00F25CA2"/>
    <w:rsid w:val="00F26034"/>
    <w:rsid w:val="00F3213A"/>
    <w:rsid w:val="00F3270C"/>
    <w:rsid w:val="00F33069"/>
    <w:rsid w:val="00F340F9"/>
    <w:rsid w:val="00F44F92"/>
    <w:rsid w:val="00F4574E"/>
    <w:rsid w:val="00F47C41"/>
    <w:rsid w:val="00F506A1"/>
    <w:rsid w:val="00F50710"/>
    <w:rsid w:val="00F529BF"/>
    <w:rsid w:val="00F535E8"/>
    <w:rsid w:val="00F56ACF"/>
    <w:rsid w:val="00F63CFB"/>
    <w:rsid w:val="00F64708"/>
    <w:rsid w:val="00F6695E"/>
    <w:rsid w:val="00F674F5"/>
    <w:rsid w:val="00F711D5"/>
    <w:rsid w:val="00F71FDB"/>
    <w:rsid w:val="00F73A8F"/>
    <w:rsid w:val="00F75EE6"/>
    <w:rsid w:val="00F76CF0"/>
    <w:rsid w:val="00F82211"/>
    <w:rsid w:val="00F8355F"/>
    <w:rsid w:val="00F8406E"/>
    <w:rsid w:val="00F84334"/>
    <w:rsid w:val="00F84937"/>
    <w:rsid w:val="00F84D68"/>
    <w:rsid w:val="00F86F82"/>
    <w:rsid w:val="00F87B96"/>
    <w:rsid w:val="00F92C26"/>
    <w:rsid w:val="00F9706F"/>
    <w:rsid w:val="00FA0B4D"/>
    <w:rsid w:val="00FA3D4F"/>
    <w:rsid w:val="00FA468E"/>
    <w:rsid w:val="00FA4D19"/>
    <w:rsid w:val="00FA5C64"/>
    <w:rsid w:val="00FA7865"/>
    <w:rsid w:val="00FA7BCD"/>
    <w:rsid w:val="00FA7D80"/>
    <w:rsid w:val="00FB09B4"/>
    <w:rsid w:val="00FB2546"/>
    <w:rsid w:val="00FB340B"/>
    <w:rsid w:val="00FB4B95"/>
    <w:rsid w:val="00FC271F"/>
    <w:rsid w:val="00FC2E86"/>
    <w:rsid w:val="00FC45BB"/>
    <w:rsid w:val="00FC46B0"/>
    <w:rsid w:val="00FE08A8"/>
    <w:rsid w:val="00FE331A"/>
    <w:rsid w:val="00FE4AB1"/>
    <w:rsid w:val="00FF1FD6"/>
    <w:rsid w:val="00FF2570"/>
    <w:rsid w:val="00FF3808"/>
    <w:rsid w:val="00FF580F"/>
    <w:rsid w:val="00FF6E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D3B85"/>
  <w15:docId w15:val="{C92AFA2B-93B5-4978-8D79-F85615EB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496CED"/>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96CED"/>
    <w:pPr>
      <w:keepNext/>
      <w:keepLines/>
      <w:spacing w:before="160" w:after="80"/>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96CED"/>
    <w:pPr>
      <w:keepNext/>
      <w:keepLines/>
      <w:spacing w:before="160" w:after="80"/>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96CED"/>
    <w:pPr>
      <w:keepNext/>
      <w:keepLines/>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496CED"/>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496CE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496CE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496CE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496CE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E2BEE"/>
    <w:rPr>
      <w:color w:val="666666"/>
    </w:rPr>
  </w:style>
  <w:style w:type="paragraph" w:styleId="Revisie">
    <w:name w:val="Revision"/>
    <w:hidden/>
    <w:uiPriority w:val="99"/>
    <w:semiHidden/>
    <w:rsid w:val="007F4227"/>
    <w:rPr>
      <w:rFonts w:ascii="Univers" w:hAnsi="Univers"/>
      <w:sz w:val="22"/>
      <w:szCs w:val="24"/>
    </w:rPr>
  </w:style>
  <w:style w:type="character" w:customStyle="1" w:styleId="Kop1Char">
    <w:name w:val="Kop 1 Char"/>
    <w:basedOn w:val="Standaardalinea-lettertype"/>
    <w:link w:val="Kop1"/>
    <w:uiPriority w:val="9"/>
    <w:rsid w:val="00496CED"/>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Kop2Char">
    <w:name w:val="Kop 2 Char"/>
    <w:basedOn w:val="Standaardalinea-lettertype"/>
    <w:link w:val="Kop2"/>
    <w:uiPriority w:val="9"/>
    <w:semiHidden/>
    <w:rsid w:val="00496CED"/>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Kop3Char">
    <w:name w:val="Kop 3 Char"/>
    <w:basedOn w:val="Standaardalinea-lettertype"/>
    <w:link w:val="Kop3"/>
    <w:uiPriority w:val="9"/>
    <w:semiHidden/>
    <w:rsid w:val="00496CED"/>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Kop4Char">
    <w:name w:val="Kop 4 Char"/>
    <w:basedOn w:val="Standaardalinea-lettertype"/>
    <w:link w:val="Kop4"/>
    <w:uiPriority w:val="9"/>
    <w:semiHidden/>
    <w:rsid w:val="00496CED"/>
    <w:rPr>
      <w:rFonts w:asciiTheme="minorHAnsi" w:eastAsiaTheme="majorEastAsia" w:hAnsiTheme="minorHAnsi" w:cstheme="majorBidi"/>
      <w:i/>
      <w:iCs/>
      <w:color w:val="365F91" w:themeColor="accent1" w:themeShade="BF"/>
      <w:kern w:val="2"/>
      <w:sz w:val="22"/>
      <w:szCs w:val="24"/>
      <w14:ligatures w14:val="standardContextual"/>
    </w:rPr>
  </w:style>
  <w:style w:type="character" w:customStyle="1" w:styleId="Kop5Char">
    <w:name w:val="Kop 5 Char"/>
    <w:basedOn w:val="Standaardalinea-lettertype"/>
    <w:link w:val="Kop5"/>
    <w:uiPriority w:val="9"/>
    <w:semiHidden/>
    <w:rsid w:val="00496CED"/>
    <w:rPr>
      <w:rFonts w:asciiTheme="minorHAnsi" w:eastAsiaTheme="majorEastAsia" w:hAnsiTheme="minorHAnsi" w:cstheme="majorBidi"/>
      <w:color w:val="365F91" w:themeColor="accent1" w:themeShade="BF"/>
      <w:kern w:val="2"/>
      <w:sz w:val="22"/>
      <w:szCs w:val="24"/>
      <w14:ligatures w14:val="standardContextual"/>
    </w:rPr>
  </w:style>
  <w:style w:type="character" w:customStyle="1" w:styleId="Kop6Char">
    <w:name w:val="Kop 6 Char"/>
    <w:basedOn w:val="Standaardalinea-lettertype"/>
    <w:link w:val="Kop6"/>
    <w:uiPriority w:val="9"/>
    <w:semiHidden/>
    <w:rsid w:val="00496CED"/>
    <w:rPr>
      <w:rFonts w:asciiTheme="minorHAnsi" w:eastAsiaTheme="majorEastAsia" w:hAnsiTheme="minorHAnsi" w:cstheme="majorBidi"/>
      <w:i/>
      <w:iCs/>
      <w:color w:val="595959" w:themeColor="text1" w:themeTint="A6"/>
      <w:kern w:val="2"/>
      <w:sz w:val="22"/>
      <w:szCs w:val="24"/>
      <w14:ligatures w14:val="standardContextual"/>
    </w:rPr>
  </w:style>
  <w:style w:type="character" w:customStyle="1" w:styleId="Kop7Char">
    <w:name w:val="Kop 7 Char"/>
    <w:basedOn w:val="Standaardalinea-lettertype"/>
    <w:link w:val="Kop7"/>
    <w:uiPriority w:val="9"/>
    <w:semiHidden/>
    <w:rsid w:val="00496CED"/>
    <w:rPr>
      <w:rFonts w:asciiTheme="minorHAnsi" w:eastAsiaTheme="majorEastAsia" w:hAnsiTheme="minorHAnsi" w:cstheme="majorBidi"/>
      <w:color w:val="595959" w:themeColor="text1" w:themeTint="A6"/>
      <w:kern w:val="2"/>
      <w:sz w:val="22"/>
      <w:szCs w:val="24"/>
      <w14:ligatures w14:val="standardContextual"/>
    </w:rPr>
  </w:style>
  <w:style w:type="character" w:customStyle="1" w:styleId="Kop8Char">
    <w:name w:val="Kop 8 Char"/>
    <w:basedOn w:val="Standaardalinea-lettertype"/>
    <w:link w:val="Kop8"/>
    <w:uiPriority w:val="9"/>
    <w:semiHidden/>
    <w:rsid w:val="00496CED"/>
    <w:rPr>
      <w:rFonts w:asciiTheme="minorHAnsi" w:eastAsiaTheme="majorEastAsia" w:hAnsiTheme="minorHAnsi" w:cstheme="majorBidi"/>
      <w:i/>
      <w:iCs/>
      <w:color w:val="272727" w:themeColor="text1" w:themeTint="D8"/>
      <w:kern w:val="2"/>
      <w:sz w:val="22"/>
      <w:szCs w:val="24"/>
      <w14:ligatures w14:val="standardContextual"/>
    </w:rPr>
  </w:style>
  <w:style w:type="character" w:customStyle="1" w:styleId="Kop9Char">
    <w:name w:val="Kop 9 Char"/>
    <w:basedOn w:val="Standaardalinea-lettertype"/>
    <w:link w:val="Kop9"/>
    <w:uiPriority w:val="9"/>
    <w:semiHidden/>
    <w:rsid w:val="00496CED"/>
    <w:rPr>
      <w:rFonts w:asciiTheme="minorHAnsi" w:eastAsiaTheme="majorEastAsia" w:hAnsiTheme="minorHAnsi" w:cstheme="majorBidi"/>
      <w:color w:val="272727" w:themeColor="text1" w:themeTint="D8"/>
      <w:kern w:val="2"/>
      <w:sz w:val="22"/>
      <w:szCs w:val="24"/>
      <w14:ligatures w14:val="standardContextual"/>
    </w:rPr>
  </w:style>
  <w:style w:type="paragraph" w:styleId="Titel">
    <w:name w:val="Title"/>
    <w:basedOn w:val="Standaard"/>
    <w:next w:val="Standaard"/>
    <w:link w:val="TitelChar"/>
    <w:uiPriority w:val="10"/>
    <w:qFormat/>
    <w:rsid w:val="00496C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96CED"/>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496CE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96CE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496CED"/>
    <w:pPr>
      <w:spacing w:before="160" w:after="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496CED"/>
    <w:rPr>
      <w:rFonts w:ascii="Univers" w:hAnsi="Univers"/>
      <w:i/>
      <w:iCs/>
      <w:color w:val="404040" w:themeColor="text1" w:themeTint="BF"/>
      <w:kern w:val="2"/>
      <w:sz w:val="22"/>
      <w:szCs w:val="24"/>
      <w14:ligatures w14:val="standardContextual"/>
    </w:rPr>
  </w:style>
  <w:style w:type="paragraph" w:styleId="Lijstalinea">
    <w:name w:val="List Paragraph"/>
    <w:basedOn w:val="Standaard"/>
    <w:uiPriority w:val="34"/>
    <w:qFormat/>
    <w:rsid w:val="00496CED"/>
    <w:pPr>
      <w:ind w:left="720"/>
      <w:contextualSpacing/>
    </w:pPr>
    <w:rPr>
      <w:kern w:val="2"/>
      <w14:ligatures w14:val="standardContextual"/>
    </w:rPr>
  </w:style>
  <w:style w:type="character" w:styleId="Intensievebenadrukking">
    <w:name w:val="Intense Emphasis"/>
    <w:basedOn w:val="Standaardalinea-lettertype"/>
    <w:uiPriority w:val="21"/>
    <w:qFormat/>
    <w:rsid w:val="00496CED"/>
    <w:rPr>
      <w:i/>
      <w:iCs/>
      <w:color w:val="365F91" w:themeColor="accent1" w:themeShade="BF"/>
    </w:rPr>
  </w:style>
  <w:style w:type="paragraph" w:styleId="Duidelijkcitaat">
    <w:name w:val="Intense Quote"/>
    <w:basedOn w:val="Standaard"/>
    <w:next w:val="Standaard"/>
    <w:link w:val="DuidelijkcitaatChar"/>
    <w:uiPriority w:val="30"/>
    <w:qFormat/>
    <w:rsid w:val="00496C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496CED"/>
    <w:rPr>
      <w:rFonts w:ascii="Univers" w:hAnsi="Univers"/>
      <w:i/>
      <w:iCs/>
      <w:color w:val="365F91" w:themeColor="accent1" w:themeShade="BF"/>
      <w:kern w:val="2"/>
      <w:sz w:val="22"/>
      <w:szCs w:val="24"/>
      <w14:ligatures w14:val="standardContextual"/>
    </w:rPr>
  </w:style>
  <w:style w:type="character" w:styleId="Intensieveverwijzing">
    <w:name w:val="Intense Reference"/>
    <w:basedOn w:val="Standaardalinea-lettertype"/>
    <w:uiPriority w:val="32"/>
    <w:qFormat/>
    <w:rsid w:val="00496CED"/>
    <w:rPr>
      <w:b/>
      <w:bCs/>
      <w:smallCaps/>
      <w:color w:val="365F9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496CED"/>
    <w:rPr>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496CED"/>
    <w:rPr>
      <w:rFonts w:ascii="Univers" w:hAnsi="Univers"/>
      <w:kern w:val="2"/>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
    <w:basedOn w:val="Standaardalinea-lettertype"/>
    <w:link w:val="FootnoteReferenceCharChar1"/>
    <w:uiPriority w:val="99"/>
    <w:unhideWhenUsed/>
    <w:qFormat/>
    <w:rsid w:val="00496CED"/>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96CED"/>
    <w:pPr>
      <w:autoSpaceDE w:val="0"/>
      <w:autoSpaceDN w:val="0"/>
      <w:spacing w:after="160" w:line="240" w:lineRule="exact"/>
      <w:jc w:val="both"/>
    </w:pPr>
    <w:rPr>
      <w:rFonts w:ascii="Times New Roman" w:hAnsi="Times New Roman"/>
      <w:sz w:val="20"/>
      <w:szCs w:val="20"/>
      <w:vertAlign w:val="superscript"/>
    </w:rPr>
  </w:style>
  <w:style w:type="character" w:styleId="Hyperlink">
    <w:name w:val="Hyperlink"/>
    <w:basedOn w:val="Standaardalinea-lettertype"/>
    <w:uiPriority w:val="99"/>
    <w:unhideWhenUsed/>
    <w:rsid w:val="00496CED"/>
    <w:rPr>
      <w:color w:val="0000FF" w:themeColor="hyperlink"/>
      <w:u w:val="single"/>
    </w:rPr>
  </w:style>
  <w:style w:type="character" w:styleId="Onopgelostemelding">
    <w:name w:val="Unresolved Mention"/>
    <w:basedOn w:val="Standaardalinea-lettertype"/>
    <w:uiPriority w:val="99"/>
    <w:unhideWhenUsed/>
    <w:rsid w:val="00496CED"/>
    <w:rPr>
      <w:color w:val="605E5C"/>
      <w:shd w:val="clear" w:color="auto" w:fill="E1DFDD"/>
    </w:rPr>
  </w:style>
  <w:style w:type="character" w:styleId="Verwijzingopmerking">
    <w:name w:val="annotation reference"/>
    <w:basedOn w:val="Standaardalinea-lettertype"/>
    <w:uiPriority w:val="99"/>
    <w:semiHidden/>
    <w:unhideWhenUsed/>
    <w:rsid w:val="00496CED"/>
    <w:rPr>
      <w:sz w:val="16"/>
      <w:szCs w:val="16"/>
    </w:rPr>
  </w:style>
  <w:style w:type="paragraph" w:styleId="Tekstopmerking">
    <w:name w:val="annotation text"/>
    <w:basedOn w:val="Standaard"/>
    <w:link w:val="TekstopmerkingChar"/>
    <w:uiPriority w:val="99"/>
    <w:unhideWhenUsed/>
    <w:rsid w:val="00496CED"/>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496CED"/>
    <w:rPr>
      <w:rFonts w:ascii="Univers" w:hAnsi="Univers"/>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96CED"/>
    <w:rPr>
      <w:b/>
      <w:bCs/>
    </w:rPr>
  </w:style>
  <w:style w:type="character" w:customStyle="1" w:styleId="OnderwerpvanopmerkingChar">
    <w:name w:val="Onderwerp van opmerking Char"/>
    <w:basedOn w:val="TekstopmerkingChar"/>
    <w:link w:val="Onderwerpvanopmerking"/>
    <w:uiPriority w:val="99"/>
    <w:semiHidden/>
    <w:rsid w:val="00496CED"/>
    <w:rPr>
      <w:rFonts w:ascii="Univers" w:hAnsi="Univers"/>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0/10/12/rapport-studiegroep-begrotingsruimte" TargetMode="External"/><Relationship Id="rId13" Type="http://schemas.openxmlformats.org/officeDocument/2006/relationships/hyperlink" Target="https://economy-finance.ec.europa.eu/publications/2024-european-semester-country-reports_en" TargetMode="External"/><Relationship Id="rId3" Type="http://schemas.openxmlformats.org/officeDocument/2006/relationships/hyperlink" Target="https://www.cpb.nl/sites/default/files/omnidownload/CPB-Publicatie-structureel-arbeidsaanbod-in-het-cep-2025.pdf" TargetMode="External"/><Relationship Id="rId7" Type="http://schemas.openxmlformats.org/officeDocument/2006/relationships/hyperlink" Target="https://www.rijksfinancien.nl/miljoenennota/2025" TargetMode="External"/><Relationship Id="rId12" Type="http://schemas.openxmlformats.org/officeDocument/2006/relationships/hyperlink" Target="https://commission.europa.eu/topics/eu-competitiveness/draghi-report_en" TargetMode="External"/><Relationship Id="rId17" Type="http://schemas.openxmlformats.org/officeDocument/2006/relationships/hyperlink" Target="https://www.rijksoverheid.nl/documenten/kamerstukken/2024/10/08/agenda-voor-toekomstbestendig-begroten-en-verantwoorden" TargetMode="External"/><Relationship Id="rId2" Type="http://schemas.openxmlformats.org/officeDocument/2006/relationships/hyperlink" Target="https://www.cpb.nl/sites/default/files/omnidownload/CPB-publicatie-impact-energietransitie-op-middellangetermijnraming-van-investeringen_0.pdf" TargetMode="External"/><Relationship Id="rId16" Type="http://schemas.openxmlformats.org/officeDocument/2006/relationships/hyperlink" Target="https://www.rijksoverheid.nl/ministeries/ministerie-van-financien/documenten/rapporten/2025/03/01/op-drift-of-op-koers-analyses-en-aanbevelingen-om-beter-te-ramen-en-begroten" TargetMode="External"/><Relationship Id="rId1" Type="http://schemas.openxmlformats.org/officeDocument/2006/relationships/hyperlink" Target="https://www.cpb.nl/sites/default/files/omnidownload/CPB_Publicatie-economische-effecten-van-importheffingen.pdf" TargetMode="External"/><Relationship Id="rId6" Type="http://schemas.openxmlformats.org/officeDocument/2006/relationships/hyperlink" Target="https://www.rijksoverheid.nl/ministeries/ministerie-van-financien/documenten/rapporten/2025/03/01/op-drift-of-op-koers-analyses-en-aanbevelingen-om-beter-te-ramen-en-begroten" TargetMode="External"/><Relationship Id="rId11" Type="http://schemas.openxmlformats.org/officeDocument/2006/relationships/hyperlink" Target="https://www.rijksoverheid.nl/documenten/kamerstukken/2022/07/18/ibo-publieke-investeringen" TargetMode="External"/><Relationship Id="rId5" Type="http://schemas.openxmlformats.org/officeDocument/2006/relationships/hyperlink" Target="https://www.rijksoverheid.nl/ministeries/ministerie-van-financien/documenten/rapporten/2025/03/01/op-drift-of-op-koers-analyses-en-aanbevelingen-om-beter-te-ramen-en-begroten" TargetMode="External"/><Relationship Id="rId15" Type="http://schemas.openxmlformats.org/officeDocument/2006/relationships/hyperlink" Target="https://www.rijksoverheid.nl/ministeries/ministerie-van-financien/documenten/rapporten/2025/03/01/op-drift-of-op-koers-analyses-en-aanbevelingen-om-beter-te-ramen-en-begroten" TargetMode="External"/><Relationship Id="rId10" Type="http://schemas.openxmlformats.org/officeDocument/2006/relationships/hyperlink" Target="https://www.tweedekamer.nl/kamerstukken/moties/detail?id=2025D14115&amp;did=2025D14115" TargetMode="External"/><Relationship Id="rId4" Type="http://schemas.openxmlformats.org/officeDocument/2006/relationships/hyperlink" Target="https://www.cpb.nl/sites/default/files/omnidownload/CPB-Publicatie-Middellangetermijnraming-zorg-2027-2033.pdf" TargetMode="External"/><Relationship Id="rId9" Type="http://schemas.openxmlformats.org/officeDocument/2006/relationships/hyperlink" Target="https://www.bnr.nl/nieuws/nieuws-politiek/10571252/patstelling-in-coalitie-onenigheid-over-meevallerformule-in-voorjaarsnota" TargetMode="External"/><Relationship Id="rId14" Type="http://schemas.openxmlformats.org/officeDocument/2006/relationships/hyperlink" Target="https://www.raadopenbaarbestuur.nl/documenten/publicaties/2025/3/25/afrekenen-met-disbala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AF9CC7C-AD47-4389-AF52-C19FAD75B3FC}"/>
      </w:docPartPr>
      <w:docPartBody>
        <w:p w:rsidR="006436C2" w:rsidRDefault="006436C2">
          <w:r w:rsidRPr="00323DD3">
            <w:rPr>
              <w:rStyle w:val="Tekstvantijdelijkeaanduiding"/>
            </w:rPr>
            <w:t>Klik of tik om tekst in te voeren.</w:t>
          </w:r>
        </w:p>
      </w:docPartBody>
    </w:docPart>
    <w:docPart>
      <w:docPartPr>
        <w:name w:val="AA6A0B4940EA44F5B6245774FC3D53E5"/>
        <w:category>
          <w:name w:val="Algemeen"/>
          <w:gallery w:val="placeholder"/>
        </w:category>
        <w:types>
          <w:type w:val="bbPlcHdr"/>
        </w:types>
        <w:behaviors>
          <w:behavior w:val="content"/>
        </w:behaviors>
        <w:guid w:val="{91298009-0013-45CA-BDD9-10675018D41B}"/>
      </w:docPartPr>
      <w:docPartBody>
        <w:p w:rsidR="002C3B9B" w:rsidRDefault="00F817B9" w:rsidP="00F817B9">
          <w:pPr>
            <w:pStyle w:val="AA6A0B4940EA44F5B6245774FC3D53E5"/>
          </w:pPr>
          <w:r w:rsidRPr="00323DD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C2"/>
    <w:rsid w:val="000131F1"/>
    <w:rsid w:val="00115604"/>
    <w:rsid w:val="0012732D"/>
    <w:rsid w:val="00150FD6"/>
    <w:rsid w:val="001718A5"/>
    <w:rsid w:val="00177503"/>
    <w:rsid w:val="001E564E"/>
    <w:rsid w:val="00216318"/>
    <w:rsid w:val="00226A33"/>
    <w:rsid w:val="00295BF7"/>
    <w:rsid w:val="002B2749"/>
    <w:rsid w:val="002C3B9B"/>
    <w:rsid w:val="002E4883"/>
    <w:rsid w:val="003250BE"/>
    <w:rsid w:val="00360F0D"/>
    <w:rsid w:val="004925AF"/>
    <w:rsid w:val="004A49B1"/>
    <w:rsid w:val="00526C0D"/>
    <w:rsid w:val="00570FDF"/>
    <w:rsid w:val="0058341E"/>
    <w:rsid w:val="005B391D"/>
    <w:rsid w:val="00610358"/>
    <w:rsid w:val="006436C2"/>
    <w:rsid w:val="006C174C"/>
    <w:rsid w:val="00705DA8"/>
    <w:rsid w:val="00774A1D"/>
    <w:rsid w:val="008B5092"/>
    <w:rsid w:val="008D5D8C"/>
    <w:rsid w:val="0096452B"/>
    <w:rsid w:val="00AB1A5C"/>
    <w:rsid w:val="00C50A01"/>
    <w:rsid w:val="00C63FA4"/>
    <w:rsid w:val="00CB2432"/>
    <w:rsid w:val="00CB3F7D"/>
    <w:rsid w:val="00CD0872"/>
    <w:rsid w:val="00CF075B"/>
    <w:rsid w:val="00D20D55"/>
    <w:rsid w:val="00D34F7C"/>
    <w:rsid w:val="00D44D7A"/>
    <w:rsid w:val="00EC5007"/>
    <w:rsid w:val="00F65672"/>
    <w:rsid w:val="00F674F5"/>
    <w:rsid w:val="00F817B9"/>
    <w:rsid w:val="00FD1654"/>
    <w:rsid w:val="00FF6E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17B9"/>
    <w:rPr>
      <w:color w:val="666666"/>
    </w:rPr>
  </w:style>
  <w:style w:type="paragraph" w:customStyle="1" w:styleId="AA6A0B4940EA44F5B6245774FC3D53E5">
    <w:name w:val="AA6A0B4940EA44F5B6245774FC3D53E5"/>
    <w:rsid w:val="00F81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16946</ap:Words>
  <ap:Characters>93206</ap:Characters>
  <ap:DocSecurity>0</ap:DocSecurity>
  <ap:Lines>776</ap:Lines>
  <ap:Paragraphs>219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2025-05-12T12:57:00.0000000Z</lastPrinted>
  <dcterms:created xsi:type="dcterms:W3CDTF">2025-05-13T08:02:00.0000000Z</dcterms:created>
  <dcterms:modified xsi:type="dcterms:W3CDTF">2025-05-13T08:02:00.0000000Z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W06.25.00069/III</vt:lpwstr>
  </property>
  <property fmtid="{D5CDD505-2E9C-101B-9397-08002B2CF9AE}" pid="5" name="zaaktype">
    <vt:lpwstr>ONGADV</vt:lpwstr>
  </property>
  <property fmtid="{D5CDD505-2E9C-101B-9397-08002B2CF9AE}" pid="6" name="ContentTypeId">
    <vt:lpwstr>0x010100FA5A77795FEADA4EA51227303613444600D747DEA627184B41AB5942895B877FAD</vt:lpwstr>
  </property>
  <property fmtid="{D5CDD505-2E9C-101B-9397-08002B2CF9AE}" pid="7" name="Bestemming">
    <vt:lpwstr>2;#Corsa|a7721b99-8166-4953-a37e-7c8574fb4b8b</vt:lpwstr>
  </property>
  <property fmtid="{D5CDD505-2E9C-101B-9397-08002B2CF9AE}" pid="8" name="_dlc_DocIdItemGuid">
    <vt:lpwstr>3883f46b-949e-45b7-9daa-752a63e5bbb6</vt:lpwstr>
  </property>
  <property fmtid="{D5CDD505-2E9C-101B-9397-08002B2CF9AE}" pid="9" name="RedactioneleBijlage">
    <vt:lpwstr>Nee</vt:lpwstr>
  </property>
  <property fmtid="{D5CDD505-2E9C-101B-9397-08002B2CF9AE}" pid="10" name="dictum">
    <vt:lpwstr>Geen</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35ad6b54-f757-49c9-8c83-ef7f8aa67172_Enabled">
    <vt:lpwstr>true</vt:lpwstr>
  </property>
  <property fmtid="{D5CDD505-2E9C-101B-9397-08002B2CF9AE}" pid="14" name="MSIP_Label_35ad6b54-f757-49c9-8c83-ef7f8aa67172_SetDate">
    <vt:lpwstr>2025-05-12T14:04:22Z</vt:lpwstr>
  </property>
  <property fmtid="{D5CDD505-2E9C-101B-9397-08002B2CF9AE}" pid="15" name="MSIP_Label_35ad6b54-f757-49c9-8c83-ef7f8aa67172_Method">
    <vt:lpwstr>Standard</vt:lpwstr>
  </property>
  <property fmtid="{D5CDD505-2E9C-101B-9397-08002B2CF9AE}" pid="16" name="MSIP_Label_35ad6b54-f757-49c9-8c83-ef7f8aa67172_Name">
    <vt:lpwstr>FIN-DGRB-Rijksoverheid</vt:lpwstr>
  </property>
  <property fmtid="{D5CDD505-2E9C-101B-9397-08002B2CF9AE}" pid="17" name="MSIP_Label_35ad6b54-f757-49c9-8c83-ef7f8aa67172_SiteId">
    <vt:lpwstr>84712536-f524-40a0-913b-5d25ba502732</vt:lpwstr>
  </property>
  <property fmtid="{D5CDD505-2E9C-101B-9397-08002B2CF9AE}" pid="18" name="MSIP_Label_35ad6b54-f757-49c9-8c83-ef7f8aa67172_ActionId">
    <vt:lpwstr>97d8179c-32d3-4e69-b71f-bd410c2285a6</vt:lpwstr>
  </property>
  <property fmtid="{D5CDD505-2E9C-101B-9397-08002B2CF9AE}" pid="19" name="MSIP_Label_35ad6b54-f757-49c9-8c83-ef7f8aa67172_ContentBits">
    <vt:lpwstr>0</vt:lpwstr>
  </property>
</Properties>
</file>