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9E62AF" w:rsidRDefault="00340ECA" w14:paraId="182D5D38" w14:textId="77777777">
      <w:pPr>
        <w:rPr>
          <w:szCs w:val="18"/>
        </w:rPr>
      </w:pPr>
    </w:p>
    <w:p w:rsidR="00CE78E9" w:rsidP="009E62AF" w:rsidRDefault="00266A97" w14:paraId="73693D36" w14:textId="77777777">
      <w:r>
        <w:t>Geachte Voorzitter,</w:t>
      </w:r>
      <w:r>
        <w:br/>
      </w:r>
    </w:p>
    <w:p w:rsidR="00677EFC" w:rsidP="009E62AF" w:rsidRDefault="00266A97" w14:paraId="419826F0" w14:textId="6ACDC640">
      <w:pPr>
        <w:rPr>
          <w:szCs w:val="18"/>
        </w:rPr>
      </w:pPr>
      <w:r>
        <w:t xml:space="preserve">Hierbij zend ik u de antwoorden op de vragen van het lid </w:t>
      </w:r>
      <w:proofErr w:type="spellStart"/>
      <w:r w:rsidR="00B46872">
        <w:t>Flach</w:t>
      </w:r>
      <w:proofErr w:type="spellEnd"/>
      <w:r>
        <w:t xml:space="preserve"> (</w:t>
      </w:r>
      <w:r w:rsidR="00B46872">
        <w:t>SGP</w:t>
      </w:r>
      <w:r>
        <w:t xml:space="preserve">) over </w:t>
      </w:r>
      <w:r w:rsidR="00B46872">
        <w:t xml:space="preserve">de relatie tussen pachtnormen en teeltopbrengsten </w:t>
      </w:r>
      <w:r>
        <w:t>(</w:t>
      </w:r>
      <w:r w:rsidR="00B46872">
        <w:t>kenmerk 2025Z06726</w:t>
      </w:r>
      <w:r>
        <w:t xml:space="preserve">, ingezonden </w:t>
      </w:r>
      <w:r w:rsidR="00B46872">
        <w:t>8 april 2025</w:t>
      </w:r>
      <w:r>
        <w:t>).</w:t>
      </w:r>
    </w:p>
    <w:p w:rsidR="009E62AF" w:rsidP="009E62AF" w:rsidRDefault="009E62AF" w14:paraId="7595723A" w14:textId="77777777">
      <w:pPr>
        <w:rPr>
          <w:szCs w:val="18"/>
        </w:rPr>
      </w:pPr>
    </w:p>
    <w:p w:rsidR="009850B1" w:rsidP="009E62AF" w:rsidRDefault="009850B1" w14:paraId="051AA267" w14:textId="77777777">
      <w:pPr>
        <w:rPr>
          <w:szCs w:val="18"/>
        </w:rPr>
      </w:pPr>
    </w:p>
    <w:p w:rsidR="00426BC7" w:rsidP="009E62AF" w:rsidRDefault="00426BC7" w14:paraId="69D4FB65" w14:textId="77777777">
      <w:pPr>
        <w:rPr>
          <w:szCs w:val="18"/>
        </w:rPr>
      </w:pPr>
    </w:p>
    <w:p w:rsidR="00426BC7" w:rsidP="009E62AF" w:rsidRDefault="00426BC7" w14:paraId="2ABD3174" w14:textId="77777777">
      <w:pPr>
        <w:tabs>
          <w:tab w:val="left" w:pos="945"/>
        </w:tabs>
        <w:rPr>
          <w:szCs w:val="18"/>
        </w:rPr>
      </w:pPr>
    </w:p>
    <w:p w:rsidRPr="00A54BCC" w:rsidR="00C90702" w:rsidP="009E62AF" w:rsidRDefault="00266A97" w14:paraId="371EE7DD" w14:textId="77777777">
      <w:pPr>
        <w:rPr>
          <w:szCs w:val="18"/>
        </w:rPr>
      </w:pPr>
      <w:r>
        <w:t>Jean Rummenie</w:t>
      </w:r>
    </w:p>
    <w:p w:rsidRPr="00426BC7" w:rsidR="00426BC7" w:rsidP="009E62AF" w:rsidRDefault="00266A97" w14:paraId="37B1D005"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9E62AF" w:rsidRDefault="00C25A1D" w14:paraId="3B861547" w14:textId="77777777">
      <w:pPr>
        <w:rPr>
          <w:rStyle w:val="Zwaar"/>
          <w:b w:val="0"/>
          <w:bCs w:val="0"/>
        </w:rPr>
      </w:pPr>
    </w:p>
    <w:p w:rsidR="00C25A1D" w:rsidP="009E62AF" w:rsidRDefault="00266A97" w14:paraId="21EB06E2" w14:textId="77777777">
      <w:pPr>
        <w:rPr>
          <w:b/>
        </w:rPr>
      </w:pPr>
      <w:r>
        <w:rPr>
          <w:b/>
        </w:rPr>
        <w:br w:type="page"/>
      </w:r>
    </w:p>
    <w:p w:rsidR="00C25A1D" w:rsidP="009E62AF" w:rsidRDefault="00B46872" w14:paraId="5073C785" w14:textId="61537D2C">
      <w:pPr>
        <w:rPr>
          <w:b/>
        </w:rPr>
      </w:pPr>
      <w:r>
        <w:rPr>
          <w:b/>
        </w:rPr>
        <w:lastRenderedPageBreak/>
        <w:t>2025Z06726</w:t>
      </w:r>
    </w:p>
    <w:p w:rsidR="00B46872" w:rsidP="009E62AF" w:rsidRDefault="00B46872" w14:paraId="5312B05A" w14:textId="77777777">
      <w:pPr>
        <w:pStyle w:val="Geenafstand"/>
        <w:spacing w:line="240" w:lineRule="atLeast"/>
        <w:rPr>
          <w:rFonts w:ascii="Verdana" w:hAnsi="Verdana"/>
          <w:sz w:val="18"/>
          <w:szCs w:val="18"/>
        </w:rPr>
      </w:pPr>
    </w:p>
    <w:p w:rsidRPr="00683FEB" w:rsidR="00B46872" w:rsidP="009E62AF" w:rsidRDefault="00B46872" w14:paraId="0F0452C0" w14:textId="77777777">
      <w:pPr>
        <w:pStyle w:val="Geenafstand"/>
        <w:spacing w:line="240" w:lineRule="atLeast"/>
        <w:rPr>
          <w:rFonts w:ascii="Verdana" w:hAnsi="Verdana"/>
          <w:sz w:val="18"/>
          <w:szCs w:val="18"/>
        </w:rPr>
      </w:pPr>
      <w:r>
        <w:rPr>
          <w:rFonts w:ascii="Verdana" w:hAnsi="Verdana"/>
          <w:sz w:val="18"/>
          <w:szCs w:val="18"/>
        </w:rPr>
        <w:t>1</w:t>
      </w:r>
    </w:p>
    <w:p w:rsidRPr="006F0A46" w:rsidR="00B46872" w:rsidP="009E62AF" w:rsidRDefault="00B46872" w14:paraId="33E7525D" w14:textId="5EC0C243">
      <w:pPr>
        <w:pStyle w:val="Geenafstand"/>
        <w:spacing w:line="240" w:lineRule="atLeast"/>
        <w:rPr>
          <w:rFonts w:ascii="Verdana" w:hAnsi="Verdana"/>
          <w:sz w:val="18"/>
          <w:szCs w:val="18"/>
        </w:rPr>
      </w:pPr>
      <w:r w:rsidRPr="00683FEB">
        <w:rPr>
          <w:rFonts w:ascii="Verdana" w:hAnsi="Verdana"/>
          <w:sz w:val="18"/>
          <w:szCs w:val="18"/>
        </w:rPr>
        <w:t>Heeft u kennisgenomen van de wijze waarop de pachtnormen voor los land worden bepaald?</w:t>
      </w:r>
      <w:r w:rsidRPr="00683FEB" w:rsidR="009E62AF">
        <w:rPr>
          <w:rFonts w:ascii="Verdana" w:hAnsi="Verdana"/>
          <w:sz w:val="18"/>
          <w:szCs w:val="18"/>
        </w:rPr>
        <w:t xml:space="preserve"> </w:t>
      </w:r>
      <w:r w:rsidRPr="00683FEB">
        <w:rPr>
          <w:rFonts w:ascii="Verdana" w:hAnsi="Verdana"/>
          <w:sz w:val="18"/>
          <w:szCs w:val="18"/>
        </w:rPr>
        <w:br/>
      </w:r>
    </w:p>
    <w:p w:rsidRPr="00683FEB" w:rsidR="00B46872" w:rsidP="009E62AF" w:rsidRDefault="00B46872" w14:paraId="4C4F7F9E" w14:textId="77777777">
      <w:pPr>
        <w:pStyle w:val="Geenafstand"/>
        <w:spacing w:line="240" w:lineRule="atLeast"/>
        <w:rPr>
          <w:rFonts w:ascii="Verdana" w:hAnsi="Verdana"/>
          <w:sz w:val="18"/>
          <w:szCs w:val="18"/>
        </w:rPr>
      </w:pPr>
      <w:r>
        <w:rPr>
          <w:rFonts w:ascii="Verdana" w:hAnsi="Verdana"/>
          <w:sz w:val="18"/>
          <w:szCs w:val="18"/>
        </w:rPr>
        <w:t>Antwoord</w:t>
      </w:r>
    </w:p>
    <w:p w:rsidRPr="00683FEB" w:rsidR="00B46872" w:rsidP="009E62AF" w:rsidRDefault="00B46872" w14:paraId="20DFB554" w14:textId="26BB98F4">
      <w:pPr>
        <w:pStyle w:val="Geenafstand"/>
        <w:spacing w:line="240" w:lineRule="atLeast"/>
        <w:rPr>
          <w:rFonts w:ascii="Verdana" w:hAnsi="Verdana"/>
          <w:sz w:val="18"/>
          <w:szCs w:val="18"/>
        </w:rPr>
      </w:pPr>
      <w:r w:rsidRPr="00683FEB">
        <w:rPr>
          <w:rFonts w:ascii="Verdana" w:hAnsi="Verdana"/>
          <w:sz w:val="18"/>
          <w:szCs w:val="18"/>
        </w:rPr>
        <w:t>Ja, ik ben bekend met de wijze waarop de pachtnormen voor los land worden bepaald</w:t>
      </w:r>
      <w:r w:rsidR="00FB641D">
        <w:rPr>
          <w:rFonts w:ascii="Verdana" w:hAnsi="Verdana"/>
          <w:sz w:val="18"/>
          <w:szCs w:val="18"/>
        </w:rPr>
        <w:t>. Dit is</w:t>
      </w:r>
      <w:r>
        <w:rPr>
          <w:rFonts w:ascii="Verdana" w:hAnsi="Verdana"/>
          <w:sz w:val="18"/>
          <w:szCs w:val="18"/>
        </w:rPr>
        <w:t xml:space="preserve"> conform het Pachtprijzenbesluit 2007.</w:t>
      </w:r>
      <w:r w:rsidRPr="00683FEB">
        <w:rPr>
          <w:rFonts w:ascii="Verdana" w:hAnsi="Verdana"/>
          <w:sz w:val="18"/>
          <w:szCs w:val="18"/>
        </w:rPr>
        <w:t xml:space="preserve"> </w:t>
      </w:r>
      <w:r>
        <w:rPr>
          <w:rFonts w:ascii="Verdana" w:hAnsi="Verdana"/>
          <w:sz w:val="18"/>
          <w:szCs w:val="18"/>
        </w:rPr>
        <w:t xml:space="preserve">Op 12 juni 2024 is de Tweede Kamer (Kamerstuk 27924, nr. 87) geïnformeerd over de pachtnormen voor 2024.  </w:t>
      </w:r>
    </w:p>
    <w:p w:rsidR="00B46872" w:rsidP="009E62AF" w:rsidRDefault="00B46872" w14:paraId="413C24B1" w14:textId="77777777">
      <w:pPr>
        <w:pStyle w:val="Geenafstand"/>
        <w:spacing w:line="240" w:lineRule="atLeast"/>
        <w:rPr>
          <w:rFonts w:ascii="Verdana" w:hAnsi="Verdana"/>
          <w:sz w:val="18"/>
          <w:szCs w:val="18"/>
        </w:rPr>
      </w:pPr>
    </w:p>
    <w:p w:rsidRPr="00683FEB" w:rsidR="00B46872" w:rsidP="009E62AF" w:rsidRDefault="00B46872" w14:paraId="3B587796" w14:textId="77777777">
      <w:pPr>
        <w:pStyle w:val="Geenafstand"/>
        <w:spacing w:line="240" w:lineRule="atLeast"/>
        <w:rPr>
          <w:rFonts w:ascii="Verdana" w:hAnsi="Verdana"/>
          <w:sz w:val="18"/>
          <w:szCs w:val="18"/>
        </w:rPr>
      </w:pPr>
      <w:r>
        <w:rPr>
          <w:rFonts w:ascii="Verdana" w:hAnsi="Verdana"/>
          <w:sz w:val="18"/>
          <w:szCs w:val="18"/>
        </w:rPr>
        <w:t>2</w:t>
      </w:r>
    </w:p>
    <w:p w:rsidRPr="00683FEB" w:rsidR="00B46872" w:rsidP="009E62AF" w:rsidRDefault="00B46872" w14:paraId="4BF094CD" w14:textId="77777777">
      <w:pPr>
        <w:pStyle w:val="Geenafstand"/>
        <w:spacing w:line="240" w:lineRule="atLeast"/>
        <w:rPr>
          <w:rFonts w:ascii="Verdana" w:hAnsi="Verdana"/>
          <w:sz w:val="18"/>
          <w:szCs w:val="18"/>
        </w:rPr>
      </w:pPr>
      <w:r w:rsidRPr="00683FEB">
        <w:rPr>
          <w:rFonts w:ascii="Verdana" w:hAnsi="Verdana"/>
          <w:sz w:val="18"/>
          <w:szCs w:val="18"/>
        </w:rPr>
        <w:t>Deelt u de mening dat in diverse pachtregio’s de regionormen in vergelijking met andere pachtregio’s niet goed zijn te verklaren vanuit de teeltopbrengsten?</w:t>
      </w:r>
    </w:p>
    <w:p w:rsidR="00B46872" w:rsidP="009E62AF" w:rsidRDefault="00B46872" w14:paraId="6789581C" w14:textId="77777777">
      <w:pPr>
        <w:pStyle w:val="Geenafstand"/>
        <w:spacing w:line="240" w:lineRule="atLeast"/>
        <w:rPr>
          <w:rFonts w:ascii="Verdana" w:hAnsi="Verdana"/>
          <w:sz w:val="18"/>
          <w:szCs w:val="18"/>
        </w:rPr>
      </w:pPr>
    </w:p>
    <w:p w:rsidR="00B46872" w:rsidP="009E62AF" w:rsidRDefault="00B46872" w14:paraId="1B0609A2" w14:textId="77777777">
      <w:pPr>
        <w:pStyle w:val="Geenafstand"/>
        <w:spacing w:line="240" w:lineRule="atLeast"/>
        <w:rPr>
          <w:rFonts w:ascii="Verdana" w:hAnsi="Verdana"/>
          <w:sz w:val="18"/>
          <w:szCs w:val="18"/>
        </w:rPr>
      </w:pPr>
      <w:r>
        <w:rPr>
          <w:rFonts w:ascii="Verdana" w:hAnsi="Verdana"/>
          <w:sz w:val="18"/>
          <w:szCs w:val="18"/>
        </w:rPr>
        <w:t>Antwoord</w:t>
      </w:r>
    </w:p>
    <w:p w:rsidR="00B46872" w:rsidP="009E62AF" w:rsidRDefault="00B46872" w14:paraId="51AC4F10" w14:textId="5A20BE02">
      <w:pPr>
        <w:pStyle w:val="Geenafstand"/>
        <w:spacing w:line="240" w:lineRule="atLeast"/>
        <w:rPr>
          <w:rFonts w:ascii="Verdana" w:hAnsi="Verdana" w:eastAsia="Times New Roman" w:cs="Arial"/>
          <w:sz w:val="18"/>
          <w:szCs w:val="18"/>
        </w:rPr>
      </w:pPr>
      <w:r>
        <w:rPr>
          <w:rFonts w:ascii="Verdana" w:hAnsi="Verdana"/>
          <w:sz w:val="18"/>
          <w:szCs w:val="18"/>
        </w:rPr>
        <w:t>Nee</w:t>
      </w:r>
      <w:r w:rsidR="004537CA">
        <w:rPr>
          <w:rFonts w:ascii="Verdana" w:hAnsi="Verdana"/>
          <w:sz w:val="18"/>
          <w:szCs w:val="18"/>
        </w:rPr>
        <w:t>,</w:t>
      </w:r>
      <w:r>
        <w:rPr>
          <w:rFonts w:ascii="Verdana" w:hAnsi="Verdana"/>
          <w:sz w:val="18"/>
          <w:szCs w:val="18"/>
        </w:rPr>
        <w:t xml:space="preserve"> ik deel deze mening niet. De steekproef m</w:t>
      </w:r>
      <w:r w:rsidRPr="00CB1107">
        <w:rPr>
          <w:rFonts w:ascii="Verdana" w:hAnsi="Verdana" w:eastAsia="Times New Roman" w:cs="Arial"/>
          <w:sz w:val="18"/>
          <w:szCs w:val="18"/>
        </w:rPr>
        <w:t xml:space="preserve">et gebruikmaking van de gegevens vanuit het </w:t>
      </w:r>
      <w:r>
        <w:rPr>
          <w:rFonts w:ascii="Verdana" w:hAnsi="Verdana" w:eastAsia="Times New Roman" w:cs="Arial"/>
          <w:sz w:val="18"/>
          <w:szCs w:val="18"/>
        </w:rPr>
        <w:t>bedrijveninformatienet (</w:t>
      </w:r>
      <w:r w:rsidRPr="00CB1107">
        <w:rPr>
          <w:rFonts w:ascii="Verdana" w:hAnsi="Verdana" w:eastAsia="Times New Roman" w:cs="Arial"/>
          <w:sz w:val="18"/>
          <w:szCs w:val="18"/>
        </w:rPr>
        <w:t>BIN</w:t>
      </w:r>
      <w:r>
        <w:rPr>
          <w:rFonts w:ascii="Verdana" w:hAnsi="Verdana" w:eastAsia="Times New Roman" w:cs="Arial"/>
          <w:sz w:val="18"/>
          <w:szCs w:val="18"/>
        </w:rPr>
        <w:t>)</w:t>
      </w:r>
      <w:r w:rsidRPr="00CB1107">
        <w:rPr>
          <w:rFonts w:ascii="Verdana" w:hAnsi="Verdana" w:eastAsia="Times New Roman" w:cs="Arial"/>
          <w:sz w:val="18"/>
          <w:szCs w:val="18"/>
        </w:rPr>
        <w:t xml:space="preserve"> is zorgvuldig samengesteld op basis van representativiteit van bedrijfstypen en grootteklassen, zodat deze een betrouwbare afspiegeling van de populatie in een bepaalde pachtregio biedt. </w:t>
      </w:r>
    </w:p>
    <w:p w:rsidR="00B46872" w:rsidP="009E62AF" w:rsidRDefault="00B46872" w14:paraId="5A61F007" w14:textId="77777777">
      <w:pPr>
        <w:pStyle w:val="Geenafstand"/>
        <w:spacing w:line="240" w:lineRule="atLeast"/>
        <w:rPr>
          <w:rFonts w:ascii="Verdana" w:hAnsi="Verdana"/>
          <w:sz w:val="18"/>
          <w:szCs w:val="18"/>
        </w:rPr>
      </w:pPr>
    </w:p>
    <w:p w:rsidRPr="007A3B83" w:rsidR="00B46872" w:rsidP="009E62AF" w:rsidRDefault="00B46872" w14:paraId="7A4226DD" w14:textId="366E4B87">
      <w:pPr>
        <w:pStyle w:val="Geenafstand"/>
        <w:spacing w:line="240" w:lineRule="atLeast"/>
        <w:rPr>
          <w:rFonts w:ascii="Verdana" w:hAnsi="Verdana"/>
          <w:sz w:val="18"/>
          <w:szCs w:val="18"/>
        </w:rPr>
      </w:pPr>
      <w:r>
        <w:rPr>
          <w:rFonts w:ascii="Verdana" w:hAnsi="Verdana"/>
          <w:sz w:val="18"/>
          <w:szCs w:val="18"/>
        </w:rPr>
        <w:t>Hoewel</w:t>
      </w:r>
      <w:r w:rsidRPr="007A3B83">
        <w:rPr>
          <w:rFonts w:ascii="Verdana" w:hAnsi="Verdana"/>
          <w:sz w:val="18"/>
          <w:szCs w:val="18"/>
        </w:rPr>
        <w:t xml:space="preserve"> de hoogte van de pachtnorm</w:t>
      </w:r>
      <w:r>
        <w:rPr>
          <w:rFonts w:ascii="Verdana" w:hAnsi="Verdana"/>
          <w:sz w:val="18"/>
          <w:szCs w:val="18"/>
        </w:rPr>
        <w:t>en</w:t>
      </w:r>
      <w:r w:rsidRPr="007A3B83">
        <w:rPr>
          <w:rFonts w:ascii="Verdana" w:hAnsi="Verdana"/>
          <w:sz w:val="18"/>
          <w:szCs w:val="18"/>
        </w:rPr>
        <w:t xml:space="preserve"> in </w:t>
      </w:r>
      <w:r>
        <w:rPr>
          <w:rFonts w:ascii="Verdana" w:hAnsi="Verdana"/>
          <w:sz w:val="18"/>
          <w:szCs w:val="18"/>
        </w:rPr>
        <w:t>diverse pachtregio’s opvallen is dit een gevolg van een</w:t>
      </w:r>
      <w:r w:rsidRPr="007A3B83">
        <w:rPr>
          <w:rFonts w:ascii="Verdana" w:hAnsi="Verdana"/>
          <w:sz w:val="18"/>
          <w:szCs w:val="18"/>
        </w:rPr>
        <w:t xml:space="preserve"> hoge bedrijfsintensiteit in deze regio</w:t>
      </w:r>
      <w:r>
        <w:rPr>
          <w:rFonts w:ascii="Verdana" w:hAnsi="Verdana"/>
          <w:sz w:val="18"/>
          <w:szCs w:val="18"/>
        </w:rPr>
        <w:t xml:space="preserve"> die</w:t>
      </w:r>
      <w:r w:rsidRPr="007A3B83">
        <w:rPr>
          <w:rFonts w:ascii="Verdana" w:hAnsi="Verdana"/>
          <w:sz w:val="18"/>
          <w:szCs w:val="18"/>
        </w:rPr>
        <w:t xml:space="preserve"> wordt weerspiegeld in de resultaten.</w:t>
      </w:r>
      <w:r>
        <w:rPr>
          <w:rFonts w:ascii="Verdana" w:hAnsi="Verdana"/>
          <w:sz w:val="18"/>
          <w:szCs w:val="18"/>
        </w:rPr>
        <w:t xml:space="preserve"> Zo </w:t>
      </w:r>
      <w:r w:rsidR="007C6E87">
        <w:rPr>
          <w:rFonts w:ascii="Verdana" w:hAnsi="Verdana"/>
          <w:sz w:val="18"/>
          <w:szCs w:val="18"/>
        </w:rPr>
        <w:t>zijn de pachtprijzen voor</w:t>
      </w:r>
      <w:r>
        <w:rPr>
          <w:rFonts w:ascii="Verdana" w:hAnsi="Verdana"/>
          <w:sz w:val="18"/>
          <w:szCs w:val="18"/>
        </w:rPr>
        <w:t xml:space="preserve"> de pachtregio IJsselmeerpolders</w:t>
      </w:r>
      <w:r w:rsidR="009E62AF">
        <w:rPr>
          <w:rFonts w:ascii="Verdana" w:hAnsi="Verdana"/>
          <w:sz w:val="18"/>
          <w:szCs w:val="18"/>
        </w:rPr>
        <w:t xml:space="preserve"> </w:t>
      </w:r>
      <w:r w:rsidR="007C6E87">
        <w:rPr>
          <w:rFonts w:ascii="Verdana" w:hAnsi="Verdana"/>
          <w:sz w:val="18"/>
          <w:szCs w:val="18"/>
        </w:rPr>
        <w:t>gelijk aan</w:t>
      </w:r>
      <w:r w:rsidR="009E62AF">
        <w:rPr>
          <w:rFonts w:ascii="Verdana" w:hAnsi="Verdana"/>
          <w:sz w:val="18"/>
          <w:szCs w:val="18"/>
        </w:rPr>
        <w:t xml:space="preserve"> </w:t>
      </w:r>
      <w:r w:rsidRPr="007A3B83">
        <w:rPr>
          <w:rFonts w:ascii="Verdana" w:hAnsi="Verdana"/>
          <w:sz w:val="18"/>
          <w:szCs w:val="18"/>
        </w:rPr>
        <w:t xml:space="preserve">de grondprijzen </w:t>
      </w:r>
      <w:r w:rsidR="007C6E87">
        <w:rPr>
          <w:rFonts w:ascii="Verdana" w:hAnsi="Verdana"/>
          <w:sz w:val="18"/>
          <w:szCs w:val="18"/>
        </w:rPr>
        <w:t xml:space="preserve">van niet verpachte grond </w:t>
      </w:r>
      <w:r w:rsidRPr="007A3B83">
        <w:rPr>
          <w:rFonts w:ascii="Verdana" w:hAnsi="Verdana"/>
          <w:sz w:val="18"/>
          <w:szCs w:val="18"/>
        </w:rPr>
        <w:t>in Flevoland zoals gepubliceerd door het Kadaster en de gemiddelde Standaardopbrengst (per hectare) zoals gepubliceerd door het CBS.</w:t>
      </w:r>
    </w:p>
    <w:p w:rsidRPr="00683FEB" w:rsidR="00B46872" w:rsidP="009E62AF" w:rsidRDefault="00B46872" w14:paraId="56D9E2D2" w14:textId="77777777">
      <w:pPr>
        <w:pStyle w:val="Geenafstand"/>
        <w:spacing w:line="240" w:lineRule="atLeast"/>
        <w:rPr>
          <w:rFonts w:ascii="Verdana" w:hAnsi="Verdana"/>
          <w:sz w:val="18"/>
          <w:szCs w:val="18"/>
        </w:rPr>
      </w:pPr>
      <w:r w:rsidRPr="00683FEB">
        <w:rPr>
          <w:rFonts w:ascii="Verdana" w:hAnsi="Verdana"/>
          <w:sz w:val="18"/>
          <w:szCs w:val="18"/>
        </w:rPr>
        <w:br/>
      </w:r>
      <w:r>
        <w:rPr>
          <w:rFonts w:ascii="Verdana" w:hAnsi="Verdana"/>
          <w:sz w:val="18"/>
          <w:szCs w:val="18"/>
        </w:rPr>
        <w:t>3</w:t>
      </w:r>
    </w:p>
    <w:p w:rsidR="00B46872" w:rsidP="009E62AF" w:rsidRDefault="00B46872" w14:paraId="7FDF79E9" w14:textId="77777777">
      <w:pPr>
        <w:pStyle w:val="Geenafstand"/>
        <w:spacing w:line="240" w:lineRule="atLeast"/>
        <w:rPr>
          <w:rFonts w:ascii="Verdana" w:hAnsi="Verdana"/>
          <w:sz w:val="18"/>
          <w:szCs w:val="18"/>
        </w:rPr>
      </w:pPr>
      <w:r w:rsidRPr="00683FEB">
        <w:rPr>
          <w:rFonts w:ascii="Verdana" w:hAnsi="Verdana"/>
          <w:sz w:val="18"/>
          <w:szCs w:val="18"/>
        </w:rPr>
        <w:t>Kunt u aangeven of de bedrijven afkomstig uit het Bedrijveninformatienet (BIN), die de basis vormen voor het bepalen van de regionorm, representatief zijn voor het desbetreffende pachtnormgebied en aan de criteria voor het berekenen van de regionorm voldoen?</w:t>
      </w:r>
      <w:r w:rsidRPr="00683FEB">
        <w:rPr>
          <w:rFonts w:ascii="Verdana" w:hAnsi="Verdana"/>
          <w:sz w:val="18"/>
          <w:szCs w:val="18"/>
        </w:rPr>
        <w:br/>
      </w:r>
    </w:p>
    <w:p w:rsidRPr="00683FEB" w:rsidR="00B46872" w:rsidP="009E62AF" w:rsidRDefault="00B46872" w14:paraId="3B54E7DD" w14:textId="77777777">
      <w:pPr>
        <w:pStyle w:val="Geenafstand"/>
        <w:spacing w:line="240" w:lineRule="atLeast"/>
        <w:rPr>
          <w:rFonts w:ascii="Verdana" w:hAnsi="Verdana"/>
          <w:sz w:val="18"/>
          <w:szCs w:val="18"/>
        </w:rPr>
      </w:pPr>
      <w:r>
        <w:rPr>
          <w:rFonts w:ascii="Verdana" w:hAnsi="Verdana"/>
          <w:sz w:val="18"/>
          <w:szCs w:val="18"/>
        </w:rPr>
        <w:t>Antwoord</w:t>
      </w:r>
    </w:p>
    <w:p w:rsidRPr="007A3B83" w:rsidR="00B46872" w:rsidP="009E62AF" w:rsidRDefault="00B46872" w14:paraId="434FEBD1" w14:textId="2DE040D2">
      <w:pPr>
        <w:pStyle w:val="Geenafstand"/>
        <w:spacing w:line="240" w:lineRule="atLeast"/>
        <w:rPr>
          <w:rFonts w:ascii="Verdana" w:hAnsi="Verdana" w:eastAsia="Times New Roman" w:cs="Arial"/>
          <w:sz w:val="18"/>
          <w:szCs w:val="18"/>
        </w:rPr>
      </w:pPr>
      <w:r>
        <w:rPr>
          <w:rFonts w:ascii="Verdana" w:hAnsi="Verdana" w:eastAsia="Times New Roman" w:cs="Arial"/>
          <w:sz w:val="18"/>
          <w:szCs w:val="18"/>
        </w:rPr>
        <w:t xml:space="preserve">De groep van bedrijven die in de steekproef betrokken zijn wordt </w:t>
      </w:r>
      <w:r w:rsidRPr="00683FEB">
        <w:rPr>
          <w:rFonts w:ascii="Verdana" w:hAnsi="Verdana" w:eastAsia="Times New Roman" w:cs="Arial"/>
          <w:sz w:val="18"/>
          <w:szCs w:val="18"/>
        </w:rPr>
        <w:t>met gebruikmaking van de gegevens van het B</w:t>
      </w:r>
      <w:r>
        <w:rPr>
          <w:rFonts w:ascii="Verdana" w:hAnsi="Verdana" w:eastAsia="Times New Roman" w:cs="Arial"/>
          <w:sz w:val="18"/>
          <w:szCs w:val="18"/>
        </w:rPr>
        <w:t>IN</w:t>
      </w:r>
      <w:r w:rsidRPr="00683FEB">
        <w:rPr>
          <w:rFonts w:ascii="Verdana" w:hAnsi="Verdana" w:eastAsia="Times New Roman" w:cs="Arial"/>
          <w:sz w:val="18"/>
          <w:szCs w:val="18"/>
        </w:rPr>
        <w:t xml:space="preserve"> </w:t>
      </w:r>
      <w:r>
        <w:rPr>
          <w:rFonts w:ascii="Verdana" w:hAnsi="Verdana" w:eastAsia="Times New Roman" w:cs="Arial"/>
          <w:sz w:val="18"/>
          <w:szCs w:val="18"/>
        </w:rPr>
        <w:t xml:space="preserve">nauwgezet </w:t>
      </w:r>
      <w:r w:rsidRPr="00683FEB">
        <w:rPr>
          <w:rFonts w:ascii="Verdana" w:hAnsi="Verdana" w:eastAsia="Times New Roman" w:cs="Arial"/>
          <w:sz w:val="18"/>
          <w:szCs w:val="18"/>
        </w:rPr>
        <w:t>samengesteld op basis van representativiteit conform het Pachtprijzenbesluit 2007. Daarnaast wordt het BIN periodiek op representativiteit gecheckt. De resultaten hiervan zijn publiek beschikbaar</w:t>
      </w:r>
      <w:r w:rsidR="009E62AF">
        <w:rPr>
          <w:rStyle w:val="Voetnootmarkering"/>
          <w:rFonts w:ascii="Verdana" w:hAnsi="Verdana" w:eastAsia="Times New Roman" w:cs="Arial"/>
          <w:sz w:val="18"/>
          <w:szCs w:val="18"/>
        </w:rPr>
        <w:footnoteReference w:id="1"/>
      </w:r>
      <w:r w:rsidRPr="00683FEB">
        <w:rPr>
          <w:rFonts w:ascii="Verdana" w:hAnsi="Verdana" w:eastAsia="Times New Roman" w:cs="Arial"/>
          <w:sz w:val="18"/>
          <w:szCs w:val="18"/>
        </w:rPr>
        <w:t>. Ik heb daarom geen reden om te twijfelen aan de representativiteit.</w:t>
      </w:r>
    </w:p>
    <w:p w:rsidR="00B46872" w:rsidP="009E62AF" w:rsidRDefault="00B46872" w14:paraId="6C16854B" w14:textId="77777777">
      <w:pPr>
        <w:pStyle w:val="Geenafstand"/>
        <w:spacing w:line="240" w:lineRule="atLeast"/>
        <w:rPr>
          <w:rFonts w:ascii="Verdana" w:hAnsi="Verdana"/>
          <w:sz w:val="18"/>
          <w:szCs w:val="18"/>
        </w:rPr>
      </w:pPr>
    </w:p>
    <w:p w:rsidR="009E62AF" w:rsidRDefault="009E62AF" w14:paraId="76D2A011" w14:textId="77777777">
      <w:pPr>
        <w:spacing w:line="240" w:lineRule="auto"/>
        <w:rPr>
          <w:rFonts w:eastAsiaTheme="minorHAnsi" w:cstheme="minorBidi"/>
          <w:kern w:val="2"/>
          <w:szCs w:val="18"/>
          <w:lang w:eastAsia="en-US"/>
          <w14:ligatures w14:val="standardContextual"/>
        </w:rPr>
      </w:pPr>
      <w:r>
        <w:rPr>
          <w:szCs w:val="18"/>
        </w:rPr>
        <w:br w:type="page"/>
      </w:r>
    </w:p>
    <w:p w:rsidR="00B46872" w:rsidP="009E62AF" w:rsidRDefault="00B46872" w14:paraId="37047C51" w14:textId="4533FF36">
      <w:pPr>
        <w:pStyle w:val="Geenafstand"/>
        <w:spacing w:line="240" w:lineRule="atLeast"/>
        <w:rPr>
          <w:rFonts w:ascii="Verdana" w:hAnsi="Verdana"/>
          <w:sz w:val="18"/>
          <w:szCs w:val="18"/>
        </w:rPr>
      </w:pPr>
      <w:r>
        <w:rPr>
          <w:rFonts w:ascii="Verdana" w:hAnsi="Verdana"/>
          <w:sz w:val="18"/>
          <w:szCs w:val="18"/>
        </w:rPr>
        <w:lastRenderedPageBreak/>
        <w:t>4</w:t>
      </w:r>
    </w:p>
    <w:p w:rsidRPr="00683FEB" w:rsidR="00B46872" w:rsidP="009E62AF" w:rsidRDefault="00B46872" w14:paraId="422202D2" w14:textId="77777777">
      <w:pPr>
        <w:pStyle w:val="Geenafstand"/>
        <w:spacing w:line="240" w:lineRule="atLeast"/>
        <w:rPr>
          <w:rFonts w:ascii="Verdana" w:hAnsi="Verdana"/>
          <w:sz w:val="18"/>
          <w:szCs w:val="18"/>
        </w:rPr>
      </w:pPr>
      <w:r w:rsidRPr="00683FEB">
        <w:rPr>
          <w:rFonts w:ascii="Verdana" w:hAnsi="Verdana"/>
          <w:sz w:val="18"/>
          <w:szCs w:val="18"/>
        </w:rPr>
        <w:t>Heeft u inzicht in de wijze waarop bovengenoemde bedrijven, die na maximaal vijf jaar vervangen zouden moeten worden, worden geselecteerd? Op welke wijze ziet u toe op de geschiktheid en de representativiteit van deze bedrijven?</w:t>
      </w:r>
    </w:p>
    <w:p w:rsidR="00B46872" w:rsidP="009E62AF" w:rsidRDefault="00B46872" w14:paraId="2DD31280" w14:textId="77777777">
      <w:pPr>
        <w:pStyle w:val="Geenafstand"/>
        <w:spacing w:line="240" w:lineRule="atLeast"/>
        <w:rPr>
          <w:rFonts w:ascii="Verdana" w:hAnsi="Verdana" w:eastAsia="Times New Roman" w:cs="Arial"/>
          <w:sz w:val="18"/>
          <w:szCs w:val="18"/>
        </w:rPr>
      </w:pPr>
    </w:p>
    <w:p w:rsidRPr="00FB766E" w:rsidR="00B46872" w:rsidP="009E62AF" w:rsidRDefault="00B46872" w14:paraId="157974AC" w14:textId="77777777">
      <w:pPr>
        <w:pStyle w:val="Geenafstand"/>
        <w:spacing w:line="240" w:lineRule="atLeast"/>
        <w:rPr>
          <w:rFonts w:ascii="Verdana" w:hAnsi="Verdana" w:eastAsia="Times New Roman" w:cs="Arial"/>
          <w:sz w:val="18"/>
          <w:szCs w:val="18"/>
        </w:rPr>
      </w:pPr>
      <w:r w:rsidRPr="00FB766E">
        <w:rPr>
          <w:rFonts w:ascii="Verdana" w:hAnsi="Verdana" w:eastAsia="Times New Roman" w:cs="Arial"/>
          <w:sz w:val="18"/>
          <w:szCs w:val="18"/>
        </w:rPr>
        <w:t>Antwoord</w:t>
      </w:r>
    </w:p>
    <w:p w:rsidR="00B46872" w:rsidP="009E62AF" w:rsidRDefault="00B46872" w14:paraId="6F7D987D" w14:textId="53D27F78">
      <w:pPr>
        <w:rPr>
          <w:szCs w:val="18"/>
        </w:rPr>
      </w:pPr>
      <w:r>
        <w:rPr>
          <w:szCs w:val="18"/>
        </w:rPr>
        <w:t xml:space="preserve">In de vraag wordt verondersteld dat bedrijven na maximaal vijf jaar automatisch uit de steekproef van het BIN worden gehaald en vervangen. In de praktijk is dit echter niet het geval: het BIN werkt niet met ‘automatische rotatie’, maar met ‘minimale rotatie’. Tot </w:t>
      </w:r>
      <w:r w:rsidRPr="00DB7558">
        <w:rPr>
          <w:szCs w:val="18"/>
        </w:rPr>
        <w:t xml:space="preserve">2005 </w:t>
      </w:r>
      <w:r>
        <w:rPr>
          <w:szCs w:val="18"/>
        </w:rPr>
        <w:t xml:space="preserve">werd in het </w:t>
      </w:r>
      <w:r w:rsidRPr="00DB7558">
        <w:rPr>
          <w:szCs w:val="18"/>
        </w:rPr>
        <w:t>LEI-boekhoutnet, de voorganger van het BIN,</w:t>
      </w:r>
      <w:r>
        <w:rPr>
          <w:szCs w:val="18"/>
        </w:rPr>
        <w:t xml:space="preserve"> wel gebruik gemaakt van een rotatiemodel (automatische rotatie). Bedrijven </w:t>
      </w:r>
      <w:r w:rsidRPr="00DB7558">
        <w:rPr>
          <w:szCs w:val="18"/>
        </w:rPr>
        <w:t xml:space="preserve">werden </w:t>
      </w:r>
      <w:r>
        <w:rPr>
          <w:szCs w:val="18"/>
        </w:rPr>
        <w:t>op basis van toeval geselecteerd uit de landbouwtelling, en jaarlijks</w:t>
      </w:r>
      <w:r w:rsidRPr="00DB7558">
        <w:rPr>
          <w:szCs w:val="18"/>
        </w:rPr>
        <w:t xml:space="preserve"> werd een deel van de</w:t>
      </w:r>
      <w:r>
        <w:rPr>
          <w:szCs w:val="18"/>
        </w:rPr>
        <w:t xml:space="preserve"> </w:t>
      </w:r>
      <w:r w:rsidRPr="00DB7558">
        <w:rPr>
          <w:szCs w:val="18"/>
        </w:rPr>
        <w:t xml:space="preserve">steekproef vervangen om </w:t>
      </w:r>
      <w:r>
        <w:rPr>
          <w:szCs w:val="18"/>
        </w:rPr>
        <w:t>mogelijke leereffecten bij deelnemers te beperken. Na de eeuwwisseling is dit beleid heroverwogen. In 2005 is op basis van onderzoek door Wageningen Universiteit (WUR)</w:t>
      </w:r>
      <w:r>
        <w:rPr>
          <w:rStyle w:val="Voetnootmarkering"/>
          <w:rFonts w:eastAsiaTheme="majorEastAsia"/>
          <w:szCs w:val="18"/>
        </w:rPr>
        <w:footnoteReference w:id="2"/>
      </w:r>
      <w:r>
        <w:rPr>
          <w:szCs w:val="18"/>
        </w:rPr>
        <w:t xml:space="preserve"> aanbevolen om over te stappen op minimale rotatie.</w:t>
      </w:r>
    </w:p>
    <w:p w:rsidRPr="00C47F26" w:rsidR="00B46872" w:rsidP="009E62AF" w:rsidRDefault="00B46872" w14:paraId="404FE17B" w14:textId="77777777">
      <w:pPr>
        <w:rPr>
          <w:szCs w:val="18"/>
        </w:rPr>
      </w:pPr>
      <w:r w:rsidRPr="00DB7558">
        <w:rPr>
          <w:szCs w:val="18"/>
        </w:rPr>
        <w:t>Minimale rotatie</w:t>
      </w:r>
      <w:r>
        <w:rPr>
          <w:szCs w:val="18"/>
        </w:rPr>
        <w:t xml:space="preserve"> </w:t>
      </w:r>
      <w:r w:rsidRPr="00DB7558">
        <w:rPr>
          <w:szCs w:val="18"/>
        </w:rPr>
        <w:t>houdt in dat bedrijven alleen worden vervangen als ze niet meer voldoen aan de steekproefcriteria</w:t>
      </w:r>
      <w:r>
        <w:rPr>
          <w:szCs w:val="18"/>
        </w:rPr>
        <w:t>, stoppen met het bedrijf</w:t>
      </w:r>
      <w:r w:rsidRPr="00DB7558">
        <w:rPr>
          <w:szCs w:val="18"/>
        </w:rPr>
        <w:t xml:space="preserve"> of </w:t>
      </w:r>
      <w:r>
        <w:rPr>
          <w:szCs w:val="18"/>
        </w:rPr>
        <w:t>hun deelname beëindigen</w:t>
      </w:r>
      <w:r w:rsidRPr="00DB7558">
        <w:rPr>
          <w:szCs w:val="18"/>
        </w:rPr>
        <w:t>.</w:t>
      </w:r>
      <w:r>
        <w:rPr>
          <w:szCs w:val="18"/>
        </w:rPr>
        <w:t xml:space="preserve"> Deze aanpak </w:t>
      </w:r>
      <w:r w:rsidRPr="00C47F26">
        <w:rPr>
          <w:szCs w:val="18"/>
        </w:rPr>
        <w:t>waarborgt de representativiteit en maakt het mogelijk om structurele ontwikkelingen binnen de sector goed te volgen. Voor langjarige studies is deze methode bijzonder geschikt vanwege de consistente dataverzameling, terwijl ze ook bruikbaar blijft voor analyses op basis van éénjarige gemiddelden. De keuze voor een 'natuurlijk roterend panel' is daarmee bewust en goed onderbouwd. Sinds de inwerkingtreding van het Pachtprijzenbesluit 2007 wordt minimale rotatie ook toegepast bij de berekening van de pachtnormen.</w:t>
      </w:r>
    </w:p>
    <w:p w:rsidRPr="00C47F26" w:rsidR="00B46872" w:rsidP="009E62AF" w:rsidRDefault="00B46872" w14:paraId="5389FF14" w14:textId="77777777">
      <w:pPr>
        <w:rPr>
          <w:szCs w:val="18"/>
        </w:rPr>
      </w:pPr>
    </w:p>
    <w:p w:rsidRPr="00C47F26" w:rsidR="00B46872" w:rsidP="009E62AF" w:rsidRDefault="00B46872" w14:paraId="700B8279" w14:textId="36571A3B">
      <w:pPr>
        <w:rPr>
          <w:szCs w:val="18"/>
        </w:rPr>
      </w:pPr>
      <w:r w:rsidRPr="00C47F26">
        <w:rPr>
          <w:szCs w:val="18"/>
        </w:rPr>
        <w:t>Zoals aangegeven onder vraag 3 wordt deze groep van bedrijven zorgvuldig samengesteld op basis van representativiteit, conform de eisen van het Pachtprijzenbesluit 2007. Daarnaast wordt het BIN periodiek getoetst op representativiteit. De uitkomsten van deze toetsingen zijn openbaar beschikbaar</w:t>
      </w:r>
      <w:r w:rsidR="00106310">
        <w:rPr>
          <w:rStyle w:val="Voetnootmarkering"/>
          <w:szCs w:val="18"/>
        </w:rPr>
        <w:footnoteReference w:id="3"/>
      </w:r>
      <w:r w:rsidRPr="00C47F26">
        <w:rPr>
          <w:szCs w:val="18"/>
        </w:rPr>
        <w:t>. Ik heb daarom geen reden om te twijfelen aan de representativiteit van de steekproef.</w:t>
      </w:r>
    </w:p>
    <w:p w:rsidRPr="00DB7558" w:rsidR="00B46872" w:rsidP="009E62AF" w:rsidRDefault="00B46872" w14:paraId="05FF15DC" w14:textId="77777777">
      <w:pPr>
        <w:pStyle w:val="Normaalweb"/>
        <w:spacing w:after="0" w:line="240" w:lineRule="atLeast"/>
        <w:rPr>
          <w:rFonts w:ascii="Verdana" w:hAnsi="Verdana"/>
          <w:sz w:val="18"/>
          <w:szCs w:val="18"/>
        </w:rPr>
      </w:pPr>
    </w:p>
    <w:p w:rsidR="00B46872" w:rsidP="009E62AF" w:rsidRDefault="00B46872" w14:paraId="25F6413C" w14:textId="77777777">
      <w:pPr>
        <w:pStyle w:val="Geenafstand"/>
        <w:spacing w:line="240" w:lineRule="atLeast"/>
        <w:rPr>
          <w:rFonts w:ascii="Verdana" w:hAnsi="Verdana"/>
          <w:sz w:val="18"/>
          <w:szCs w:val="18"/>
        </w:rPr>
      </w:pPr>
      <w:r>
        <w:rPr>
          <w:rFonts w:ascii="Verdana" w:hAnsi="Verdana"/>
          <w:sz w:val="18"/>
          <w:szCs w:val="18"/>
        </w:rPr>
        <w:t>5</w:t>
      </w:r>
    </w:p>
    <w:p w:rsidR="00B46872" w:rsidP="009E62AF" w:rsidRDefault="00B46872" w14:paraId="733169FE" w14:textId="77777777">
      <w:pPr>
        <w:pStyle w:val="Geenafstand"/>
        <w:spacing w:line="240" w:lineRule="atLeast"/>
        <w:rPr>
          <w:rFonts w:ascii="Verdana" w:hAnsi="Verdana"/>
          <w:sz w:val="18"/>
          <w:szCs w:val="18"/>
        </w:rPr>
      </w:pPr>
      <w:r w:rsidRPr="00683FEB">
        <w:rPr>
          <w:rFonts w:ascii="Verdana" w:hAnsi="Verdana"/>
          <w:sz w:val="18"/>
          <w:szCs w:val="18"/>
        </w:rPr>
        <w:t>Kunt u aangeven in welke mate de neveninkomsten op de geselecteerde bedrijven (waarbij die neveninkomsten 25 procent of minder van de totale opbrengst uitmaken) voor het bepalen van de regionorm meewegen in het resultaat van deze bedrijven?</w:t>
      </w:r>
      <w:r w:rsidRPr="00683FEB">
        <w:rPr>
          <w:rFonts w:ascii="Verdana" w:hAnsi="Verdana"/>
          <w:sz w:val="18"/>
          <w:szCs w:val="18"/>
        </w:rPr>
        <w:br/>
      </w:r>
    </w:p>
    <w:p w:rsidR="00B46872" w:rsidP="009E62AF" w:rsidRDefault="00B46872" w14:paraId="49BC3540" w14:textId="77777777">
      <w:pPr>
        <w:pStyle w:val="Geenafstand"/>
        <w:spacing w:line="240" w:lineRule="atLeast"/>
        <w:rPr>
          <w:rFonts w:ascii="Verdana" w:hAnsi="Verdana"/>
          <w:sz w:val="18"/>
          <w:szCs w:val="18"/>
        </w:rPr>
      </w:pPr>
      <w:r>
        <w:rPr>
          <w:rFonts w:ascii="Verdana" w:hAnsi="Verdana"/>
          <w:sz w:val="18"/>
          <w:szCs w:val="18"/>
        </w:rPr>
        <w:t>Antwoord</w:t>
      </w:r>
    </w:p>
    <w:p w:rsidR="00B46872" w:rsidP="009E62AF" w:rsidRDefault="00B46872" w14:paraId="2B485DFE" w14:textId="5ECD6053">
      <w:pPr>
        <w:pStyle w:val="Normaalweb"/>
        <w:spacing w:after="0" w:line="240" w:lineRule="atLeast"/>
        <w:rPr>
          <w:rFonts w:ascii="Verdana" w:hAnsi="Verdana"/>
          <w:color w:val="000000"/>
          <w:sz w:val="18"/>
          <w:szCs w:val="18"/>
        </w:rPr>
      </w:pPr>
      <w:r w:rsidRPr="003827BD">
        <w:rPr>
          <w:rFonts w:ascii="Verdana" w:hAnsi="Verdana"/>
          <w:color w:val="000000"/>
          <w:sz w:val="18"/>
          <w:szCs w:val="18"/>
        </w:rPr>
        <w:t xml:space="preserve">In 2010 heeft de commissie pachtnormen onderzoek gedaan naar het schrappen van nevenactiviteiten en geadviseerd om bedrijven met meer dan 25% </w:t>
      </w:r>
      <w:r w:rsidRPr="003827BD">
        <w:rPr>
          <w:rFonts w:ascii="Verdana" w:hAnsi="Verdana"/>
          <w:color w:val="000000"/>
          <w:sz w:val="18"/>
          <w:szCs w:val="18"/>
        </w:rPr>
        <w:lastRenderedPageBreak/>
        <w:t>opbrengsten uit neventakken uit te sluiten van de pachtnormberekening</w:t>
      </w:r>
      <w:r>
        <w:rPr>
          <w:rStyle w:val="Voetnootmarkering"/>
          <w:rFonts w:ascii="Verdana" w:hAnsi="Verdana"/>
          <w:color w:val="000000"/>
          <w:sz w:val="18"/>
          <w:szCs w:val="18"/>
        </w:rPr>
        <w:footnoteReference w:id="4"/>
      </w:r>
      <w:r w:rsidR="005D49F4">
        <w:rPr>
          <w:rFonts w:ascii="Verdana" w:hAnsi="Verdana"/>
          <w:color w:val="000000"/>
          <w:sz w:val="18"/>
          <w:szCs w:val="18"/>
        </w:rPr>
        <w:t>.</w:t>
      </w:r>
      <w:r w:rsidRPr="00AC6378">
        <w:rPr>
          <w:rFonts w:ascii="Verdana" w:hAnsi="Verdana"/>
          <w:sz w:val="18"/>
          <w:szCs w:val="18"/>
        </w:rPr>
        <w:t xml:space="preserve"> </w:t>
      </w:r>
      <w:r w:rsidRPr="003827BD">
        <w:rPr>
          <w:rFonts w:ascii="Verdana" w:hAnsi="Verdana"/>
          <w:color w:val="000000"/>
          <w:sz w:val="18"/>
          <w:szCs w:val="18"/>
        </w:rPr>
        <w:t>Sinds 2011, waarin het Pachtprijzenbesluit op dat punt is aangepast, worden inkomsten uit nevenactiviteiten expliciet gemonitord binnen het BIN, en sindsdien worden bedrijven mede op basis van hun neveninkomsten geselecteerd of uitgesloten voor de pachtnormenberekening (artikel 5.2 van het Pachtprijzenbesluit). In het jaarlijkse pachtprijzenrapport worden geen gegevens gedeeld over het aandeel van neveninkomsten in de totale opbrengst van bedrijven. In de bedrijfsboekhouding kunnen opbrengsten uit nevenactiviteiten doorgaans wel worden herkend, maar het is vaak lastig om de daaraan verbonden kosten afzonderlijk te specificeren.</w:t>
      </w:r>
    </w:p>
    <w:p w:rsidRPr="003827BD" w:rsidR="00755824" w:rsidP="009E62AF" w:rsidRDefault="00755824" w14:paraId="1E906DEA" w14:textId="77777777">
      <w:pPr>
        <w:pStyle w:val="Normaalweb"/>
        <w:spacing w:after="0" w:line="240" w:lineRule="atLeast"/>
        <w:rPr>
          <w:rFonts w:ascii="Verdana" w:hAnsi="Verdana"/>
          <w:color w:val="000000"/>
          <w:sz w:val="18"/>
          <w:szCs w:val="18"/>
        </w:rPr>
      </w:pPr>
    </w:p>
    <w:p w:rsidRPr="00683FEB" w:rsidR="00B46872" w:rsidP="009E62AF" w:rsidRDefault="00B46872" w14:paraId="124AA661" w14:textId="77777777">
      <w:pPr>
        <w:pStyle w:val="Geenafstand"/>
        <w:spacing w:line="240" w:lineRule="atLeast"/>
        <w:rPr>
          <w:rFonts w:ascii="Verdana" w:hAnsi="Verdana"/>
          <w:sz w:val="18"/>
          <w:szCs w:val="18"/>
        </w:rPr>
      </w:pPr>
      <w:r>
        <w:rPr>
          <w:rFonts w:ascii="Verdana" w:hAnsi="Verdana"/>
          <w:sz w:val="18"/>
          <w:szCs w:val="18"/>
        </w:rPr>
        <w:t>6</w:t>
      </w:r>
    </w:p>
    <w:p w:rsidR="00B46872" w:rsidP="009E62AF" w:rsidRDefault="00B46872" w14:paraId="54DD8731" w14:textId="77777777">
      <w:pPr>
        <w:pStyle w:val="Geenafstand"/>
        <w:spacing w:line="240" w:lineRule="atLeast"/>
        <w:rPr>
          <w:rFonts w:ascii="Verdana" w:hAnsi="Verdana"/>
          <w:sz w:val="18"/>
          <w:szCs w:val="18"/>
        </w:rPr>
      </w:pPr>
      <w:r w:rsidRPr="00683FEB">
        <w:rPr>
          <w:rFonts w:ascii="Verdana" w:hAnsi="Verdana"/>
          <w:sz w:val="18"/>
          <w:szCs w:val="18"/>
        </w:rPr>
        <w:t>Deelt u de mening dat alleen de opbrengsten direct gerelateerd aan de grondgebonden agrarische activiteit van de bedrijven uit het BIN moeten meewegen voor het bepalen van de regionorm, zoals bedoeld in art 7:327 van het Burgerlijk Wetboek?</w:t>
      </w:r>
      <w:r w:rsidRPr="00683FEB">
        <w:rPr>
          <w:rFonts w:ascii="Verdana" w:hAnsi="Verdana"/>
          <w:sz w:val="18"/>
          <w:szCs w:val="18"/>
        </w:rPr>
        <w:br/>
      </w:r>
    </w:p>
    <w:p w:rsidR="00B46872" w:rsidP="009E62AF" w:rsidRDefault="00B46872" w14:paraId="5198463B" w14:textId="77777777">
      <w:pPr>
        <w:pStyle w:val="Geenafstand"/>
        <w:spacing w:line="240" w:lineRule="atLeast"/>
        <w:rPr>
          <w:rFonts w:ascii="Verdana" w:hAnsi="Verdana"/>
          <w:sz w:val="18"/>
          <w:szCs w:val="18"/>
        </w:rPr>
      </w:pPr>
      <w:r>
        <w:rPr>
          <w:rFonts w:ascii="Verdana" w:hAnsi="Verdana"/>
          <w:sz w:val="18"/>
          <w:szCs w:val="18"/>
        </w:rPr>
        <w:t>Antwoord</w:t>
      </w:r>
    </w:p>
    <w:p w:rsidR="00B46872" w:rsidP="009E62AF" w:rsidRDefault="00B46872" w14:paraId="59CB20B2" w14:textId="3E9E54E7">
      <w:pPr>
        <w:pStyle w:val="Geenafstand"/>
        <w:spacing w:line="240" w:lineRule="atLeast"/>
        <w:rPr>
          <w:rFonts w:ascii="Verdana" w:hAnsi="Verdana"/>
          <w:sz w:val="18"/>
          <w:szCs w:val="18"/>
        </w:rPr>
      </w:pPr>
      <w:r>
        <w:rPr>
          <w:rFonts w:ascii="Verdana" w:hAnsi="Verdana"/>
          <w:sz w:val="18"/>
          <w:szCs w:val="18"/>
        </w:rPr>
        <w:t xml:space="preserve">Nee, deze mening deel ik niet. In artikel 7:327 lid 2 uit het Burgerlijk Wetboek wordt specifiek </w:t>
      </w:r>
      <w:r w:rsidR="004537CA">
        <w:rPr>
          <w:rFonts w:ascii="Verdana" w:hAnsi="Verdana"/>
          <w:sz w:val="18"/>
          <w:szCs w:val="18"/>
        </w:rPr>
        <w:t>aangegev</w:t>
      </w:r>
      <w:r>
        <w:rPr>
          <w:rFonts w:ascii="Verdana" w:hAnsi="Verdana"/>
          <w:sz w:val="18"/>
          <w:szCs w:val="18"/>
        </w:rPr>
        <w:t xml:space="preserve">en dat de pachtprijzen in </w:t>
      </w:r>
      <w:r w:rsidRPr="00A51811">
        <w:rPr>
          <w:rFonts w:ascii="Verdana" w:hAnsi="Verdana"/>
          <w:sz w:val="18"/>
          <w:szCs w:val="18"/>
        </w:rPr>
        <w:t>een redelijke verhouding staan tot de bedrijfsuitkomsten bij een behoorlijke bedrijfsvoering,</w:t>
      </w:r>
      <w:r>
        <w:rPr>
          <w:rFonts w:ascii="Verdana" w:hAnsi="Verdana"/>
          <w:sz w:val="18"/>
          <w:szCs w:val="18"/>
        </w:rPr>
        <w:t xml:space="preserve"> </w:t>
      </w:r>
      <w:r w:rsidRPr="00A51811">
        <w:rPr>
          <w:rFonts w:ascii="Verdana" w:hAnsi="Verdana"/>
          <w:sz w:val="18"/>
          <w:szCs w:val="18"/>
        </w:rPr>
        <w:t>met dien verstande, dat bij het vaststellen van die regelen de redelijke belangen van de verpachter mede in acht worden genomen.</w:t>
      </w:r>
      <w:r>
        <w:rPr>
          <w:rFonts w:ascii="Verdana" w:hAnsi="Verdana"/>
          <w:sz w:val="18"/>
          <w:szCs w:val="18"/>
        </w:rPr>
        <w:t xml:space="preserve"> De berekeningen van de pachtnormen zijn daarbij eveneens gebaseerd op de bepalingen uit het Pachtprijzenbesluit 2007 met betrekking tot het vaststellen van de pachtnormen voor de agrarische woning en de bedrijfsgebouwen. </w:t>
      </w:r>
    </w:p>
    <w:p w:rsidR="00B46872" w:rsidP="009E62AF" w:rsidRDefault="00B46872" w14:paraId="60B22FA5" w14:textId="77777777">
      <w:pPr>
        <w:pStyle w:val="Geenafstand"/>
        <w:spacing w:line="240" w:lineRule="atLeast"/>
        <w:rPr>
          <w:rFonts w:ascii="Verdana" w:hAnsi="Verdana"/>
          <w:sz w:val="18"/>
          <w:szCs w:val="18"/>
        </w:rPr>
      </w:pPr>
    </w:p>
    <w:p w:rsidRPr="00683FEB" w:rsidR="00B46872" w:rsidP="009E62AF" w:rsidRDefault="00B46872" w14:paraId="2EDAA4C2" w14:textId="77777777">
      <w:pPr>
        <w:pStyle w:val="Geenafstand"/>
        <w:spacing w:line="240" w:lineRule="atLeast"/>
        <w:rPr>
          <w:rFonts w:ascii="Verdana" w:hAnsi="Verdana"/>
          <w:sz w:val="18"/>
          <w:szCs w:val="18"/>
        </w:rPr>
      </w:pPr>
      <w:r>
        <w:rPr>
          <w:rFonts w:ascii="Verdana" w:hAnsi="Verdana"/>
          <w:sz w:val="18"/>
          <w:szCs w:val="18"/>
        </w:rPr>
        <w:t>7</w:t>
      </w:r>
    </w:p>
    <w:p w:rsidR="00B46872" w:rsidP="009E62AF" w:rsidRDefault="00B46872" w14:paraId="14EF7BD3" w14:textId="77777777">
      <w:pPr>
        <w:pStyle w:val="Geenafstand"/>
        <w:spacing w:line="240" w:lineRule="atLeast"/>
        <w:rPr>
          <w:rFonts w:ascii="Verdana" w:hAnsi="Verdana"/>
          <w:sz w:val="18"/>
          <w:szCs w:val="18"/>
        </w:rPr>
      </w:pPr>
      <w:r w:rsidRPr="00683FEB">
        <w:rPr>
          <w:rFonts w:ascii="Verdana" w:hAnsi="Verdana"/>
          <w:sz w:val="18"/>
          <w:szCs w:val="18"/>
        </w:rPr>
        <w:t>Op welke wijze bent u voornemens ervoor te zorgen dat de twijfels over de representativiteit van de bedrijvenselectie in het BIN weggenomen worden, bijvoorbeeld door meer openheid te geven over de selectie van bedrijven in de verschillende regio’s zonder dat dit herleidbaar is tot individuele bedrijven of door een onafhankelijke toetsing van de representativiteit van bedrijven en de doorvertaling van bedrijfsresultaten naar de pachtnormen?</w:t>
      </w:r>
      <w:r w:rsidRPr="00683FEB">
        <w:rPr>
          <w:rFonts w:ascii="Verdana" w:hAnsi="Verdana"/>
          <w:sz w:val="18"/>
          <w:szCs w:val="18"/>
        </w:rPr>
        <w:br/>
      </w:r>
    </w:p>
    <w:p w:rsidRPr="00683FEB" w:rsidR="00B46872" w:rsidP="009E62AF" w:rsidRDefault="00B46872" w14:paraId="426DFCDB" w14:textId="77777777">
      <w:pPr>
        <w:pStyle w:val="Geenafstand"/>
        <w:spacing w:line="240" w:lineRule="atLeast"/>
        <w:rPr>
          <w:rFonts w:ascii="Verdana" w:hAnsi="Verdana"/>
          <w:sz w:val="18"/>
          <w:szCs w:val="18"/>
        </w:rPr>
      </w:pPr>
      <w:r>
        <w:rPr>
          <w:rFonts w:ascii="Verdana" w:hAnsi="Verdana"/>
          <w:sz w:val="18"/>
          <w:szCs w:val="18"/>
        </w:rPr>
        <w:t>Antwoord</w:t>
      </w:r>
      <w:r w:rsidRPr="00683FEB">
        <w:rPr>
          <w:rFonts w:ascii="Verdana" w:hAnsi="Verdana"/>
          <w:sz w:val="18"/>
          <w:szCs w:val="18"/>
        </w:rPr>
        <w:t> </w:t>
      </w:r>
    </w:p>
    <w:p w:rsidR="00B46872" w:rsidP="009E62AF" w:rsidRDefault="00F233CE" w14:paraId="108A4809" w14:textId="70785838">
      <w:pPr>
        <w:pStyle w:val="Geenafstand"/>
        <w:spacing w:line="240" w:lineRule="atLeast"/>
        <w:rPr>
          <w:rFonts w:ascii="Verdana" w:hAnsi="Verdana"/>
          <w:sz w:val="18"/>
          <w:szCs w:val="18"/>
        </w:rPr>
      </w:pPr>
      <w:r>
        <w:rPr>
          <w:rFonts w:ascii="Verdana" w:hAnsi="Verdana"/>
          <w:sz w:val="18"/>
          <w:szCs w:val="18"/>
        </w:rPr>
        <w:t>Het is mij</w:t>
      </w:r>
      <w:r w:rsidRPr="003D47A9" w:rsidR="00B46872">
        <w:rPr>
          <w:rFonts w:ascii="Verdana" w:hAnsi="Verdana"/>
          <w:sz w:val="18"/>
          <w:szCs w:val="18"/>
        </w:rPr>
        <w:t xml:space="preserve"> bekend dat het huidige Pachtprijzenbesluit 2007 de nodige discussies geeft. Het systeem is uitermate ingewikkeld en de totstandkoming kent een lange geschiedenis. Ik </w:t>
      </w:r>
      <w:r>
        <w:rPr>
          <w:rFonts w:ascii="Verdana" w:hAnsi="Verdana"/>
          <w:sz w:val="18"/>
          <w:szCs w:val="18"/>
        </w:rPr>
        <w:t xml:space="preserve">streef ernaar </w:t>
      </w:r>
      <w:r w:rsidRPr="003D47A9" w:rsidR="00B46872">
        <w:rPr>
          <w:rFonts w:ascii="Verdana" w:hAnsi="Verdana"/>
          <w:sz w:val="18"/>
          <w:szCs w:val="18"/>
        </w:rPr>
        <w:t>om deze systematiek zo eenvoudig mogelijk te houden waar</w:t>
      </w:r>
      <w:r w:rsidR="00B46872">
        <w:rPr>
          <w:rFonts w:ascii="Verdana" w:hAnsi="Verdana"/>
          <w:sz w:val="18"/>
          <w:szCs w:val="18"/>
        </w:rPr>
        <w:t xml:space="preserve">bij de belangen van betrokkenen </w:t>
      </w:r>
      <w:r w:rsidRPr="003D47A9" w:rsidR="00B46872">
        <w:rPr>
          <w:rFonts w:ascii="Verdana" w:hAnsi="Verdana"/>
          <w:sz w:val="18"/>
          <w:szCs w:val="18"/>
        </w:rPr>
        <w:t>zoveel mogelijk tot hun recht komen.</w:t>
      </w:r>
    </w:p>
    <w:p w:rsidR="00B46872" w:rsidP="009E62AF" w:rsidRDefault="00B46872" w14:paraId="23FA3905" w14:textId="77777777">
      <w:pPr>
        <w:pStyle w:val="Geenafstand"/>
        <w:spacing w:line="240" w:lineRule="atLeast"/>
        <w:rPr>
          <w:rFonts w:ascii="Verdana" w:hAnsi="Verdana"/>
          <w:sz w:val="18"/>
          <w:szCs w:val="18"/>
        </w:rPr>
      </w:pPr>
    </w:p>
    <w:p w:rsidR="00B46872" w:rsidP="009E62AF" w:rsidRDefault="00B46872" w14:paraId="6E8C2252" w14:textId="1237494B">
      <w:pPr>
        <w:rPr>
          <w:rStyle w:val="Zwaar"/>
          <w:b w:val="0"/>
          <w:bCs w:val="0"/>
        </w:rPr>
      </w:pPr>
      <w:r>
        <w:rPr>
          <w:rFonts w:cs="Arial"/>
          <w:szCs w:val="18"/>
        </w:rPr>
        <w:t xml:space="preserve">Momenteel ben ik bezig met de herziening van de pachtregelgeving, onderdeel hiervan is de herziening van het Pachtprijzenbesluit 2007. </w:t>
      </w:r>
      <w:r w:rsidR="00AE6B9C">
        <w:rPr>
          <w:rFonts w:cs="Arial"/>
          <w:szCs w:val="18"/>
        </w:rPr>
        <w:t xml:space="preserve">Hier wordt u nader over geïnformeerd. </w:t>
      </w:r>
      <w:r>
        <w:rPr>
          <w:rFonts w:cs="Arial"/>
          <w:szCs w:val="18"/>
        </w:rPr>
        <w:t xml:space="preserve"> </w:t>
      </w:r>
      <w:r w:rsidRPr="00683FEB">
        <w:rPr>
          <w:szCs w:val="18"/>
        </w:rPr>
        <w:br/>
      </w:r>
    </w:p>
    <w:p w:rsidR="00B46872" w:rsidP="009E62AF" w:rsidRDefault="00B46872" w14:paraId="25BE5E78" w14:textId="77777777">
      <w:pPr>
        <w:rPr>
          <w:rStyle w:val="Zwaar"/>
          <w:b w:val="0"/>
          <w:bCs w:val="0"/>
        </w:rPr>
      </w:pPr>
    </w:p>
    <w:sectPr w:rsidR="00B4687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38D1" w14:textId="77777777" w:rsidR="00837B49" w:rsidRDefault="00837B49">
      <w:r>
        <w:separator/>
      </w:r>
    </w:p>
    <w:p w14:paraId="50B08E41" w14:textId="77777777" w:rsidR="00837B49" w:rsidRDefault="00837B49"/>
  </w:endnote>
  <w:endnote w:type="continuationSeparator" w:id="0">
    <w:p w14:paraId="73719E74" w14:textId="77777777" w:rsidR="00837B49" w:rsidRDefault="00837B49">
      <w:r>
        <w:continuationSeparator/>
      </w:r>
    </w:p>
    <w:p w14:paraId="68D8CAD0" w14:textId="77777777" w:rsidR="00837B49" w:rsidRDefault="00837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252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176C" w14:paraId="635D3F98" w14:textId="77777777" w:rsidTr="00CA6A25">
      <w:trPr>
        <w:trHeight w:hRule="exact" w:val="240"/>
      </w:trPr>
      <w:tc>
        <w:tcPr>
          <w:tcW w:w="7601" w:type="dxa"/>
          <w:shd w:val="clear" w:color="auto" w:fill="auto"/>
        </w:tcPr>
        <w:p w14:paraId="2046908E" w14:textId="77777777" w:rsidR="00527BD4" w:rsidRDefault="00527BD4" w:rsidP="003F1F6B">
          <w:pPr>
            <w:pStyle w:val="Huisstijl-Rubricering"/>
          </w:pPr>
        </w:p>
      </w:tc>
      <w:tc>
        <w:tcPr>
          <w:tcW w:w="2156" w:type="dxa"/>
        </w:tcPr>
        <w:p w14:paraId="4E245853" w14:textId="7DC52BA3" w:rsidR="00527BD4" w:rsidRPr="00645414" w:rsidRDefault="00266A9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2C5F11">
              <w:t>4</w:t>
            </w:r>
          </w:fldSimple>
        </w:p>
      </w:tc>
    </w:tr>
  </w:tbl>
  <w:p w14:paraId="0B5D831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176C" w14:paraId="01D21E5E" w14:textId="77777777" w:rsidTr="00CA6A25">
      <w:trPr>
        <w:trHeight w:hRule="exact" w:val="240"/>
      </w:trPr>
      <w:tc>
        <w:tcPr>
          <w:tcW w:w="7601" w:type="dxa"/>
          <w:shd w:val="clear" w:color="auto" w:fill="auto"/>
        </w:tcPr>
        <w:p w14:paraId="28E40E38" w14:textId="77777777" w:rsidR="00527BD4" w:rsidRDefault="00527BD4" w:rsidP="008C356D">
          <w:pPr>
            <w:pStyle w:val="Huisstijl-Rubricering"/>
          </w:pPr>
        </w:p>
      </w:tc>
      <w:tc>
        <w:tcPr>
          <w:tcW w:w="2170" w:type="dxa"/>
        </w:tcPr>
        <w:p w14:paraId="50024306" w14:textId="199192FF" w:rsidR="00527BD4" w:rsidRPr="00ED539E" w:rsidRDefault="00266A9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2C5F11">
              <w:t>4</w:t>
            </w:r>
          </w:fldSimple>
        </w:p>
      </w:tc>
    </w:tr>
  </w:tbl>
  <w:p w14:paraId="74E39FD0" w14:textId="77777777" w:rsidR="00527BD4" w:rsidRPr="00BC3B53" w:rsidRDefault="00527BD4" w:rsidP="008C356D">
    <w:pPr>
      <w:pStyle w:val="Voettekst"/>
      <w:spacing w:line="240" w:lineRule="auto"/>
      <w:rPr>
        <w:sz w:val="2"/>
        <w:szCs w:val="2"/>
      </w:rPr>
    </w:pPr>
  </w:p>
  <w:p w14:paraId="5B76DA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8F24" w14:textId="77777777" w:rsidR="00837B49" w:rsidRDefault="00837B49">
      <w:r>
        <w:separator/>
      </w:r>
    </w:p>
    <w:p w14:paraId="63F44C24" w14:textId="77777777" w:rsidR="00837B49" w:rsidRDefault="00837B49"/>
  </w:footnote>
  <w:footnote w:type="continuationSeparator" w:id="0">
    <w:p w14:paraId="3304031E" w14:textId="77777777" w:rsidR="00837B49" w:rsidRDefault="00837B49">
      <w:r>
        <w:continuationSeparator/>
      </w:r>
    </w:p>
    <w:p w14:paraId="3BF87429" w14:textId="77777777" w:rsidR="00837B49" w:rsidRDefault="00837B49"/>
  </w:footnote>
  <w:footnote w:id="1">
    <w:p w14:paraId="43D5A564" w14:textId="77777777" w:rsidR="009E62AF" w:rsidRPr="009E62AF" w:rsidRDefault="009E62AF" w:rsidP="009E62AF">
      <w:pPr>
        <w:pStyle w:val="Voetnoottekst"/>
        <w:rPr>
          <w:szCs w:val="13"/>
          <w:lang w:val="en-US"/>
        </w:rPr>
      </w:pPr>
      <w:r>
        <w:rPr>
          <w:rStyle w:val="Voetnootmarkering"/>
        </w:rPr>
        <w:footnoteRef/>
      </w:r>
      <w:r w:rsidRPr="009E62AF">
        <w:rPr>
          <w:lang w:val="en-US"/>
        </w:rPr>
        <w:t xml:space="preserve"> </w:t>
      </w:r>
      <w:r w:rsidRPr="009E62AF">
        <w:rPr>
          <w:szCs w:val="13"/>
          <w:lang w:val="en-US"/>
        </w:rPr>
        <w:t xml:space="preserve">Sample for the Dutch FADN 2021,(Wageningen Economic Research, </w:t>
      </w:r>
      <w:proofErr w:type="spellStart"/>
      <w:r w:rsidRPr="009E62AF">
        <w:rPr>
          <w:szCs w:val="13"/>
          <w:lang w:val="en-US"/>
        </w:rPr>
        <w:t>december</w:t>
      </w:r>
      <w:proofErr w:type="spellEnd"/>
      <w:r w:rsidRPr="009E62AF">
        <w:rPr>
          <w:szCs w:val="13"/>
          <w:lang w:val="en-US"/>
        </w:rPr>
        <w:t xml:space="preserve"> 2024) </w:t>
      </w:r>
      <w:hyperlink r:id="rId1" w:history="1">
        <w:r w:rsidRPr="009E62AF">
          <w:rPr>
            <w:rStyle w:val="Hyperlink"/>
            <w:color w:val="auto"/>
            <w:szCs w:val="13"/>
            <w:lang w:val="en-US"/>
          </w:rPr>
          <w:t>https://edepot.wur.nl/680331</w:t>
        </w:r>
      </w:hyperlink>
    </w:p>
    <w:p w14:paraId="3965BEF5" w14:textId="7636BDE0" w:rsidR="009E62AF" w:rsidRPr="009E62AF" w:rsidRDefault="009E62AF" w:rsidP="009E62AF">
      <w:pPr>
        <w:pStyle w:val="Voetnoottekst"/>
        <w:rPr>
          <w:lang w:val="en-US"/>
        </w:rPr>
      </w:pPr>
      <w:r w:rsidRPr="009E62AF">
        <w:rPr>
          <w:szCs w:val="13"/>
          <w:lang w:val="en-US"/>
        </w:rPr>
        <w:t xml:space="preserve">Sample for the Dutch FADN 2020, (Wageningen Economic Research, </w:t>
      </w:r>
      <w:proofErr w:type="spellStart"/>
      <w:r w:rsidRPr="009E62AF">
        <w:rPr>
          <w:szCs w:val="13"/>
          <w:lang w:val="en-US"/>
        </w:rPr>
        <w:t>november</w:t>
      </w:r>
      <w:proofErr w:type="spellEnd"/>
      <w:r w:rsidRPr="009E62AF">
        <w:rPr>
          <w:szCs w:val="13"/>
          <w:lang w:val="en-US"/>
        </w:rPr>
        <w:t xml:space="preserve"> 2022) </w:t>
      </w:r>
      <w:hyperlink r:id="rId2" w:history="1">
        <w:r w:rsidRPr="009E62AF">
          <w:rPr>
            <w:rStyle w:val="Hyperlink"/>
            <w:color w:val="auto"/>
            <w:szCs w:val="13"/>
            <w:lang w:val="en-US"/>
          </w:rPr>
          <w:t>https://edepot.wur.nl/581563</w:t>
        </w:r>
      </w:hyperlink>
    </w:p>
  </w:footnote>
  <w:footnote w:id="2">
    <w:p w14:paraId="71678D9B" w14:textId="51C23C7F" w:rsidR="00B46872" w:rsidRPr="009E62AF" w:rsidRDefault="00B46872" w:rsidP="00B46872">
      <w:pPr>
        <w:pStyle w:val="Voetnoottekst"/>
        <w:rPr>
          <w:szCs w:val="13"/>
        </w:rPr>
      </w:pPr>
      <w:r w:rsidRPr="009E62AF">
        <w:rPr>
          <w:rStyle w:val="Voetnootmarkering"/>
          <w:rFonts w:eastAsiaTheme="majorEastAsia"/>
          <w:szCs w:val="13"/>
        </w:rPr>
        <w:footnoteRef/>
      </w:r>
      <w:r w:rsidRPr="009E62AF">
        <w:rPr>
          <w:szCs w:val="13"/>
        </w:rPr>
        <w:t xml:space="preserve"> </w:t>
      </w:r>
      <w:r w:rsidR="00CB1E6B" w:rsidRPr="009E62AF">
        <w:rPr>
          <w:szCs w:val="13"/>
        </w:rPr>
        <w:t xml:space="preserve">Poppe 2004, p.25, </w:t>
      </w:r>
      <w:hyperlink r:id="rId3" w:history="1">
        <w:r w:rsidR="00CB1E6B" w:rsidRPr="009E62AF">
          <w:rPr>
            <w:rStyle w:val="Hyperlink"/>
            <w:color w:val="auto"/>
            <w:szCs w:val="13"/>
          </w:rPr>
          <w:t>https://edepot.wur.33033</w:t>
        </w:r>
      </w:hyperlink>
      <w:r w:rsidR="00CB1E6B" w:rsidRPr="009E62AF">
        <w:rPr>
          <w:szCs w:val="13"/>
        </w:rPr>
        <w:t xml:space="preserve"> en </w:t>
      </w:r>
      <w:r w:rsidRPr="009E62AF">
        <w:rPr>
          <w:szCs w:val="13"/>
        </w:rPr>
        <w:t xml:space="preserve">Vrolijk en </w:t>
      </w:r>
      <w:proofErr w:type="spellStart"/>
      <w:r w:rsidRPr="009E62AF">
        <w:rPr>
          <w:szCs w:val="13"/>
        </w:rPr>
        <w:t>Cotteleer</w:t>
      </w:r>
      <w:proofErr w:type="spellEnd"/>
      <w:r w:rsidRPr="009E62AF">
        <w:rPr>
          <w:szCs w:val="13"/>
        </w:rPr>
        <w:t>, 2005,</w:t>
      </w:r>
      <w:r w:rsidRPr="009E62AF">
        <w:rPr>
          <w:i/>
          <w:iCs/>
          <w:szCs w:val="13"/>
        </w:rPr>
        <w:t xml:space="preserve"> </w:t>
      </w:r>
      <w:hyperlink r:id="rId4" w:history="1">
        <w:r w:rsidRPr="009E62AF">
          <w:rPr>
            <w:rStyle w:val="Hyperlink"/>
            <w:rFonts w:eastAsiaTheme="majorEastAsia"/>
            <w:color w:val="auto"/>
            <w:szCs w:val="13"/>
          </w:rPr>
          <w:t>https://edepot.wur.nl/18175</w:t>
        </w:r>
      </w:hyperlink>
    </w:p>
  </w:footnote>
  <w:footnote w:id="3">
    <w:p w14:paraId="13645A26" w14:textId="77777777" w:rsidR="00106310" w:rsidRPr="009E62AF" w:rsidRDefault="00106310" w:rsidP="00106310">
      <w:pPr>
        <w:pStyle w:val="Voetnoottekst"/>
        <w:rPr>
          <w:szCs w:val="13"/>
          <w:lang w:val="en-US"/>
        </w:rPr>
      </w:pPr>
      <w:r w:rsidRPr="009E62AF">
        <w:rPr>
          <w:rStyle w:val="Voetnootmarkering"/>
          <w:szCs w:val="13"/>
        </w:rPr>
        <w:footnoteRef/>
      </w:r>
      <w:r w:rsidRPr="009E62AF">
        <w:rPr>
          <w:szCs w:val="13"/>
          <w:lang w:val="en-US"/>
        </w:rPr>
        <w:t xml:space="preserve"> Sample for the Dutch FADN 2021,(Wageningen Economic Research, </w:t>
      </w:r>
      <w:proofErr w:type="spellStart"/>
      <w:r w:rsidRPr="009E62AF">
        <w:rPr>
          <w:szCs w:val="13"/>
          <w:lang w:val="en-US"/>
        </w:rPr>
        <w:t>december</w:t>
      </w:r>
      <w:proofErr w:type="spellEnd"/>
      <w:r w:rsidRPr="009E62AF">
        <w:rPr>
          <w:szCs w:val="13"/>
          <w:lang w:val="en-US"/>
        </w:rPr>
        <w:t xml:space="preserve"> 2024) </w:t>
      </w:r>
      <w:hyperlink r:id="rId5" w:history="1">
        <w:r w:rsidRPr="009E62AF">
          <w:rPr>
            <w:rStyle w:val="Hyperlink"/>
            <w:color w:val="auto"/>
            <w:szCs w:val="13"/>
            <w:lang w:val="en-US"/>
          </w:rPr>
          <w:t>https://edepot.wur.nl/680331</w:t>
        </w:r>
      </w:hyperlink>
    </w:p>
    <w:p w14:paraId="0BE3188F" w14:textId="77777777" w:rsidR="00106310" w:rsidRPr="009E62AF" w:rsidRDefault="00106310" w:rsidP="00106310">
      <w:pPr>
        <w:pStyle w:val="Voetnoottekst"/>
        <w:rPr>
          <w:szCs w:val="13"/>
          <w:lang w:val="en-US"/>
        </w:rPr>
      </w:pPr>
      <w:r w:rsidRPr="009E62AF">
        <w:rPr>
          <w:szCs w:val="13"/>
          <w:lang w:val="en-US"/>
        </w:rPr>
        <w:t xml:space="preserve">Sample for the Dutch FADN 2020, (Wageningen Economic Research, </w:t>
      </w:r>
      <w:proofErr w:type="spellStart"/>
      <w:r w:rsidRPr="009E62AF">
        <w:rPr>
          <w:szCs w:val="13"/>
          <w:lang w:val="en-US"/>
        </w:rPr>
        <w:t>november</w:t>
      </w:r>
      <w:proofErr w:type="spellEnd"/>
      <w:r w:rsidRPr="009E62AF">
        <w:rPr>
          <w:szCs w:val="13"/>
          <w:lang w:val="en-US"/>
        </w:rPr>
        <w:t xml:space="preserve"> 2022) </w:t>
      </w:r>
      <w:hyperlink r:id="rId6" w:history="1">
        <w:r w:rsidRPr="009E62AF">
          <w:rPr>
            <w:rStyle w:val="Hyperlink"/>
            <w:color w:val="auto"/>
            <w:szCs w:val="13"/>
            <w:lang w:val="en-US"/>
          </w:rPr>
          <w:t>https://edepot.wur.nl/581563</w:t>
        </w:r>
      </w:hyperlink>
    </w:p>
    <w:p w14:paraId="46960A65" w14:textId="2231D4A2" w:rsidR="00106310" w:rsidRPr="009E62AF" w:rsidRDefault="00106310">
      <w:pPr>
        <w:pStyle w:val="Voetnoottekst"/>
        <w:rPr>
          <w:szCs w:val="13"/>
          <w:lang w:val="en-US"/>
        </w:rPr>
      </w:pPr>
    </w:p>
  </w:footnote>
  <w:footnote w:id="4">
    <w:p w14:paraId="3EA2419B" w14:textId="033432BC" w:rsidR="00B46872" w:rsidRPr="009E62AF" w:rsidRDefault="00B46872">
      <w:pPr>
        <w:pStyle w:val="Voetnoottekst"/>
        <w:rPr>
          <w:szCs w:val="13"/>
        </w:rPr>
      </w:pPr>
      <w:r w:rsidRPr="009E62AF">
        <w:rPr>
          <w:rStyle w:val="Voetnootmarkering"/>
          <w:szCs w:val="13"/>
        </w:rPr>
        <w:footnoteRef/>
      </w:r>
      <w:r w:rsidRPr="009E62AF">
        <w:rPr>
          <w:szCs w:val="13"/>
        </w:rPr>
        <w:t xml:space="preserve"> </w:t>
      </w:r>
      <w:hyperlink r:id="rId7" w:history="1">
        <w:r w:rsidRPr="009E62AF">
          <w:rPr>
            <w:rStyle w:val="Hyperlink"/>
            <w:rFonts w:eastAsiaTheme="majorEastAsia"/>
            <w:color w:val="auto"/>
            <w:szCs w:val="13"/>
          </w:rPr>
          <w:t>rapport Commissie pachtnormen II (wur.nl)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176C" w14:paraId="38AC7B96" w14:textId="77777777" w:rsidTr="00A50CF6">
      <w:tc>
        <w:tcPr>
          <w:tcW w:w="2156" w:type="dxa"/>
          <w:shd w:val="clear" w:color="auto" w:fill="auto"/>
        </w:tcPr>
        <w:p w14:paraId="23B382C5" w14:textId="47717BD9" w:rsidR="00527BD4" w:rsidRPr="005819CE" w:rsidRDefault="00266A97" w:rsidP="00A50CF6">
          <w:pPr>
            <w:pStyle w:val="Huisstijl-Adres"/>
            <w:rPr>
              <w:b/>
            </w:rPr>
          </w:pPr>
          <w:r>
            <w:rPr>
              <w:b/>
            </w:rPr>
            <w:t>Directoraat-generaal Agro</w:t>
          </w:r>
          <w:r w:rsidRPr="005819CE">
            <w:rPr>
              <w:b/>
            </w:rPr>
            <w:br/>
          </w:r>
          <w:r>
            <w:t xml:space="preserve">Directie Europees, Internationaal en Agro economisch beleid </w:t>
          </w:r>
        </w:p>
      </w:tc>
    </w:tr>
    <w:tr w:rsidR="003B176C" w14:paraId="4DBA270C" w14:textId="77777777" w:rsidTr="00A50CF6">
      <w:trPr>
        <w:trHeight w:hRule="exact" w:val="200"/>
      </w:trPr>
      <w:tc>
        <w:tcPr>
          <w:tcW w:w="2156" w:type="dxa"/>
          <w:shd w:val="clear" w:color="auto" w:fill="auto"/>
        </w:tcPr>
        <w:p w14:paraId="4C0DEFED" w14:textId="77777777" w:rsidR="00527BD4" w:rsidRPr="005819CE" w:rsidRDefault="00527BD4" w:rsidP="00A50CF6"/>
      </w:tc>
    </w:tr>
    <w:tr w:rsidR="003B176C" w14:paraId="33825599" w14:textId="77777777" w:rsidTr="00502512">
      <w:trPr>
        <w:trHeight w:hRule="exact" w:val="774"/>
      </w:trPr>
      <w:tc>
        <w:tcPr>
          <w:tcW w:w="2156" w:type="dxa"/>
          <w:shd w:val="clear" w:color="auto" w:fill="auto"/>
        </w:tcPr>
        <w:p w14:paraId="7978C9ED" w14:textId="77777777" w:rsidR="00527BD4" w:rsidRDefault="00266A97" w:rsidP="003A5290">
          <w:pPr>
            <w:pStyle w:val="Huisstijl-Kopje"/>
          </w:pPr>
          <w:r>
            <w:t>Ons kenmerk</w:t>
          </w:r>
        </w:p>
        <w:p w14:paraId="29E78FBF" w14:textId="3FAB4091" w:rsidR="00527BD4" w:rsidRPr="005819CE" w:rsidRDefault="00266A97" w:rsidP="001E6117">
          <w:pPr>
            <w:pStyle w:val="Huisstijl-Kopje"/>
          </w:pPr>
          <w:r>
            <w:rPr>
              <w:b w:val="0"/>
            </w:rPr>
            <w:t>DGA-EIA</w:t>
          </w:r>
          <w:r w:rsidRPr="00502512">
            <w:rPr>
              <w:b w:val="0"/>
            </w:rPr>
            <w:t xml:space="preserve"> / </w:t>
          </w:r>
          <w:r w:rsidR="009E62AF" w:rsidRPr="009E62AF">
            <w:rPr>
              <w:b w:val="0"/>
            </w:rPr>
            <w:t>98421373</w:t>
          </w:r>
        </w:p>
      </w:tc>
    </w:tr>
  </w:tbl>
  <w:p w14:paraId="2A1AA5CD" w14:textId="77777777" w:rsidR="00527BD4" w:rsidRDefault="00527BD4" w:rsidP="008C356D"/>
  <w:p w14:paraId="5B576D6E" w14:textId="77777777" w:rsidR="00527BD4" w:rsidRPr="00740712" w:rsidRDefault="00527BD4" w:rsidP="008C356D"/>
  <w:p w14:paraId="440E0B7F" w14:textId="77777777" w:rsidR="00527BD4" w:rsidRPr="00217880" w:rsidRDefault="00527BD4" w:rsidP="008C356D">
    <w:pPr>
      <w:spacing w:line="0" w:lineRule="atLeast"/>
      <w:rPr>
        <w:sz w:val="2"/>
        <w:szCs w:val="2"/>
      </w:rPr>
    </w:pPr>
  </w:p>
  <w:p w14:paraId="69DBEE9C" w14:textId="77777777" w:rsidR="00527BD4" w:rsidRDefault="00527BD4" w:rsidP="004F44C2">
    <w:pPr>
      <w:pStyle w:val="Koptekst"/>
      <w:rPr>
        <w:rFonts w:cs="Verdana-Bold"/>
        <w:b/>
        <w:bCs/>
        <w:smallCaps/>
        <w:szCs w:val="18"/>
      </w:rPr>
    </w:pPr>
  </w:p>
  <w:p w14:paraId="355DD0F5" w14:textId="77777777" w:rsidR="00527BD4" w:rsidRDefault="00527BD4" w:rsidP="004F44C2"/>
  <w:p w14:paraId="6B260B43" w14:textId="77777777" w:rsidR="00527BD4" w:rsidRPr="00740712" w:rsidRDefault="00527BD4" w:rsidP="004F44C2"/>
  <w:p w14:paraId="2D8AF56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176C" w14:paraId="73EAD541" w14:textId="77777777" w:rsidTr="00751A6A">
      <w:trPr>
        <w:trHeight w:val="2636"/>
      </w:trPr>
      <w:tc>
        <w:tcPr>
          <w:tcW w:w="737" w:type="dxa"/>
          <w:shd w:val="clear" w:color="auto" w:fill="auto"/>
        </w:tcPr>
        <w:p w14:paraId="055DEF1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FA97541" w14:textId="77777777" w:rsidR="00527BD4" w:rsidRDefault="00266A97"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5BF89E6" wp14:editId="101A152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3043826" w14:textId="77777777" w:rsidR="003E0C4D" w:rsidRDefault="003E0C4D" w:rsidP="00D0609E">
          <w:pPr>
            <w:framePr w:w="6340" w:h="2750" w:hRule="exact" w:hSpace="180" w:wrap="around" w:vAnchor="page" w:hAnchor="text" w:x="3873" w:y="-140"/>
            <w:spacing w:line="240" w:lineRule="auto"/>
          </w:pPr>
        </w:p>
      </w:tc>
    </w:tr>
  </w:tbl>
  <w:p w14:paraId="13041B72" w14:textId="77777777" w:rsidR="00527BD4" w:rsidRDefault="00527BD4" w:rsidP="00D0609E">
    <w:pPr>
      <w:framePr w:w="6340" w:h="2750" w:hRule="exact" w:hSpace="180" w:wrap="around" w:vAnchor="page" w:hAnchor="text" w:x="3873" w:y="-140"/>
    </w:pPr>
  </w:p>
  <w:p w14:paraId="1F9DAF9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176C" w14:paraId="0DA595D7" w14:textId="77777777" w:rsidTr="00A50CF6">
      <w:tc>
        <w:tcPr>
          <w:tcW w:w="2160" w:type="dxa"/>
          <w:shd w:val="clear" w:color="auto" w:fill="auto"/>
        </w:tcPr>
        <w:p w14:paraId="7F652EA1" w14:textId="77777777" w:rsidR="00527BD4" w:rsidRPr="005819CE" w:rsidRDefault="00266A97" w:rsidP="00A50CF6">
          <w:pPr>
            <w:pStyle w:val="Huisstijl-Adres"/>
            <w:rPr>
              <w:b/>
            </w:rPr>
          </w:pPr>
          <w:r>
            <w:rPr>
              <w:b/>
            </w:rPr>
            <w:t>Directoraat-generaal Agro</w:t>
          </w:r>
          <w:r w:rsidRPr="005819CE">
            <w:rPr>
              <w:b/>
            </w:rPr>
            <w:br/>
          </w:r>
          <w:r>
            <w:t xml:space="preserve">Directie Europees, Internationaal en Agro economisch beleid </w:t>
          </w:r>
        </w:p>
        <w:p w14:paraId="67BAD856" w14:textId="77777777" w:rsidR="00527BD4" w:rsidRPr="00BE5ED9" w:rsidRDefault="00266A97" w:rsidP="00A50CF6">
          <w:pPr>
            <w:pStyle w:val="Huisstijl-Adres"/>
          </w:pPr>
          <w:r>
            <w:rPr>
              <w:b/>
            </w:rPr>
            <w:t>Bezoekadres</w:t>
          </w:r>
          <w:r>
            <w:rPr>
              <w:b/>
            </w:rPr>
            <w:br/>
          </w:r>
          <w:r>
            <w:t>Bezuidenhoutseweg 73</w:t>
          </w:r>
          <w:r w:rsidRPr="005819CE">
            <w:br/>
          </w:r>
          <w:r>
            <w:t>2594 AC Den Haag</w:t>
          </w:r>
        </w:p>
        <w:p w14:paraId="060A5335" w14:textId="77777777" w:rsidR="00EF495B" w:rsidRDefault="00266A97" w:rsidP="0098788A">
          <w:pPr>
            <w:pStyle w:val="Huisstijl-Adres"/>
          </w:pPr>
          <w:r>
            <w:rPr>
              <w:b/>
            </w:rPr>
            <w:t>Postadres</w:t>
          </w:r>
          <w:r>
            <w:rPr>
              <w:b/>
            </w:rPr>
            <w:br/>
          </w:r>
          <w:r>
            <w:t>Postbus 20401</w:t>
          </w:r>
          <w:r w:rsidRPr="005819CE">
            <w:br/>
            <w:t>2500 E</w:t>
          </w:r>
          <w:r>
            <w:t>K</w:t>
          </w:r>
          <w:r w:rsidRPr="005819CE">
            <w:t xml:space="preserve"> Den Haag</w:t>
          </w:r>
        </w:p>
        <w:p w14:paraId="5526C450" w14:textId="77777777" w:rsidR="00556BEE" w:rsidRPr="005B3814" w:rsidRDefault="00266A97" w:rsidP="0098788A">
          <w:pPr>
            <w:pStyle w:val="Huisstijl-Adres"/>
          </w:pPr>
          <w:r>
            <w:rPr>
              <w:b/>
            </w:rPr>
            <w:t>Overheidsidentificatienr</w:t>
          </w:r>
          <w:r>
            <w:rPr>
              <w:b/>
            </w:rPr>
            <w:br/>
          </w:r>
          <w:r w:rsidR="00BA129E">
            <w:rPr>
              <w:rFonts w:cs="Agrofont"/>
              <w:iCs/>
            </w:rPr>
            <w:t>00000001858272854000</w:t>
          </w:r>
        </w:p>
        <w:p w14:paraId="37B74A2E" w14:textId="7F03A026" w:rsidR="00527BD4" w:rsidRPr="009E62AF" w:rsidRDefault="00266A9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B176C" w14:paraId="45458E37" w14:textId="77777777" w:rsidTr="00A50CF6">
      <w:trPr>
        <w:trHeight w:hRule="exact" w:val="200"/>
      </w:trPr>
      <w:tc>
        <w:tcPr>
          <w:tcW w:w="2160" w:type="dxa"/>
          <w:shd w:val="clear" w:color="auto" w:fill="auto"/>
        </w:tcPr>
        <w:p w14:paraId="24720564" w14:textId="77777777" w:rsidR="00527BD4" w:rsidRPr="005819CE" w:rsidRDefault="00527BD4" w:rsidP="00A50CF6"/>
      </w:tc>
    </w:tr>
    <w:tr w:rsidR="003B176C" w14:paraId="5C59398A" w14:textId="77777777" w:rsidTr="00A50CF6">
      <w:tc>
        <w:tcPr>
          <w:tcW w:w="2160" w:type="dxa"/>
          <w:shd w:val="clear" w:color="auto" w:fill="auto"/>
        </w:tcPr>
        <w:p w14:paraId="186DB95C" w14:textId="77777777" w:rsidR="000C0163" w:rsidRPr="005819CE" w:rsidRDefault="00266A97" w:rsidP="000C0163">
          <w:pPr>
            <w:pStyle w:val="Huisstijl-Kopje"/>
          </w:pPr>
          <w:r>
            <w:t>Ons kenmerk</w:t>
          </w:r>
          <w:r w:rsidRPr="005819CE">
            <w:t xml:space="preserve"> </w:t>
          </w:r>
        </w:p>
        <w:p w14:paraId="446CCF0B" w14:textId="77777777" w:rsidR="000C0163" w:rsidRPr="005819CE" w:rsidRDefault="00266A97" w:rsidP="000C0163">
          <w:pPr>
            <w:pStyle w:val="Huisstijl-Gegeven"/>
          </w:pPr>
          <w:r>
            <w:t>DGA-EIA /</w:t>
          </w:r>
          <w:r w:rsidR="00CC7BA8">
            <w:t xml:space="preserve"> </w:t>
          </w:r>
          <w:r>
            <w:t>98421373</w:t>
          </w:r>
        </w:p>
        <w:p w14:paraId="1D4FC3EC" w14:textId="77777777" w:rsidR="00527BD4" w:rsidRPr="005819CE" w:rsidRDefault="00266A97" w:rsidP="00A50CF6">
          <w:pPr>
            <w:pStyle w:val="Huisstijl-Kopje"/>
          </w:pPr>
          <w:r>
            <w:t>Uw kenmerk</w:t>
          </w:r>
        </w:p>
        <w:p w14:paraId="02D043F9" w14:textId="370DD255" w:rsidR="00527BD4" w:rsidRPr="005819CE" w:rsidRDefault="00266A97" w:rsidP="009E62AF">
          <w:pPr>
            <w:pStyle w:val="Huisstijl-Gegeven"/>
          </w:pPr>
          <w:r>
            <w:t>2025Z06726</w:t>
          </w:r>
        </w:p>
        <w:p w14:paraId="0ACC5804" w14:textId="77777777" w:rsidR="00527BD4" w:rsidRPr="005819CE" w:rsidRDefault="00527BD4" w:rsidP="00A50CF6">
          <w:pPr>
            <w:pStyle w:val="Huisstijl-Gegeven"/>
          </w:pPr>
        </w:p>
      </w:tc>
    </w:tr>
  </w:tbl>
  <w:p w14:paraId="66015AC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176C" w:rsidRPr="00F4070E" w14:paraId="154700AD" w14:textId="77777777" w:rsidTr="009E2051">
      <w:trPr>
        <w:trHeight w:val="400"/>
      </w:trPr>
      <w:tc>
        <w:tcPr>
          <w:tcW w:w="7520" w:type="dxa"/>
          <w:gridSpan w:val="2"/>
          <w:shd w:val="clear" w:color="auto" w:fill="auto"/>
        </w:tcPr>
        <w:p w14:paraId="5D049EA5" w14:textId="77777777" w:rsidR="00527BD4" w:rsidRPr="00B46872" w:rsidRDefault="00266A97" w:rsidP="00A50CF6">
          <w:pPr>
            <w:pStyle w:val="Huisstijl-Retouradres"/>
            <w:rPr>
              <w:lang w:val="de-DE"/>
            </w:rPr>
          </w:pPr>
          <w:r w:rsidRPr="00B46872">
            <w:rPr>
              <w:lang w:val="de-DE"/>
            </w:rPr>
            <w:t>&gt; Retouradres Postbus 20401 2500 EK Den Haag</w:t>
          </w:r>
        </w:p>
      </w:tc>
    </w:tr>
    <w:tr w:rsidR="003B176C" w:rsidRPr="00F4070E" w14:paraId="567D60D8" w14:textId="77777777" w:rsidTr="009E2051">
      <w:tc>
        <w:tcPr>
          <w:tcW w:w="7520" w:type="dxa"/>
          <w:gridSpan w:val="2"/>
          <w:shd w:val="clear" w:color="auto" w:fill="auto"/>
        </w:tcPr>
        <w:p w14:paraId="5FF1B36E" w14:textId="77777777" w:rsidR="00527BD4" w:rsidRPr="00B46872" w:rsidRDefault="00527BD4" w:rsidP="00A50CF6">
          <w:pPr>
            <w:pStyle w:val="Huisstijl-Rubricering"/>
            <w:rPr>
              <w:lang w:val="de-DE"/>
            </w:rPr>
          </w:pPr>
        </w:p>
      </w:tc>
    </w:tr>
    <w:tr w:rsidR="003B176C" w14:paraId="657987BC" w14:textId="77777777" w:rsidTr="009E2051">
      <w:trPr>
        <w:trHeight w:hRule="exact" w:val="2440"/>
      </w:trPr>
      <w:tc>
        <w:tcPr>
          <w:tcW w:w="7520" w:type="dxa"/>
          <w:gridSpan w:val="2"/>
          <w:shd w:val="clear" w:color="auto" w:fill="auto"/>
        </w:tcPr>
        <w:p w14:paraId="22F92F2A" w14:textId="77777777" w:rsidR="00527BD4" w:rsidRDefault="00266A97" w:rsidP="00A50CF6">
          <w:pPr>
            <w:pStyle w:val="Huisstijl-NAW"/>
          </w:pPr>
          <w:r>
            <w:t xml:space="preserve">De Voorzitter van de Tweede Kamer </w:t>
          </w:r>
        </w:p>
        <w:p w14:paraId="4C9318ED" w14:textId="77777777" w:rsidR="00D87195" w:rsidRDefault="00266A97" w:rsidP="00D87195">
          <w:pPr>
            <w:pStyle w:val="Huisstijl-NAW"/>
          </w:pPr>
          <w:r>
            <w:t>der Staten-Generaal</w:t>
          </w:r>
        </w:p>
        <w:p w14:paraId="42301E8E" w14:textId="77777777" w:rsidR="005C769E" w:rsidRDefault="00266A97" w:rsidP="005C769E">
          <w:pPr>
            <w:rPr>
              <w:szCs w:val="18"/>
            </w:rPr>
          </w:pPr>
          <w:r>
            <w:rPr>
              <w:szCs w:val="18"/>
            </w:rPr>
            <w:t>Prinses Irenestraat 6</w:t>
          </w:r>
        </w:p>
        <w:p w14:paraId="4B10FAFD" w14:textId="77777777" w:rsidR="005C769E" w:rsidRDefault="00266A97" w:rsidP="005C769E">
          <w:pPr>
            <w:pStyle w:val="Huisstijl-NAW"/>
          </w:pPr>
          <w:r>
            <w:t>2595 BD  DEN HAAG</w:t>
          </w:r>
        </w:p>
      </w:tc>
    </w:tr>
    <w:tr w:rsidR="003B176C" w14:paraId="32AA8712" w14:textId="77777777" w:rsidTr="009E2051">
      <w:trPr>
        <w:trHeight w:hRule="exact" w:val="400"/>
      </w:trPr>
      <w:tc>
        <w:tcPr>
          <w:tcW w:w="7520" w:type="dxa"/>
          <w:gridSpan w:val="2"/>
          <w:shd w:val="clear" w:color="auto" w:fill="auto"/>
        </w:tcPr>
        <w:p w14:paraId="0259309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176C" w14:paraId="4224308C" w14:textId="77777777" w:rsidTr="009E2051">
      <w:trPr>
        <w:trHeight w:val="240"/>
      </w:trPr>
      <w:tc>
        <w:tcPr>
          <w:tcW w:w="900" w:type="dxa"/>
          <w:shd w:val="clear" w:color="auto" w:fill="auto"/>
        </w:tcPr>
        <w:p w14:paraId="530C926F" w14:textId="77777777" w:rsidR="00527BD4" w:rsidRPr="007709EF" w:rsidRDefault="00266A97" w:rsidP="00A50CF6">
          <w:pPr>
            <w:rPr>
              <w:szCs w:val="18"/>
            </w:rPr>
          </w:pPr>
          <w:r>
            <w:rPr>
              <w:szCs w:val="18"/>
            </w:rPr>
            <w:t>Datum</w:t>
          </w:r>
        </w:p>
      </w:tc>
      <w:tc>
        <w:tcPr>
          <w:tcW w:w="6620" w:type="dxa"/>
          <w:shd w:val="clear" w:color="auto" w:fill="auto"/>
        </w:tcPr>
        <w:p w14:paraId="245A9573" w14:textId="3609EBDD" w:rsidR="00527BD4" w:rsidRPr="007709EF" w:rsidRDefault="006E0F99" w:rsidP="00A50CF6">
          <w:r>
            <w:t>13 mei 2025</w:t>
          </w:r>
        </w:p>
      </w:tc>
    </w:tr>
    <w:tr w:rsidR="003B176C" w14:paraId="4CA25C43" w14:textId="77777777" w:rsidTr="009E2051">
      <w:trPr>
        <w:trHeight w:val="240"/>
      </w:trPr>
      <w:tc>
        <w:tcPr>
          <w:tcW w:w="900" w:type="dxa"/>
          <w:shd w:val="clear" w:color="auto" w:fill="auto"/>
        </w:tcPr>
        <w:p w14:paraId="0167478D" w14:textId="77777777" w:rsidR="00527BD4" w:rsidRPr="007709EF" w:rsidRDefault="00266A97" w:rsidP="00A50CF6">
          <w:pPr>
            <w:rPr>
              <w:szCs w:val="18"/>
            </w:rPr>
          </w:pPr>
          <w:r>
            <w:rPr>
              <w:szCs w:val="18"/>
            </w:rPr>
            <w:t>Betreft</w:t>
          </w:r>
        </w:p>
      </w:tc>
      <w:tc>
        <w:tcPr>
          <w:tcW w:w="6620" w:type="dxa"/>
          <w:shd w:val="clear" w:color="auto" w:fill="auto"/>
        </w:tcPr>
        <w:p w14:paraId="723093C8" w14:textId="0D71C3AE" w:rsidR="00527BD4" w:rsidRPr="007709EF" w:rsidRDefault="009E62AF" w:rsidP="00A50CF6">
          <w:r>
            <w:t>Beantwoording v</w:t>
          </w:r>
          <w:r w:rsidR="00266A97">
            <w:t>ragen over de relatie tussen pachtnormen en teeltopbrengsten</w:t>
          </w:r>
        </w:p>
      </w:tc>
    </w:tr>
  </w:tbl>
  <w:p w14:paraId="0BBA5E6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BC27E6">
      <w:start w:val="1"/>
      <w:numFmt w:val="bullet"/>
      <w:pStyle w:val="Lijstopsomteken"/>
      <w:lvlText w:val="•"/>
      <w:lvlJc w:val="left"/>
      <w:pPr>
        <w:tabs>
          <w:tab w:val="num" w:pos="227"/>
        </w:tabs>
        <w:ind w:left="227" w:hanging="227"/>
      </w:pPr>
      <w:rPr>
        <w:rFonts w:ascii="Verdana" w:hAnsi="Verdana" w:hint="default"/>
        <w:sz w:val="18"/>
        <w:szCs w:val="18"/>
      </w:rPr>
    </w:lvl>
    <w:lvl w:ilvl="1" w:tplc="156C4304" w:tentative="1">
      <w:start w:val="1"/>
      <w:numFmt w:val="bullet"/>
      <w:lvlText w:val="o"/>
      <w:lvlJc w:val="left"/>
      <w:pPr>
        <w:tabs>
          <w:tab w:val="num" w:pos="1440"/>
        </w:tabs>
        <w:ind w:left="1440" w:hanging="360"/>
      </w:pPr>
      <w:rPr>
        <w:rFonts w:ascii="Courier New" w:hAnsi="Courier New" w:cs="Courier New" w:hint="default"/>
      </w:rPr>
    </w:lvl>
    <w:lvl w:ilvl="2" w:tplc="3FF65542" w:tentative="1">
      <w:start w:val="1"/>
      <w:numFmt w:val="bullet"/>
      <w:lvlText w:val=""/>
      <w:lvlJc w:val="left"/>
      <w:pPr>
        <w:tabs>
          <w:tab w:val="num" w:pos="2160"/>
        </w:tabs>
        <w:ind w:left="2160" w:hanging="360"/>
      </w:pPr>
      <w:rPr>
        <w:rFonts w:ascii="Wingdings" w:hAnsi="Wingdings" w:hint="default"/>
      </w:rPr>
    </w:lvl>
    <w:lvl w:ilvl="3" w:tplc="54BC2734" w:tentative="1">
      <w:start w:val="1"/>
      <w:numFmt w:val="bullet"/>
      <w:lvlText w:val=""/>
      <w:lvlJc w:val="left"/>
      <w:pPr>
        <w:tabs>
          <w:tab w:val="num" w:pos="2880"/>
        </w:tabs>
        <w:ind w:left="2880" w:hanging="360"/>
      </w:pPr>
      <w:rPr>
        <w:rFonts w:ascii="Symbol" w:hAnsi="Symbol" w:hint="default"/>
      </w:rPr>
    </w:lvl>
    <w:lvl w:ilvl="4" w:tplc="794CEE08" w:tentative="1">
      <w:start w:val="1"/>
      <w:numFmt w:val="bullet"/>
      <w:lvlText w:val="o"/>
      <w:lvlJc w:val="left"/>
      <w:pPr>
        <w:tabs>
          <w:tab w:val="num" w:pos="3600"/>
        </w:tabs>
        <w:ind w:left="3600" w:hanging="360"/>
      </w:pPr>
      <w:rPr>
        <w:rFonts w:ascii="Courier New" w:hAnsi="Courier New" w:cs="Courier New" w:hint="default"/>
      </w:rPr>
    </w:lvl>
    <w:lvl w:ilvl="5" w:tplc="6E74C916" w:tentative="1">
      <w:start w:val="1"/>
      <w:numFmt w:val="bullet"/>
      <w:lvlText w:val=""/>
      <w:lvlJc w:val="left"/>
      <w:pPr>
        <w:tabs>
          <w:tab w:val="num" w:pos="4320"/>
        </w:tabs>
        <w:ind w:left="4320" w:hanging="360"/>
      </w:pPr>
      <w:rPr>
        <w:rFonts w:ascii="Wingdings" w:hAnsi="Wingdings" w:hint="default"/>
      </w:rPr>
    </w:lvl>
    <w:lvl w:ilvl="6" w:tplc="E064FE62" w:tentative="1">
      <w:start w:val="1"/>
      <w:numFmt w:val="bullet"/>
      <w:lvlText w:val=""/>
      <w:lvlJc w:val="left"/>
      <w:pPr>
        <w:tabs>
          <w:tab w:val="num" w:pos="5040"/>
        </w:tabs>
        <w:ind w:left="5040" w:hanging="360"/>
      </w:pPr>
      <w:rPr>
        <w:rFonts w:ascii="Symbol" w:hAnsi="Symbol" w:hint="default"/>
      </w:rPr>
    </w:lvl>
    <w:lvl w:ilvl="7" w:tplc="ACCCC33A" w:tentative="1">
      <w:start w:val="1"/>
      <w:numFmt w:val="bullet"/>
      <w:lvlText w:val="o"/>
      <w:lvlJc w:val="left"/>
      <w:pPr>
        <w:tabs>
          <w:tab w:val="num" w:pos="5760"/>
        </w:tabs>
        <w:ind w:left="5760" w:hanging="360"/>
      </w:pPr>
      <w:rPr>
        <w:rFonts w:ascii="Courier New" w:hAnsi="Courier New" w:cs="Courier New" w:hint="default"/>
      </w:rPr>
    </w:lvl>
    <w:lvl w:ilvl="8" w:tplc="3D7622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6E7C3A">
      <w:start w:val="1"/>
      <w:numFmt w:val="bullet"/>
      <w:pStyle w:val="Lijstopsomteken2"/>
      <w:lvlText w:val="–"/>
      <w:lvlJc w:val="left"/>
      <w:pPr>
        <w:tabs>
          <w:tab w:val="num" w:pos="227"/>
        </w:tabs>
        <w:ind w:left="227" w:firstLine="0"/>
      </w:pPr>
      <w:rPr>
        <w:rFonts w:ascii="Verdana" w:hAnsi="Verdana" w:hint="default"/>
      </w:rPr>
    </w:lvl>
    <w:lvl w:ilvl="1" w:tplc="22AC9750" w:tentative="1">
      <w:start w:val="1"/>
      <w:numFmt w:val="bullet"/>
      <w:lvlText w:val="o"/>
      <w:lvlJc w:val="left"/>
      <w:pPr>
        <w:tabs>
          <w:tab w:val="num" w:pos="1440"/>
        </w:tabs>
        <w:ind w:left="1440" w:hanging="360"/>
      </w:pPr>
      <w:rPr>
        <w:rFonts w:ascii="Courier New" w:hAnsi="Courier New" w:cs="Courier New" w:hint="default"/>
      </w:rPr>
    </w:lvl>
    <w:lvl w:ilvl="2" w:tplc="4FC6C62E" w:tentative="1">
      <w:start w:val="1"/>
      <w:numFmt w:val="bullet"/>
      <w:lvlText w:val=""/>
      <w:lvlJc w:val="left"/>
      <w:pPr>
        <w:tabs>
          <w:tab w:val="num" w:pos="2160"/>
        </w:tabs>
        <w:ind w:left="2160" w:hanging="360"/>
      </w:pPr>
      <w:rPr>
        <w:rFonts w:ascii="Wingdings" w:hAnsi="Wingdings" w:hint="default"/>
      </w:rPr>
    </w:lvl>
    <w:lvl w:ilvl="3" w:tplc="5D16798C" w:tentative="1">
      <w:start w:val="1"/>
      <w:numFmt w:val="bullet"/>
      <w:lvlText w:val=""/>
      <w:lvlJc w:val="left"/>
      <w:pPr>
        <w:tabs>
          <w:tab w:val="num" w:pos="2880"/>
        </w:tabs>
        <w:ind w:left="2880" w:hanging="360"/>
      </w:pPr>
      <w:rPr>
        <w:rFonts w:ascii="Symbol" w:hAnsi="Symbol" w:hint="default"/>
      </w:rPr>
    </w:lvl>
    <w:lvl w:ilvl="4" w:tplc="4CCEF1D2" w:tentative="1">
      <w:start w:val="1"/>
      <w:numFmt w:val="bullet"/>
      <w:lvlText w:val="o"/>
      <w:lvlJc w:val="left"/>
      <w:pPr>
        <w:tabs>
          <w:tab w:val="num" w:pos="3600"/>
        </w:tabs>
        <w:ind w:left="3600" w:hanging="360"/>
      </w:pPr>
      <w:rPr>
        <w:rFonts w:ascii="Courier New" w:hAnsi="Courier New" w:cs="Courier New" w:hint="default"/>
      </w:rPr>
    </w:lvl>
    <w:lvl w:ilvl="5" w:tplc="AECEAADC" w:tentative="1">
      <w:start w:val="1"/>
      <w:numFmt w:val="bullet"/>
      <w:lvlText w:val=""/>
      <w:lvlJc w:val="left"/>
      <w:pPr>
        <w:tabs>
          <w:tab w:val="num" w:pos="4320"/>
        </w:tabs>
        <w:ind w:left="4320" w:hanging="360"/>
      </w:pPr>
      <w:rPr>
        <w:rFonts w:ascii="Wingdings" w:hAnsi="Wingdings" w:hint="default"/>
      </w:rPr>
    </w:lvl>
    <w:lvl w:ilvl="6" w:tplc="429AA2C2" w:tentative="1">
      <w:start w:val="1"/>
      <w:numFmt w:val="bullet"/>
      <w:lvlText w:val=""/>
      <w:lvlJc w:val="left"/>
      <w:pPr>
        <w:tabs>
          <w:tab w:val="num" w:pos="5040"/>
        </w:tabs>
        <w:ind w:left="5040" w:hanging="360"/>
      </w:pPr>
      <w:rPr>
        <w:rFonts w:ascii="Symbol" w:hAnsi="Symbol" w:hint="default"/>
      </w:rPr>
    </w:lvl>
    <w:lvl w:ilvl="7" w:tplc="9C4EC304" w:tentative="1">
      <w:start w:val="1"/>
      <w:numFmt w:val="bullet"/>
      <w:lvlText w:val="o"/>
      <w:lvlJc w:val="left"/>
      <w:pPr>
        <w:tabs>
          <w:tab w:val="num" w:pos="5760"/>
        </w:tabs>
        <w:ind w:left="5760" w:hanging="360"/>
      </w:pPr>
      <w:rPr>
        <w:rFonts w:ascii="Courier New" w:hAnsi="Courier New" w:cs="Courier New" w:hint="default"/>
      </w:rPr>
    </w:lvl>
    <w:lvl w:ilvl="8" w:tplc="12E086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3117119">
    <w:abstractNumId w:val="10"/>
  </w:num>
  <w:num w:numId="2" w16cid:durableId="1485009206">
    <w:abstractNumId w:val="7"/>
  </w:num>
  <w:num w:numId="3" w16cid:durableId="1933246674">
    <w:abstractNumId w:val="6"/>
  </w:num>
  <w:num w:numId="4" w16cid:durableId="776946590">
    <w:abstractNumId w:val="5"/>
  </w:num>
  <w:num w:numId="5" w16cid:durableId="111360369">
    <w:abstractNumId w:val="4"/>
  </w:num>
  <w:num w:numId="6" w16cid:durableId="1518928713">
    <w:abstractNumId w:val="8"/>
  </w:num>
  <w:num w:numId="7" w16cid:durableId="1032419513">
    <w:abstractNumId w:val="3"/>
  </w:num>
  <w:num w:numId="8" w16cid:durableId="1890798148">
    <w:abstractNumId w:val="2"/>
  </w:num>
  <w:num w:numId="9" w16cid:durableId="2067491730">
    <w:abstractNumId w:val="1"/>
  </w:num>
  <w:num w:numId="10" w16cid:durableId="801970055">
    <w:abstractNumId w:val="0"/>
  </w:num>
  <w:num w:numId="11" w16cid:durableId="2001809903">
    <w:abstractNumId w:val="9"/>
  </w:num>
  <w:num w:numId="12" w16cid:durableId="1309092615">
    <w:abstractNumId w:val="11"/>
  </w:num>
  <w:num w:numId="13" w16cid:durableId="1298343005">
    <w:abstractNumId w:val="13"/>
  </w:num>
  <w:num w:numId="14" w16cid:durableId="5589795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81E"/>
    <w:rsid w:val="000C3EA9"/>
    <w:rsid w:val="000D0225"/>
    <w:rsid w:val="000D73D7"/>
    <w:rsid w:val="000E7895"/>
    <w:rsid w:val="000F161D"/>
    <w:rsid w:val="00106310"/>
    <w:rsid w:val="00121BF0"/>
    <w:rsid w:val="00123704"/>
    <w:rsid w:val="001270C7"/>
    <w:rsid w:val="00132540"/>
    <w:rsid w:val="0014786A"/>
    <w:rsid w:val="001516A4"/>
    <w:rsid w:val="00151E5F"/>
    <w:rsid w:val="001569AB"/>
    <w:rsid w:val="00164D63"/>
    <w:rsid w:val="0016725C"/>
    <w:rsid w:val="001726DD"/>
    <w:rsid w:val="001726F3"/>
    <w:rsid w:val="00173C51"/>
    <w:rsid w:val="00174CC2"/>
    <w:rsid w:val="00176CC6"/>
    <w:rsid w:val="00181BE4"/>
    <w:rsid w:val="00185576"/>
    <w:rsid w:val="00185951"/>
    <w:rsid w:val="00196B8B"/>
    <w:rsid w:val="001A2BEA"/>
    <w:rsid w:val="001A6D93"/>
    <w:rsid w:val="001C32EC"/>
    <w:rsid w:val="001C38BD"/>
    <w:rsid w:val="001C4D5A"/>
    <w:rsid w:val="001E263A"/>
    <w:rsid w:val="001E34C6"/>
    <w:rsid w:val="001E5581"/>
    <w:rsid w:val="001E6117"/>
    <w:rsid w:val="001F3C70"/>
    <w:rsid w:val="00200D88"/>
    <w:rsid w:val="00201F68"/>
    <w:rsid w:val="00202394"/>
    <w:rsid w:val="00212F2A"/>
    <w:rsid w:val="00214F2B"/>
    <w:rsid w:val="00217880"/>
    <w:rsid w:val="00222D66"/>
    <w:rsid w:val="00224A8A"/>
    <w:rsid w:val="002309A8"/>
    <w:rsid w:val="00230CC4"/>
    <w:rsid w:val="00236CFE"/>
    <w:rsid w:val="002428E3"/>
    <w:rsid w:val="00243031"/>
    <w:rsid w:val="00260BAF"/>
    <w:rsid w:val="002650F7"/>
    <w:rsid w:val="00266A97"/>
    <w:rsid w:val="00273F3B"/>
    <w:rsid w:val="00274DB7"/>
    <w:rsid w:val="00275984"/>
    <w:rsid w:val="00280F74"/>
    <w:rsid w:val="00286998"/>
    <w:rsid w:val="00291AB7"/>
    <w:rsid w:val="0029422B"/>
    <w:rsid w:val="002A084F"/>
    <w:rsid w:val="002B153C"/>
    <w:rsid w:val="002B52FC"/>
    <w:rsid w:val="002C2830"/>
    <w:rsid w:val="002C5F11"/>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176C"/>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537C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18BC"/>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49F4"/>
    <w:rsid w:val="005D625B"/>
    <w:rsid w:val="005F62D3"/>
    <w:rsid w:val="005F6D11"/>
    <w:rsid w:val="00600CF0"/>
    <w:rsid w:val="006048F4"/>
    <w:rsid w:val="0060660A"/>
    <w:rsid w:val="00613B1D"/>
    <w:rsid w:val="00617A44"/>
    <w:rsid w:val="006202B6"/>
    <w:rsid w:val="006247BE"/>
    <w:rsid w:val="00625CD0"/>
    <w:rsid w:val="0062627D"/>
    <w:rsid w:val="00627432"/>
    <w:rsid w:val="00634DAE"/>
    <w:rsid w:val="006448E4"/>
    <w:rsid w:val="00645414"/>
    <w:rsid w:val="00653606"/>
    <w:rsid w:val="006610E9"/>
    <w:rsid w:val="00661591"/>
    <w:rsid w:val="0066632F"/>
    <w:rsid w:val="00667A33"/>
    <w:rsid w:val="00671096"/>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C7DDC"/>
    <w:rsid w:val="006D1016"/>
    <w:rsid w:val="006D17F2"/>
    <w:rsid w:val="006E0F99"/>
    <w:rsid w:val="006E3546"/>
    <w:rsid w:val="006E3FA9"/>
    <w:rsid w:val="006E4BA0"/>
    <w:rsid w:val="006E7D82"/>
    <w:rsid w:val="006F038F"/>
    <w:rsid w:val="006F0F93"/>
    <w:rsid w:val="006F31F2"/>
    <w:rsid w:val="006F7494"/>
    <w:rsid w:val="006F751F"/>
    <w:rsid w:val="00714DC5"/>
    <w:rsid w:val="00715237"/>
    <w:rsid w:val="007254A5"/>
    <w:rsid w:val="00725748"/>
    <w:rsid w:val="0072662F"/>
    <w:rsid w:val="00735D88"/>
    <w:rsid w:val="0073720D"/>
    <w:rsid w:val="00737507"/>
    <w:rsid w:val="00740712"/>
    <w:rsid w:val="007426AA"/>
    <w:rsid w:val="00742AB9"/>
    <w:rsid w:val="00751A6A"/>
    <w:rsid w:val="00754FBF"/>
    <w:rsid w:val="00755824"/>
    <w:rsid w:val="007709EF"/>
    <w:rsid w:val="00783559"/>
    <w:rsid w:val="0079551B"/>
    <w:rsid w:val="00797AA5"/>
    <w:rsid w:val="007A26BD"/>
    <w:rsid w:val="007A4105"/>
    <w:rsid w:val="007B4503"/>
    <w:rsid w:val="007C406E"/>
    <w:rsid w:val="007C5183"/>
    <w:rsid w:val="007C6E87"/>
    <w:rsid w:val="007C7573"/>
    <w:rsid w:val="007D56E7"/>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37B49"/>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3266"/>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B5869"/>
    <w:rsid w:val="009C3F20"/>
    <w:rsid w:val="009C5689"/>
    <w:rsid w:val="009C7CA1"/>
    <w:rsid w:val="009D043D"/>
    <w:rsid w:val="009E2051"/>
    <w:rsid w:val="009E62AF"/>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6B9C"/>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6872"/>
    <w:rsid w:val="00B531DD"/>
    <w:rsid w:val="00B55014"/>
    <w:rsid w:val="00B62232"/>
    <w:rsid w:val="00B65EC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42D"/>
    <w:rsid w:val="00BE7B41"/>
    <w:rsid w:val="00C02E2F"/>
    <w:rsid w:val="00C03792"/>
    <w:rsid w:val="00C15A91"/>
    <w:rsid w:val="00C206F1"/>
    <w:rsid w:val="00C217E1"/>
    <w:rsid w:val="00C219B1"/>
    <w:rsid w:val="00C25A1D"/>
    <w:rsid w:val="00C306E6"/>
    <w:rsid w:val="00C4015B"/>
    <w:rsid w:val="00C40C60"/>
    <w:rsid w:val="00C50B2F"/>
    <w:rsid w:val="00C5258E"/>
    <w:rsid w:val="00C530C9"/>
    <w:rsid w:val="00C619A7"/>
    <w:rsid w:val="00C73D5F"/>
    <w:rsid w:val="00C81E1A"/>
    <w:rsid w:val="00C90702"/>
    <w:rsid w:val="00C97C80"/>
    <w:rsid w:val="00CA14AA"/>
    <w:rsid w:val="00CA47D3"/>
    <w:rsid w:val="00CA6533"/>
    <w:rsid w:val="00CA6A25"/>
    <w:rsid w:val="00CA6A3F"/>
    <w:rsid w:val="00CA7C99"/>
    <w:rsid w:val="00CB1E6B"/>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2AC4"/>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4636"/>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5577"/>
    <w:rsid w:val="00F172BB"/>
    <w:rsid w:val="00F17B10"/>
    <w:rsid w:val="00F21BEF"/>
    <w:rsid w:val="00F2315B"/>
    <w:rsid w:val="00F233CE"/>
    <w:rsid w:val="00F4070E"/>
    <w:rsid w:val="00F41A6F"/>
    <w:rsid w:val="00F41B49"/>
    <w:rsid w:val="00F45A25"/>
    <w:rsid w:val="00F45D0F"/>
    <w:rsid w:val="00F50F86"/>
    <w:rsid w:val="00F53F91"/>
    <w:rsid w:val="00F548FA"/>
    <w:rsid w:val="00F61569"/>
    <w:rsid w:val="00F61A72"/>
    <w:rsid w:val="00F62B67"/>
    <w:rsid w:val="00F66F13"/>
    <w:rsid w:val="00F74073"/>
    <w:rsid w:val="00F75603"/>
    <w:rsid w:val="00F83B0B"/>
    <w:rsid w:val="00F845B4"/>
    <w:rsid w:val="00F8713B"/>
    <w:rsid w:val="00F90A14"/>
    <w:rsid w:val="00F93F9E"/>
    <w:rsid w:val="00FA2CD7"/>
    <w:rsid w:val="00FB06ED"/>
    <w:rsid w:val="00FB641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86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Geenafstand">
    <w:name w:val="No Spacing"/>
    <w:uiPriority w:val="1"/>
    <w:qFormat/>
    <w:rsid w:val="00B46872"/>
    <w:rPr>
      <w:rFonts w:asciiTheme="minorHAnsi" w:eastAsiaTheme="minorHAnsi" w:hAnsiTheme="minorHAnsi" w:cstheme="minorBidi"/>
      <w:kern w:val="2"/>
      <w:sz w:val="22"/>
      <w:szCs w:val="22"/>
      <w:lang w:val="nl-NL"/>
      <w14:ligatures w14:val="standardContextual"/>
    </w:rPr>
  </w:style>
  <w:style w:type="paragraph" w:styleId="Normaalweb">
    <w:name w:val="Normal (Web)"/>
    <w:basedOn w:val="Standaard"/>
    <w:uiPriority w:val="99"/>
    <w:semiHidden/>
    <w:unhideWhenUsed/>
    <w:rsid w:val="00B46872"/>
    <w:pPr>
      <w:spacing w:after="160" w:line="259" w:lineRule="auto"/>
    </w:pPr>
    <w:rPr>
      <w:rFonts w:ascii="Times New Roman" w:eastAsiaTheme="minorHAnsi" w:hAnsi="Times New Roman"/>
      <w:kern w:val="2"/>
      <w:sz w:val="24"/>
      <w:lang w:eastAsia="en-US"/>
      <w14:ligatures w14:val="standardContextual"/>
    </w:rPr>
  </w:style>
  <w:style w:type="character" w:styleId="Voetnootmarkering">
    <w:name w:val="footnote reference"/>
    <w:basedOn w:val="Standaardalinea-lettertype"/>
    <w:uiPriority w:val="99"/>
    <w:semiHidden/>
    <w:unhideWhenUsed/>
    <w:rsid w:val="00B46872"/>
    <w:rPr>
      <w:vertAlign w:val="superscript"/>
    </w:rPr>
  </w:style>
  <w:style w:type="character" w:styleId="Onopgelostemelding">
    <w:name w:val="Unresolved Mention"/>
    <w:basedOn w:val="Standaardalinea-lettertype"/>
    <w:uiPriority w:val="99"/>
    <w:semiHidden/>
    <w:unhideWhenUsed/>
    <w:rsid w:val="00CB1E6B"/>
    <w:rPr>
      <w:color w:val="605E5C"/>
      <w:shd w:val="clear" w:color="auto" w:fill="E1DFDD"/>
    </w:rPr>
  </w:style>
  <w:style w:type="paragraph" w:styleId="Revisie">
    <w:name w:val="Revision"/>
    <w:hidden/>
    <w:uiPriority w:val="99"/>
    <w:semiHidden/>
    <w:rsid w:val="00FB641D"/>
    <w:rPr>
      <w:rFonts w:ascii="Verdana" w:hAnsi="Verdana"/>
      <w:sz w:val="18"/>
      <w:szCs w:val="24"/>
      <w:lang w:val="nl-NL" w:eastAsia="nl-NL"/>
    </w:rPr>
  </w:style>
  <w:style w:type="character" w:styleId="Verwijzingopmerking">
    <w:name w:val="annotation reference"/>
    <w:basedOn w:val="Standaardalinea-lettertype"/>
    <w:semiHidden/>
    <w:unhideWhenUsed/>
    <w:rsid w:val="00FB641D"/>
    <w:rPr>
      <w:sz w:val="16"/>
      <w:szCs w:val="16"/>
    </w:rPr>
  </w:style>
  <w:style w:type="paragraph" w:styleId="Tekstopmerking">
    <w:name w:val="annotation text"/>
    <w:basedOn w:val="Standaard"/>
    <w:link w:val="TekstopmerkingChar"/>
    <w:unhideWhenUsed/>
    <w:rsid w:val="00FB641D"/>
    <w:pPr>
      <w:spacing w:line="240" w:lineRule="auto"/>
    </w:pPr>
    <w:rPr>
      <w:sz w:val="20"/>
      <w:szCs w:val="20"/>
    </w:rPr>
  </w:style>
  <w:style w:type="character" w:customStyle="1" w:styleId="TekstopmerkingChar">
    <w:name w:val="Tekst opmerking Char"/>
    <w:basedOn w:val="Standaardalinea-lettertype"/>
    <w:link w:val="Tekstopmerking"/>
    <w:rsid w:val="00FB641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B641D"/>
    <w:rPr>
      <w:b/>
      <w:bCs/>
    </w:rPr>
  </w:style>
  <w:style w:type="character" w:customStyle="1" w:styleId="OnderwerpvanopmerkingChar">
    <w:name w:val="Onderwerp van opmerking Char"/>
    <w:basedOn w:val="TekstopmerkingChar"/>
    <w:link w:val="Onderwerpvanopmerking"/>
    <w:semiHidden/>
    <w:rsid w:val="00FB641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depot.wur.33033" TargetMode="External"/><Relationship Id="rId7" Type="http://schemas.openxmlformats.org/officeDocument/2006/relationships/hyperlink" Target="https://eur01.safelinks.protection.outlook.com/?url=https%3A%2F%2Fedepot.wur.nl%2F139621&amp;data=05%7C02%7Cm.heerema%40minlnv.nl%7Cc7e20c5704f740d5b2d208dd7b6726fb%7C1321633ef6b944e2a44f59b9d264ecb7%7C0%7C0%7C638802405149516896%7CUnknown%7CTWFpbGZsb3d8eyJFbXB0eU1hcGkiOnRydWUsIlYiOiIwLjAuMDAwMCIsIlAiOiJXaW4zMiIsIkFOIjoiTWFpbCIsIldUIjoyfQ%3D%3D%7C0%7C%7C%7C&amp;sdata=0tsRMRqeReFSyMeFqSYfGmxwWcKUON3GZYHLHEjD4Yw%3D&amp;reserved=0" TargetMode="External"/><Relationship Id="rId2" Type="http://schemas.openxmlformats.org/officeDocument/2006/relationships/hyperlink" Target="https://edepot.wur.nl/581563" TargetMode="External"/><Relationship Id="rId1" Type="http://schemas.openxmlformats.org/officeDocument/2006/relationships/hyperlink" Target="https://edepot.wur.nl/680331" TargetMode="External"/><Relationship Id="rId6" Type="http://schemas.openxmlformats.org/officeDocument/2006/relationships/hyperlink" Target="https://edepot.wur.nl/581563" TargetMode="External"/><Relationship Id="rId5" Type="http://schemas.openxmlformats.org/officeDocument/2006/relationships/hyperlink" Target="https://edepot.wur.nl/680331" TargetMode="External"/><Relationship Id="rId4" Type="http://schemas.openxmlformats.org/officeDocument/2006/relationships/hyperlink" Target="https://eur01.safelinks.protection.outlook.com/?url=https%3A%2F%2Fedepot.wur.nl%2F18175&amp;data=05%7C02%7Cm.heerema%40minlnv.nl%7C31fa668108074ac9588a08dd7e575466%7C1321633ef6b944e2a44f59b9d264ecb7%7C0%7C0%7C638805635737747469%7CUnknown%7CTWFpbGZsb3d8eyJFbXB0eU1hcGkiOnRydWUsIlYiOiIwLjAuMDAwMCIsIlAiOiJXaW4zMiIsIkFOIjoiTWFpbCIsIldUIjoyfQ%3D%3D%7C0%7C%7C%7C&amp;sdata=3q%2Bqn9%2F0GoLucnMI7Bek%2BbX8QqtxoXCzQT31r33qq2w%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1034</ap:Words>
  <ap:Characters>6106</ap:Characters>
  <ap:DocSecurity>0</ap:DocSecurity>
  <ap:Lines>50</ap:Lines>
  <ap:Paragraphs>14</ap:Paragraphs>
  <ap:ScaleCrop>false</ap:ScaleCrop>
  <ap:LinksUpToDate>false</ap:LinksUpToDate>
  <ap:CharactersWithSpaces>7126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2025-05-13T07:25:00.0000000Z</dcterms:created>
  <dcterms:modified xsi:type="dcterms:W3CDTF">2025-05-13T07:25:00.0000000Z</dcterms:modified>
  <dc:description>------------------------</dc:description>
  <dc:subject/>
  <keywords/>
  <version/>
  <category/>
</coreProperties>
</file>