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F3624" w:rsidTr="00D9561B" w14:paraId="63A2F34A" w14:textId="77777777">
        <w:trPr>
          <w:trHeight w:val="1514"/>
        </w:trPr>
        <w:tc>
          <w:tcPr>
            <w:tcW w:w="7522" w:type="dxa"/>
            <w:tcBorders>
              <w:top w:val="nil"/>
              <w:left w:val="nil"/>
              <w:bottom w:val="nil"/>
              <w:right w:val="nil"/>
            </w:tcBorders>
            <w:tcMar>
              <w:left w:w="0" w:type="dxa"/>
              <w:right w:w="0" w:type="dxa"/>
            </w:tcMar>
          </w:tcPr>
          <w:p w:rsidR="00374412" w:rsidP="00D9561B" w:rsidRDefault="00FB48E0" w14:paraId="6336D0C0" w14:textId="77777777">
            <w:r>
              <w:t>De v</w:t>
            </w:r>
            <w:r w:rsidR="008E3932">
              <w:t>oorzitter van de Tweede Kamer der Staten-Generaal</w:t>
            </w:r>
          </w:p>
          <w:p w:rsidR="00374412" w:rsidP="00D9561B" w:rsidRDefault="00FB48E0" w14:paraId="48F34F35" w14:textId="77777777">
            <w:r>
              <w:t>Postbus 20018</w:t>
            </w:r>
          </w:p>
          <w:p w:rsidR="008E3932" w:rsidP="00D9561B" w:rsidRDefault="00FB48E0" w14:paraId="39328EF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F3624" w:rsidTr="00FF66F9" w14:paraId="05A63265" w14:textId="77777777">
        <w:trPr>
          <w:trHeight w:val="289" w:hRule="exact"/>
        </w:trPr>
        <w:tc>
          <w:tcPr>
            <w:tcW w:w="929" w:type="dxa"/>
          </w:tcPr>
          <w:p w:rsidRPr="00434042" w:rsidR="0005404B" w:rsidP="00FF66F9" w:rsidRDefault="00FB48E0" w14:paraId="7D5C571D" w14:textId="77777777">
            <w:pPr>
              <w:rPr>
                <w:lang w:eastAsia="en-US"/>
              </w:rPr>
            </w:pPr>
            <w:r>
              <w:rPr>
                <w:lang w:eastAsia="en-US"/>
              </w:rPr>
              <w:t>Datum</w:t>
            </w:r>
          </w:p>
        </w:tc>
        <w:tc>
          <w:tcPr>
            <w:tcW w:w="6581" w:type="dxa"/>
          </w:tcPr>
          <w:p w:rsidRPr="00434042" w:rsidR="0005404B" w:rsidP="00FF66F9" w:rsidRDefault="004666A6" w14:paraId="5A86EFB1" w14:textId="4D0DE2AE">
            <w:pPr>
              <w:rPr>
                <w:lang w:eastAsia="en-US"/>
              </w:rPr>
            </w:pPr>
            <w:r>
              <w:rPr>
                <w:lang w:eastAsia="en-US"/>
              </w:rPr>
              <w:t>13 mei 2025</w:t>
            </w:r>
          </w:p>
        </w:tc>
      </w:tr>
      <w:tr w:rsidR="007F3624" w:rsidTr="00FF66F9" w14:paraId="00113948" w14:textId="77777777">
        <w:trPr>
          <w:trHeight w:val="368"/>
        </w:trPr>
        <w:tc>
          <w:tcPr>
            <w:tcW w:w="929" w:type="dxa"/>
          </w:tcPr>
          <w:p w:rsidR="0005404B" w:rsidP="00FF66F9" w:rsidRDefault="00FB48E0" w14:paraId="53E7FF0B" w14:textId="77777777">
            <w:pPr>
              <w:rPr>
                <w:lang w:eastAsia="en-US"/>
              </w:rPr>
            </w:pPr>
            <w:r>
              <w:rPr>
                <w:lang w:eastAsia="en-US"/>
              </w:rPr>
              <w:t>Betreft</w:t>
            </w:r>
          </w:p>
        </w:tc>
        <w:tc>
          <w:tcPr>
            <w:tcW w:w="6581" w:type="dxa"/>
          </w:tcPr>
          <w:p w:rsidR="0005404B" w:rsidP="00FF66F9" w:rsidRDefault="00FB48E0" w14:paraId="0630253D" w14:textId="77777777">
            <w:pPr>
              <w:rPr>
                <w:lang w:eastAsia="en-US"/>
              </w:rPr>
            </w:pPr>
            <w:r>
              <w:rPr>
                <w:lang w:eastAsia="en-US"/>
              </w:rPr>
              <w:t xml:space="preserve">Antwoord op schriftelijke vragen van de leden </w:t>
            </w:r>
            <w:proofErr w:type="spellStart"/>
            <w:r>
              <w:rPr>
                <w:lang w:eastAsia="en-US"/>
              </w:rPr>
              <w:t>Uppelschoten</w:t>
            </w:r>
            <w:proofErr w:type="spellEnd"/>
            <w:r>
              <w:rPr>
                <w:lang w:eastAsia="en-US"/>
              </w:rPr>
              <w:t xml:space="preserve"> en Wilders (beiden PVV) over signalen van islamisering in het Nederlandse onderwijs</w:t>
            </w:r>
          </w:p>
        </w:tc>
      </w:tr>
    </w:tbl>
    <w:p w:rsidR="007F3624" w:rsidRDefault="001C2C36" w14:paraId="2FCF216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54C6F" w:rsidR="007F3624" w:rsidTr="00A421A1" w14:paraId="294E529E" w14:textId="77777777">
        <w:tc>
          <w:tcPr>
            <w:tcW w:w="2160" w:type="dxa"/>
          </w:tcPr>
          <w:p w:rsidRPr="00F53C9D" w:rsidR="006205C0" w:rsidP="00686AED" w:rsidRDefault="00FB48E0" w14:paraId="38412045" w14:textId="77777777">
            <w:pPr>
              <w:pStyle w:val="Colofonkop"/>
              <w:framePr w:hSpace="0" w:wrap="auto" w:hAnchor="text" w:vAnchor="margin" w:xAlign="left" w:yAlign="inline"/>
            </w:pPr>
            <w:r>
              <w:t>Onderwijspersoneel en Primair Onderwijs</w:t>
            </w:r>
          </w:p>
          <w:p w:rsidR="006205C0" w:rsidP="00A421A1" w:rsidRDefault="00FB48E0" w14:paraId="357FD2DB" w14:textId="77777777">
            <w:pPr>
              <w:pStyle w:val="Huisstijl-Gegeven"/>
              <w:spacing w:after="0"/>
            </w:pPr>
            <w:r>
              <w:t xml:space="preserve">Rijnstraat 50 </w:t>
            </w:r>
          </w:p>
          <w:p w:rsidR="004425A7" w:rsidP="00E972A2" w:rsidRDefault="00FB48E0" w14:paraId="03C8E298" w14:textId="77777777">
            <w:pPr>
              <w:pStyle w:val="Huisstijl-Gegeven"/>
              <w:spacing w:after="0"/>
            </w:pPr>
            <w:r>
              <w:t>Den Haag</w:t>
            </w:r>
          </w:p>
          <w:p w:rsidR="004425A7" w:rsidP="00E972A2" w:rsidRDefault="00FB48E0" w14:paraId="4CA99C30" w14:textId="77777777">
            <w:pPr>
              <w:pStyle w:val="Huisstijl-Gegeven"/>
              <w:spacing w:after="0"/>
            </w:pPr>
            <w:r>
              <w:t>Postbus 16375</w:t>
            </w:r>
          </w:p>
          <w:p w:rsidR="004425A7" w:rsidP="00E972A2" w:rsidRDefault="00FB48E0" w14:paraId="21D9B568" w14:textId="77777777">
            <w:pPr>
              <w:pStyle w:val="Huisstijl-Gegeven"/>
              <w:spacing w:after="0"/>
            </w:pPr>
            <w:r>
              <w:t>2500 BJ Den Haag</w:t>
            </w:r>
          </w:p>
          <w:p w:rsidR="004425A7" w:rsidP="00E972A2" w:rsidRDefault="00FB48E0" w14:paraId="381113B3" w14:textId="77777777">
            <w:pPr>
              <w:pStyle w:val="Huisstijl-Gegeven"/>
              <w:spacing w:after="90"/>
            </w:pPr>
            <w:r>
              <w:t>www.rijksoverheid.nl</w:t>
            </w:r>
          </w:p>
          <w:p w:rsidRPr="00D86CC6" w:rsidR="006205C0" w:rsidP="00A421A1" w:rsidRDefault="00FB48E0" w14:paraId="022D875C" w14:textId="77777777">
            <w:pPr>
              <w:spacing w:line="180" w:lineRule="exact"/>
              <w:rPr>
                <w:b/>
                <w:sz w:val="13"/>
                <w:szCs w:val="13"/>
              </w:rPr>
            </w:pPr>
            <w:r>
              <w:rPr>
                <w:b/>
                <w:sz w:val="13"/>
                <w:szCs w:val="13"/>
              </w:rPr>
              <w:t>Contactpersoon</w:t>
            </w:r>
          </w:p>
          <w:p w:rsidR="006205C0" w:rsidP="00A421A1" w:rsidRDefault="006205C0" w14:paraId="1194395F" w14:textId="77777777">
            <w:pPr>
              <w:spacing w:line="180" w:lineRule="exact"/>
              <w:rPr>
                <w:sz w:val="13"/>
                <w:szCs w:val="13"/>
                <w:lang w:val="en-US"/>
              </w:rPr>
            </w:pPr>
          </w:p>
          <w:p w:rsidRPr="00FB48E0" w:rsidR="004666A6" w:rsidP="00A421A1" w:rsidRDefault="004666A6" w14:paraId="1DC85414" w14:textId="0615A859">
            <w:pPr>
              <w:spacing w:line="180" w:lineRule="exact"/>
              <w:rPr>
                <w:sz w:val="13"/>
                <w:szCs w:val="13"/>
                <w:lang w:val="en-US"/>
              </w:rPr>
            </w:pPr>
          </w:p>
        </w:tc>
      </w:tr>
      <w:tr w:rsidRPr="00254C6F" w:rsidR="007F3624" w:rsidTr="00A421A1" w14:paraId="4EBBAD61" w14:textId="77777777">
        <w:trPr>
          <w:trHeight w:val="200" w:hRule="exact"/>
        </w:trPr>
        <w:tc>
          <w:tcPr>
            <w:tcW w:w="2160" w:type="dxa"/>
          </w:tcPr>
          <w:p w:rsidRPr="00FB48E0" w:rsidR="006205C0" w:rsidP="00A421A1" w:rsidRDefault="006205C0" w14:paraId="3CC43896" w14:textId="77777777">
            <w:pPr>
              <w:spacing w:after="90" w:line="180" w:lineRule="exact"/>
              <w:rPr>
                <w:sz w:val="13"/>
                <w:szCs w:val="13"/>
                <w:lang w:val="en-US"/>
              </w:rPr>
            </w:pPr>
          </w:p>
        </w:tc>
      </w:tr>
      <w:tr w:rsidR="007F3624" w:rsidTr="00A421A1" w14:paraId="32B5641A" w14:textId="77777777">
        <w:trPr>
          <w:trHeight w:val="450"/>
        </w:trPr>
        <w:tc>
          <w:tcPr>
            <w:tcW w:w="2160" w:type="dxa"/>
          </w:tcPr>
          <w:p w:rsidR="00F51A76" w:rsidP="00A421A1" w:rsidRDefault="00FB48E0" w14:paraId="10F748BE" w14:textId="77777777">
            <w:pPr>
              <w:spacing w:line="180" w:lineRule="exact"/>
              <w:rPr>
                <w:b/>
                <w:sz w:val="13"/>
                <w:szCs w:val="13"/>
              </w:rPr>
            </w:pPr>
            <w:r>
              <w:rPr>
                <w:b/>
                <w:sz w:val="13"/>
                <w:szCs w:val="13"/>
              </w:rPr>
              <w:t>Onze referentie</w:t>
            </w:r>
          </w:p>
          <w:p w:rsidRPr="00FA7882" w:rsidR="006205C0" w:rsidP="00215356" w:rsidRDefault="00FB48E0" w14:paraId="79AE6714" w14:textId="77777777">
            <w:pPr>
              <w:spacing w:line="180" w:lineRule="exact"/>
              <w:rPr>
                <w:sz w:val="13"/>
                <w:szCs w:val="13"/>
              </w:rPr>
            </w:pPr>
            <w:r>
              <w:rPr>
                <w:sz w:val="13"/>
                <w:szCs w:val="13"/>
              </w:rPr>
              <w:t>51898195</w:t>
            </w:r>
          </w:p>
        </w:tc>
      </w:tr>
      <w:tr w:rsidR="007F3624" w:rsidTr="00A421A1" w14:paraId="340442A4" w14:textId="77777777">
        <w:trPr>
          <w:trHeight w:val="136"/>
        </w:trPr>
        <w:tc>
          <w:tcPr>
            <w:tcW w:w="2160" w:type="dxa"/>
          </w:tcPr>
          <w:p w:rsidRPr="00C5333A" w:rsidR="006205C0" w:rsidP="00A421A1" w:rsidRDefault="00FB48E0" w14:paraId="73CDFA68" w14:textId="77777777">
            <w:pPr>
              <w:tabs>
                <w:tab w:val="left" w:pos="1890"/>
              </w:tabs>
              <w:spacing w:line="180" w:lineRule="exact"/>
              <w:rPr>
                <w:b/>
                <w:sz w:val="13"/>
                <w:szCs w:val="13"/>
              </w:rPr>
            </w:pPr>
            <w:r w:rsidRPr="00003544">
              <w:rPr>
                <w:b/>
                <w:sz w:val="13"/>
                <w:szCs w:val="13"/>
              </w:rPr>
              <w:t>Uw brief</w:t>
            </w:r>
          </w:p>
          <w:p w:rsidRPr="00E06CD4" w:rsidR="00E91674" w:rsidP="00E210E0" w:rsidRDefault="00FB48E0" w14:paraId="400C5421" w14:textId="77777777">
            <w:pPr>
              <w:tabs>
                <w:tab w:val="left" w:pos="1890"/>
              </w:tabs>
              <w:spacing w:after="92" w:line="180" w:lineRule="exact"/>
              <w:rPr>
                <w:sz w:val="13"/>
                <w:szCs w:val="13"/>
              </w:rPr>
            </w:pPr>
            <w:r>
              <w:rPr>
                <w:sz w:val="13"/>
                <w:szCs w:val="13"/>
              </w:rPr>
              <w:t>09 april 2025</w:t>
            </w:r>
          </w:p>
        </w:tc>
      </w:tr>
      <w:tr w:rsidR="007F3624" w:rsidTr="00A421A1" w14:paraId="2FE5470E" w14:textId="77777777">
        <w:trPr>
          <w:trHeight w:val="227"/>
        </w:trPr>
        <w:tc>
          <w:tcPr>
            <w:tcW w:w="2160" w:type="dxa"/>
          </w:tcPr>
          <w:p w:rsidRPr="004A65A5" w:rsidR="006205C0" w:rsidP="00A421A1" w:rsidRDefault="00FB48E0" w14:paraId="227D6073" w14:textId="77777777">
            <w:pPr>
              <w:spacing w:line="180" w:lineRule="exact"/>
              <w:rPr>
                <w:b/>
                <w:sz w:val="13"/>
                <w:szCs w:val="13"/>
              </w:rPr>
            </w:pPr>
            <w:r>
              <w:rPr>
                <w:b/>
                <w:sz w:val="13"/>
                <w:szCs w:val="13"/>
              </w:rPr>
              <w:t>Uw referentie</w:t>
            </w:r>
          </w:p>
          <w:p w:rsidRPr="00D74F66" w:rsidR="006205C0" w:rsidP="00A421A1" w:rsidRDefault="00FB48E0" w14:paraId="3EE9F192" w14:textId="77777777">
            <w:pPr>
              <w:spacing w:after="90" w:line="180" w:lineRule="exact"/>
              <w:rPr>
                <w:sz w:val="13"/>
              </w:rPr>
            </w:pPr>
            <w:r>
              <w:rPr>
                <w:sz w:val="13"/>
              </w:rPr>
              <w:t>2025Z06133</w:t>
            </w:r>
          </w:p>
        </w:tc>
      </w:tr>
    </w:tbl>
    <w:p w:rsidR="00215356" w:rsidRDefault="00215356" w14:paraId="09E3B5D6" w14:textId="77777777"/>
    <w:p w:rsidR="006205C0" w:rsidP="00A421A1" w:rsidRDefault="006205C0" w14:paraId="7FC38CBC" w14:textId="77777777"/>
    <w:p w:rsidR="00CA35E4" w:rsidP="00CA35E4" w:rsidRDefault="00437472" w14:paraId="0BFAF8C5" w14:textId="77777777">
      <w:r>
        <w:t xml:space="preserve">Hierbij </w:t>
      </w:r>
      <w:r w:rsidR="00FB48E0">
        <w:t>stuur ik</w:t>
      </w:r>
      <w:r w:rsidR="00D45993">
        <w:t xml:space="preserve"> u</w:t>
      </w:r>
      <w:r w:rsidR="00FB48E0">
        <w:t xml:space="preserve"> de antwoorden</w:t>
      </w:r>
      <w:r w:rsidR="006B0A79">
        <w:t xml:space="preserve"> op</w:t>
      </w:r>
      <w:r w:rsidR="00C82662">
        <w:t xml:space="preserve"> </w:t>
      </w:r>
      <w:r w:rsidRPr="00FB48E0" w:rsidR="00FB48E0">
        <w:t>de vragen</w:t>
      </w:r>
      <w:r w:rsidR="00FB48E0">
        <w:t> </w:t>
      </w:r>
      <w:r w:rsidRPr="00FB48E0" w:rsidR="00FB48E0">
        <w:t xml:space="preserve">van de leden </w:t>
      </w:r>
      <w:proofErr w:type="spellStart"/>
      <w:r w:rsidRPr="00FB48E0" w:rsidR="00FB48E0">
        <w:t>Uppelschoten</w:t>
      </w:r>
      <w:proofErr w:type="spellEnd"/>
      <w:r w:rsidRPr="00FB48E0" w:rsidR="00FB48E0">
        <w:t xml:space="preserve"> en Wilders (beiden PVV)</w:t>
      </w:r>
      <w:r w:rsidR="00AD7C7C">
        <w:t xml:space="preserve"> </w:t>
      </w:r>
      <w:r w:rsidR="00127580">
        <w:t>over</w:t>
      </w:r>
      <w:r w:rsidR="00FB48E0">
        <w:t> signalen van islamisering in het Nederlandse onderwijs</w:t>
      </w:r>
      <w:r w:rsidR="005E637C">
        <w:t>.</w:t>
      </w:r>
    </w:p>
    <w:p w:rsidR="00CA35E4" w:rsidP="00CA35E4" w:rsidRDefault="00CA35E4" w14:paraId="36264368" w14:textId="77777777"/>
    <w:p w:rsidR="00463FBD" w:rsidP="00CA35E4" w:rsidRDefault="00FB48E0" w14:paraId="74F4BC34" w14:textId="2DC6CFA7">
      <w:r w:rsidRPr="00FB48E0">
        <w:t>De vragen werden</w:t>
      </w:r>
      <w:r w:rsidR="00B11469">
        <w:t> </w:t>
      </w:r>
      <w:r w:rsidR="00BD7E81">
        <w:t>in</w:t>
      </w:r>
      <w:r w:rsidR="00CA35E4">
        <w:t xml:space="preserve">gezonden </w:t>
      </w:r>
      <w:r w:rsidR="00BD7E81">
        <w:t>op</w:t>
      </w:r>
      <w:r w:rsidR="00EB5D85">
        <w:t xml:space="preserve"> </w:t>
      </w:r>
      <w:r>
        <w:t>1 april 2025</w:t>
      </w:r>
      <w:r w:rsidR="00E82C38">
        <w:t xml:space="preserve"> met kenmerk </w:t>
      </w:r>
      <w:r>
        <w:t>2025Z06133</w:t>
      </w:r>
      <w:r w:rsidR="00E82C38">
        <w:t>.</w:t>
      </w:r>
    </w:p>
    <w:p w:rsidR="00930C09" w:rsidP="00CA35E4" w:rsidRDefault="00930C09" w14:paraId="6BE50568" w14:textId="77777777"/>
    <w:p w:rsidR="00820DDA" w:rsidP="00CA35E4" w:rsidRDefault="00820DDA" w14:paraId="38C1A878" w14:textId="77777777"/>
    <w:p w:rsidR="00820DDA" w:rsidP="00CA35E4" w:rsidRDefault="00FB48E0" w14:paraId="7868C8F9" w14:textId="77777777">
      <w:r>
        <w:t xml:space="preserve">De staatssecretaris </w:t>
      </w:r>
      <w:r w:rsidR="00AA179E">
        <w:t>van Onderwijs, Cultuur en Wetenschap,</w:t>
      </w:r>
    </w:p>
    <w:p w:rsidR="00203BE7" w:rsidP="00203BE7" w:rsidRDefault="00203BE7" w14:paraId="66F3004D" w14:textId="77777777"/>
    <w:p w:rsidR="00054046" w:rsidP="00203BE7" w:rsidRDefault="00054046" w14:paraId="7B09E43F" w14:textId="77777777"/>
    <w:p w:rsidR="00203BE7" w:rsidP="00203BE7" w:rsidRDefault="00203BE7" w14:paraId="135F6FF4" w14:textId="77777777"/>
    <w:p w:rsidR="00203BE7" w:rsidP="00203BE7" w:rsidRDefault="00203BE7" w14:paraId="4F569F48" w14:textId="77777777"/>
    <w:p w:rsidR="00B75738" w:rsidP="003A7160" w:rsidRDefault="00FB48E0" w14:paraId="49297D79" w14:textId="77777777">
      <w:r>
        <w:t>Mariëlle Paul</w:t>
      </w:r>
    </w:p>
    <w:p w:rsidR="00930C09" w:rsidRDefault="00FB48E0" w14:paraId="57BF6F82" w14:textId="77777777">
      <w:pPr>
        <w:spacing w:line="240" w:lineRule="auto"/>
      </w:pPr>
      <w:r>
        <w:br w:type="page"/>
      </w:r>
    </w:p>
    <w:p w:rsidR="00254C6F" w:rsidP="00254C6F" w:rsidRDefault="00254C6F" w14:paraId="5B7508C3" w14:textId="77777777">
      <w:pPr>
        <w:pStyle w:val="pagebreak"/>
        <w:pageBreakBefore w:val="0"/>
      </w:pPr>
      <w:r>
        <w:lastRenderedPageBreak/>
        <w:t>De antwoorden op de schriftelijke vragen </w:t>
      </w:r>
      <w:r w:rsidRPr="00FB48E0">
        <w:t xml:space="preserve">van de leden </w:t>
      </w:r>
      <w:proofErr w:type="spellStart"/>
      <w:r w:rsidRPr="00FB48E0">
        <w:t>Uppelschoten</w:t>
      </w:r>
      <w:proofErr w:type="spellEnd"/>
      <w:r w:rsidRPr="00FB48E0">
        <w:t xml:space="preserve"> en Wilders (beiden PVV)</w:t>
      </w:r>
      <w:r>
        <w:t xml:space="preserve"> over signalen van islamisering in het Nederlandse onderwijs met kenmerk 2025Z06133, ingezonden op 9 april 2025.</w:t>
      </w:r>
    </w:p>
    <w:p w:rsidR="00254C6F" w:rsidP="00254C6F" w:rsidRDefault="00254C6F" w14:paraId="33DDF9A2" w14:textId="77777777">
      <w:pPr>
        <w:pStyle w:val="standaard-tekst"/>
      </w:pPr>
    </w:p>
    <w:p w:rsidRPr="00FB48E0" w:rsidR="00254C6F" w:rsidP="00254C6F" w:rsidRDefault="00254C6F" w14:paraId="65BE78B1" w14:textId="77777777">
      <w:pPr>
        <w:numPr>
          <w:ilvl w:val="0"/>
          <w:numId w:val="15"/>
        </w:numPr>
        <w:spacing w:after="160" w:line="259" w:lineRule="auto"/>
        <w:ind w:left="360"/>
        <w:rPr>
          <w:rFonts w:eastAsia="Calibri"/>
          <w:b/>
          <w:bCs/>
          <w:szCs w:val="18"/>
          <w:lang w:eastAsia="en-US"/>
        </w:rPr>
      </w:pPr>
      <w:r w:rsidRPr="00FB48E0">
        <w:rPr>
          <w:rFonts w:eastAsia="Calibri"/>
          <w:b/>
          <w:bCs/>
          <w:szCs w:val="18"/>
          <w:lang w:eastAsia="en-US"/>
        </w:rPr>
        <w:t>Bent u bekend met het artikel ‘Het gemuilkorfde onderwijs’, waarin leraren melding maken van toenemende spanningen en beïnvloeding binnen scholen door leerlingen en ouders met veelal een islamitische achtergrond? 1)</w:t>
      </w:r>
    </w:p>
    <w:p w:rsidRPr="008F2006" w:rsidR="00254C6F" w:rsidP="00254C6F" w:rsidRDefault="00254C6F" w14:paraId="57290B05" w14:textId="77777777">
      <w:pPr>
        <w:spacing w:after="160" w:line="259" w:lineRule="auto"/>
        <w:ind w:left="360"/>
        <w:rPr>
          <w:rFonts w:eastAsia="Calibri"/>
          <w:szCs w:val="18"/>
          <w:lang w:eastAsia="en-US"/>
        </w:rPr>
      </w:pPr>
      <w:r>
        <w:rPr>
          <w:rFonts w:eastAsia="Calibri"/>
          <w:szCs w:val="18"/>
          <w:lang w:eastAsia="en-US"/>
        </w:rPr>
        <w:t xml:space="preserve">Ja daar ben ik mee bekend. </w:t>
      </w:r>
      <w:r w:rsidRPr="008F2006">
        <w:rPr>
          <w:rFonts w:eastAsia="Calibri"/>
          <w:szCs w:val="18"/>
          <w:lang w:eastAsia="en-US"/>
        </w:rPr>
        <w:br/>
      </w:r>
    </w:p>
    <w:p w:rsidRPr="00FB48E0" w:rsidR="00254C6F" w:rsidP="00254C6F" w:rsidRDefault="00254C6F" w14:paraId="5C98AE29" w14:textId="77777777">
      <w:pPr>
        <w:numPr>
          <w:ilvl w:val="0"/>
          <w:numId w:val="15"/>
        </w:numPr>
        <w:spacing w:after="160" w:line="259" w:lineRule="auto"/>
        <w:ind w:left="360"/>
        <w:rPr>
          <w:rFonts w:eastAsia="Calibri"/>
          <w:b/>
          <w:bCs/>
          <w:szCs w:val="18"/>
          <w:lang w:eastAsia="en-US"/>
        </w:rPr>
      </w:pPr>
      <w:r w:rsidRPr="00FB48E0">
        <w:rPr>
          <w:rFonts w:eastAsia="Calibri"/>
          <w:b/>
          <w:bCs/>
          <w:szCs w:val="18"/>
          <w:lang w:eastAsia="en-US"/>
        </w:rPr>
        <w:t>Wat is uw reactie op de in het artikel beschreven praktijken, zoals religieus gemotiveerde groepsdruk, intimidatie van docenten, verstoring van lessen en toenemende eisen aan het onderwijs, waardoor het gezag van de leraar onder druk staat en het leerklimaat wordt aangetast?</w:t>
      </w:r>
    </w:p>
    <w:p w:rsidR="00254C6F" w:rsidP="00254C6F" w:rsidRDefault="00254C6F" w14:paraId="685E3196" w14:textId="77777777">
      <w:pPr>
        <w:spacing w:after="160" w:line="259" w:lineRule="auto"/>
        <w:ind w:left="360"/>
        <w:rPr>
          <w:rFonts w:eastAsia="Calibri"/>
          <w:szCs w:val="18"/>
          <w:lang w:eastAsia="en-US"/>
        </w:rPr>
      </w:pPr>
      <w:r>
        <w:rPr>
          <w:rFonts w:eastAsia="Calibri"/>
          <w:szCs w:val="18"/>
          <w:lang w:eastAsia="en-US"/>
        </w:rPr>
        <w:t xml:space="preserve">Het moge duidelijk zijn dat ik elke vorm van groepsdruk, intimidatie en verstoring van lessen sterk afkeur. Ook als ouders zich onfatsoenlijk opstellen richting docenten is dat onacceptabel. Daarbij is het van het grootste belang dat schoolleiders en bestuurders zich pal achter hun docenten scharen als dit soort praktijken zich voordoen. </w:t>
      </w:r>
    </w:p>
    <w:p w:rsidRPr="008F2006" w:rsidR="00254C6F" w:rsidP="00254C6F" w:rsidRDefault="00254C6F" w14:paraId="00A12768" w14:textId="77777777">
      <w:pPr>
        <w:spacing w:after="160" w:line="259" w:lineRule="auto"/>
        <w:ind w:left="360"/>
        <w:rPr>
          <w:rFonts w:eastAsia="Calibri"/>
          <w:szCs w:val="18"/>
          <w:lang w:eastAsia="en-US"/>
        </w:rPr>
      </w:pPr>
      <w:r>
        <w:rPr>
          <w:rFonts w:eastAsia="Calibri"/>
          <w:szCs w:val="18"/>
          <w:lang w:eastAsia="en-US"/>
        </w:rPr>
        <w:t xml:space="preserve">Waar het leerlingen betreft, onderstrepen dit soort praktijken het belang van de wettelijke burgerschapsopdracht onderstreept. De burgerschapsopdracht vraagt van scholen dat ze kennis van en respect voor de basiswaarden van de democratische rechtsstaat onder leerlingen bevorderen en dat ze hen de sociale en maatschappelijke competenties bijbrengen die hieraan invulling geven, zoals verdraagzaamheid, begrip en verantwoordelijkheidsbesef. De burgerschapsopdracht vraagt van scholen ook dat ze zorg dragen voor een schoolcultuur die in overeenstemming is met de basiswaarden van de democratische rechtsstaat. </w:t>
      </w:r>
      <w:r w:rsidRPr="008F2006">
        <w:rPr>
          <w:rFonts w:eastAsia="Calibri"/>
          <w:szCs w:val="18"/>
          <w:lang w:eastAsia="en-US"/>
        </w:rPr>
        <w:br/>
      </w:r>
    </w:p>
    <w:p w:rsidRPr="00FB48E0" w:rsidR="00254C6F" w:rsidP="00254C6F" w:rsidRDefault="00254C6F" w14:paraId="41716113" w14:textId="77777777">
      <w:pPr>
        <w:numPr>
          <w:ilvl w:val="0"/>
          <w:numId w:val="15"/>
        </w:numPr>
        <w:spacing w:after="160" w:line="259" w:lineRule="auto"/>
        <w:ind w:left="360"/>
        <w:rPr>
          <w:rFonts w:eastAsia="Calibri"/>
          <w:b/>
          <w:bCs/>
          <w:szCs w:val="18"/>
          <w:lang w:eastAsia="en-US"/>
        </w:rPr>
      </w:pPr>
      <w:r w:rsidRPr="00FB48E0">
        <w:rPr>
          <w:rFonts w:eastAsia="Calibri"/>
          <w:b/>
          <w:bCs/>
          <w:szCs w:val="18"/>
          <w:lang w:eastAsia="en-US"/>
        </w:rPr>
        <w:t>Hoe beoordeelt u de signalen dat vrouwelijke docenten stelselmatig worden genegeerd of verbaal gedegradeerd, dat Joodse en homoseksuele collega’s uit angst hun identiteit verzwijgen, en dat schoolbesturen hier niet tegen optreden?</w:t>
      </w:r>
    </w:p>
    <w:p w:rsidR="00254C6F" w:rsidP="00254C6F" w:rsidRDefault="00254C6F" w14:paraId="35A5FAC2" w14:textId="77777777">
      <w:pPr>
        <w:spacing w:after="160" w:line="259" w:lineRule="auto"/>
        <w:ind w:left="360"/>
        <w:rPr>
          <w:rFonts w:eastAsia="Calibri"/>
          <w:szCs w:val="18"/>
          <w:lang w:eastAsia="en-US"/>
        </w:rPr>
      </w:pPr>
      <w:bookmarkStart w:name="_Hlk194943447" w:id="0"/>
      <w:r>
        <w:rPr>
          <w:rFonts w:eastAsia="Calibri"/>
          <w:szCs w:val="18"/>
          <w:lang w:eastAsia="en-US"/>
        </w:rPr>
        <w:t>Elk signaal is één te veel. Laat ik heel helder zijn: in het onderwijs mag absoluut geen ruimte zijn voor het negeren of denigreren van personen vanwege hun geslacht, hun seksuele geaardheid, hun geloofsovertuiging of om welke reden dan ook. Ik roep schoolleiders en bestuurders op om hier scherp op te zijn en om zich pal achter hun docenten te scharen als dit soort praktijken zich voordoen.</w:t>
      </w:r>
      <w:bookmarkEnd w:id="0"/>
    </w:p>
    <w:p w:rsidR="00254C6F" w:rsidP="00254C6F" w:rsidRDefault="00254C6F" w14:paraId="3B91B626" w14:textId="77777777">
      <w:pPr>
        <w:spacing w:after="160" w:line="259" w:lineRule="auto"/>
        <w:ind w:left="360"/>
        <w:rPr>
          <w:rFonts w:eastAsia="Calibri"/>
          <w:szCs w:val="18"/>
          <w:lang w:eastAsia="en-US"/>
        </w:rPr>
      </w:pPr>
      <w:r>
        <w:rPr>
          <w:rFonts w:eastAsia="Calibri"/>
          <w:szCs w:val="18"/>
          <w:lang w:eastAsia="en-US"/>
        </w:rPr>
        <w:t xml:space="preserve">Als er sprake is van incidenten, treedt de inspectie handhavend op. Die handhaving kan op uiteenlopende zaken betrekking hebben, waaronder het optreden van de school tegen uitingen die in strijd zijn met de basiswaarden van de democratische rechtstaat en de bevordering van burgerschap in bredere zin. De handhaving kan ook betrekking hebben op het bredere beleid van de school. Denk aan beleid ten aanzien van de veiligheid of aan beleid ten aanzien van de borging van de professionele ruimte van docenten en de ondersteuning van docenten, in geval van dit soort incidenten. </w:t>
      </w:r>
      <w:r w:rsidRPr="005D364B">
        <w:rPr>
          <w:rFonts w:eastAsia="Calibri"/>
          <w:szCs w:val="18"/>
          <w:lang w:eastAsia="en-US"/>
        </w:rPr>
        <w:t xml:space="preserve">Bij ernstige </w:t>
      </w:r>
      <w:r w:rsidRPr="005D364B">
        <w:rPr>
          <w:rFonts w:eastAsia="Calibri"/>
          <w:szCs w:val="18"/>
          <w:lang w:eastAsia="en-US"/>
        </w:rPr>
        <w:lastRenderedPageBreak/>
        <w:t>incidenten worden scholen en betrokkenen bovendien gestimuleerd om aangifte te doen van strafbare feiten.</w:t>
      </w:r>
    </w:p>
    <w:p w:rsidRPr="008F2006" w:rsidR="00254C6F" w:rsidP="00254C6F" w:rsidRDefault="00254C6F" w14:paraId="6005A931" w14:textId="77777777">
      <w:pPr>
        <w:spacing w:after="160" w:line="259" w:lineRule="auto"/>
        <w:ind w:left="360"/>
        <w:rPr>
          <w:rFonts w:eastAsia="Calibri"/>
          <w:szCs w:val="18"/>
          <w:lang w:eastAsia="en-US"/>
        </w:rPr>
      </w:pPr>
    </w:p>
    <w:p w:rsidRPr="00FB48E0" w:rsidR="00254C6F" w:rsidP="00254C6F" w:rsidRDefault="00254C6F" w14:paraId="5438B163" w14:textId="77777777">
      <w:pPr>
        <w:numPr>
          <w:ilvl w:val="0"/>
          <w:numId w:val="15"/>
        </w:numPr>
        <w:spacing w:after="160" w:line="259" w:lineRule="auto"/>
        <w:ind w:left="360"/>
        <w:rPr>
          <w:rFonts w:eastAsia="Calibri"/>
          <w:b/>
          <w:bCs/>
          <w:szCs w:val="18"/>
          <w:lang w:eastAsia="en-US"/>
        </w:rPr>
      </w:pPr>
      <w:r w:rsidRPr="00FB48E0">
        <w:rPr>
          <w:rFonts w:eastAsia="Calibri"/>
          <w:b/>
          <w:bCs/>
          <w:szCs w:val="18"/>
          <w:lang w:eastAsia="en-US"/>
        </w:rPr>
        <w:t>Erkent u het risico dat scholen structureel ruimte bieden aan religieus gemotiveerde uitzonderingen – bijvoorbeeld rond sportdeelname, excursies, kledingvoorschriften, lessen over seksuele diversiteit of de Holocaust – met als gevolg dat het seculiere fundament van het openbaar onderwijs onder druk komt te staan?</w:t>
      </w:r>
    </w:p>
    <w:p w:rsidR="00254C6F" w:rsidP="00254C6F" w:rsidRDefault="00254C6F" w14:paraId="1DFA1515" w14:textId="77777777">
      <w:pPr>
        <w:spacing w:after="160" w:line="259" w:lineRule="auto"/>
        <w:ind w:left="360"/>
        <w:rPr>
          <w:rFonts w:eastAsia="Calibri"/>
          <w:szCs w:val="18"/>
          <w:lang w:eastAsia="en-US"/>
        </w:rPr>
      </w:pPr>
      <w:r>
        <w:rPr>
          <w:rFonts w:eastAsia="Calibri"/>
          <w:szCs w:val="18"/>
          <w:lang w:eastAsia="en-US"/>
        </w:rPr>
        <w:t xml:space="preserve">Het openbaar onderwijs dient neutraal te zijn ten aanzien van elke godsdienst of levensovertuiging. Dat is het openbare karakter van deze scholen en daar sta ik voor. Ik heb op dit moment geen reden om aan te nemen dat deze neutraliteit op openbare scholen onder druk staat door religieus gemotiveerde uitzonderingen.   </w:t>
      </w:r>
    </w:p>
    <w:p w:rsidRPr="008F2006" w:rsidR="00254C6F" w:rsidP="00254C6F" w:rsidRDefault="00254C6F" w14:paraId="1E07929C" w14:textId="77777777">
      <w:pPr>
        <w:spacing w:after="160" w:line="259" w:lineRule="auto"/>
        <w:ind w:left="360"/>
        <w:rPr>
          <w:rFonts w:eastAsia="Calibri"/>
          <w:szCs w:val="18"/>
          <w:lang w:eastAsia="en-US"/>
        </w:rPr>
      </w:pPr>
      <w:r>
        <w:rPr>
          <w:rFonts w:eastAsia="Calibri"/>
          <w:szCs w:val="18"/>
          <w:lang w:eastAsia="en-US"/>
        </w:rPr>
        <w:t xml:space="preserve">Wettelijk is </w:t>
      </w:r>
      <w:r>
        <w:t>vastgelegd dat openbaar onderwijs wordt gegeven met eerbiediging van ieders godsdienst of levensovertuiging. Ten aanzien van de neutraliteit van het openbaar onderwijs betekent dit twee dingen: dat er geen enkele religie of levensbeschouwing aan de basis van het openbaar onderwijs ligt (passieve neutraliteit) én dat in het openbaar onderwijs aandacht is voor de pluriformiteit van de in de samenleving levende overtuigingen (actieve neutraliteit). Het is daarbij van belang dat het onderwijs niet doorslaat in de richting van één bepaalde religie en dat aan leerlingen geen religieuze handelingen worden opgelegd. Gebeurt dat toch, dan handelt de school in strijd met de wettelijke eisen ten aanzien van passieve neutraliteit en zal de inspectie de school hierop aanspreken.</w:t>
      </w:r>
      <w:r w:rsidRPr="008F2006">
        <w:rPr>
          <w:rFonts w:eastAsia="Calibri"/>
          <w:szCs w:val="18"/>
          <w:lang w:eastAsia="en-US"/>
        </w:rPr>
        <w:br/>
      </w:r>
    </w:p>
    <w:p w:rsidRPr="00FB48E0" w:rsidR="00254C6F" w:rsidP="00254C6F" w:rsidRDefault="00254C6F" w14:paraId="23902531" w14:textId="77777777">
      <w:pPr>
        <w:numPr>
          <w:ilvl w:val="0"/>
          <w:numId w:val="15"/>
        </w:numPr>
        <w:spacing w:after="160" w:line="259" w:lineRule="auto"/>
        <w:ind w:left="360"/>
        <w:rPr>
          <w:rFonts w:eastAsia="Calibri"/>
          <w:b/>
          <w:bCs/>
          <w:szCs w:val="18"/>
          <w:lang w:eastAsia="en-US"/>
        </w:rPr>
      </w:pPr>
      <w:r w:rsidRPr="00FB48E0">
        <w:rPr>
          <w:rFonts w:eastAsia="Calibri"/>
          <w:b/>
          <w:bCs/>
          <w:szCs w:val="18"/>
          <w:lang w:eastAsia="en-US"/>
        </w:rPr>
        <w:t>Deelt u de opvatting dat het agressieve en eisende gedrag van ouders en leerlingen, zoals in het artikel geschetst, afbreuk doet aan de veiligheid, het gezag en de aantrekkelijkheid van het lerarenberoep?</w:t>
      </w:r>
    </w:p>
    <w:p w:rsidR="00254C6F" w:rsidP="00254C6F" w:rsidRDefault="00254C6F" w14:paraId="6BEF9D51" w14:textId="77777777">
      <w:pPr>
        <w:spacing w:after="160" w:line="259" w:lineRule="auto"/>
        <w:ind w:left="360"/>
        <w:rPr>
          <w:rFonts w:eastAsia="Calibri"/>
          <w:szCs w:val="18"/>
          <w:lang w:eastAsia="en-US"/>
        </w:rPr>
      </w:pPr>
      <w:r>
        <w:rPr>
          <w:rFonts w:eastAsia="Calibri"/>
          <w:szCs w:val="18"/>
          <w:lang w:eastAsia="en-US"/>
        </w:rPr>
        <w:t xml:space="preserve">Ja, deze opvatting deel ik. Elke vorm van agressie, intimidatie, of respectloosheid richting leraren veroordeel ik. </w:t>
      </w:r>
      <w:r>
        <w:rPr>
          <w:rFonts w:eastAsia="Calibri"/>
          <w:szCs w:val="18"/>
          <w:lang w:eastAsia="en-US"/>
        </w:rPr>
        <w:br/>
      </w:r>
    </w:p>
    <w:p w:rsidRPr="00FB48E0" w:rsidR="00254C6F" w:rsidP="00254C6F" w:rsidRDefault="00254C6F" w14:paraId="6273286E" w14:textId="77777777">
      <w:pPr>
        <w:numPr>
          <w:ilvl w:val="0"/>
          <w:numId w:val="15"/>
        </w:numPr>
        <w:spacing w:after="160" w:line="259" w:lineRule="auto"/>
        <w:ind w:left="360"/>
        <w:rPr>
          <w:rFonts w:eastAsia="Calibri"/>
          <w:b/>
          <w:bCs/>
          <w:szCs w:val="18"/>
          <w:lang w:eastAsia="en-US"/>
        </w:rPr>
      </w:pPr>
      <w:r w:rsidRPr="00FB48E0">
        <w:rPr>
          <w:rFonts w:eastAsia="Calibri"/>
          <w:b/>
          <w:bCs/>
          <w:szCs w:val="18"/>
          <w:lang w:eastAsia="en-US"/>
        </w:rPr>
        <w:t>Bent u bereid om onafhankelijk te laten onderzoeken in hoeverre religieuze druk, antisemitisme en bestuurlijk wegkijken de onderwijsvrijheid, de veiligheid van leerlingen en docenten en de gelijkwaardigheid binnen de school aantasten? Zo nee, waarom niet?</w:t>
      </w:r>
    </w:p>
    <w:p w:rsidR="00254C6F" w:rsidP="00254C6F" w:rsidRDefault="00254C6F" w14:paraId="76E2F579" w14:textId="77777777">
      <w:pPr>
        <w:spacing w:after="160" w:line="259" w:lineRule="auto"/>
        <w:ind w:left="360"/>
        <w:rPr>
          <w:rFonts w:eastAsia="Calibri"/>
          <w:szCs w:val="18"/>
          <w:lang w:eastAsia="en-US"/>
        </w:rPr>
      </w:pPr>
      <w:r>
        <w:rPr>
          <w:rFonts w:eastAsia="Calibri"/>
          <w:szCs w:val="18"/>
          <w:lang w:eastAsia="en-US"/>
        </w:rPr>
        <w:t xml:space="preserve">Gedrag zoals geschetst in het artikel is onacceptabel. Het spreekt voor zich dat ik enorm hecht aan de veiligheid van leerlingen en docenten en aan  gelijkwaardigheid binnen de school. Om die reden werk ik momenteel aan het Wetsvoorstel vrij en veilig onderwijs, waarin verschillende maatregelen zijn opgenomen om de veiligheid in het onderwijs te waarborgen. </w:t>
      </w:r>
    </w:p>
    <w:p w:rsidR="00254C6F" w:rsidP="00254C6F" w:rsidRDefault="00254C6F" w14:paraId="7BF02A46" w14:textId="77777777">
      <w:pPr>
        <w:spacing w:after="160" w:line="259" w:lineRule="auto"/>
        <w:ind w:left="360"/>
        <w:rPr>
          <w:rFonts w:eastAsia="Calibri"/>
          <w:szCs w:val="18"/>
          <w:lang w:eastAsia="en-US"/>
        </w:rPr>
      </w:pPr>
      <w:r w:rsidRPr="00FA45C3">
        <w:rPr>
          <w:rFonts w:eastAsia="Calibri"/>
          <w:szCs w:val="18"/>
          <w:lang w:eastAsia="en-US"/>
        </w:rPr>
        <w:t>In dit wetsvoorstel worden onder andere een meldplicht</w:t>
      </w:r>
      <w:r>
        <w:rPr>
          <w:rFonts w:eastAsia="Calibri"/>
          <w:szCs w:val="18"/>
          <w:lang w:eastAsia="en-US"/>
        </w:rPr>
        <w:t xml:space="preserve"> voor ernstige veiligheidsincidenten bij de inspectie </w:t>
      </w:r>
      <w:r w:rsidRPr="00FA45C3">
        <w:rPr>
          <w:rFonts w:eastAsia="Calibri"/>
          <w:szCs w:val="18"/>
          <w:lang w:eastAsia="en-US"/>
        </w:rPr>
        <w:t xml:space="preserve"> </w:t>
      </w:r>
      <w:r>
        <w:rPr>
          <w:rFonts w:eastAsia="Calibri"/>
          <w:szCs w:val="18"/>
          <w:lang w:eastAsia="en-US"/>
        </w:rPr>
        <w:t xml:space="preserve"> en </w:t>
      </w:r>
      <w:r w:rsidRPr="00FA45C3">
        <w:rPr>
          <w:rFonts w:eastAsia="Calibri"/>
          <w:szCs w:val="18"/>
          <w:lang w:eastAsia="en-US"/>
        </w:rPr>
        <w:t xml:space="preserve">de aanstelling van interne en externe </w:t>
      </w:r>
      <w:r>
        <w:rPr>
          <w:rFonts w:eastAsia="Calibri"/>
          <w:szCs w:val="18"/>
          <w:lang w:eastAsia="en-US"/>
        </w:rPr>
        <w:t>vertrouwenspersonen opgenomen</w:t>
      </w:r>
      <w:r w:rsidRPr="00FA45C3">
        <w:rPr>
          <w:rFonts w:eastAsia="Calibri"/>
          <w:szCs w:val="18"/>
          <w:lang w:eastAsia="en-US"/>
        </w:rPr>
        <w:t xml:space="preserve">. Deze maatregelen zorgen ervoor dat problemen eerder </w:t>
      </w:r>
      <w:r>
        <w:rPr>
          <w:rFonts w:eastAsia="Calibri"/>
          <w:szCs w:val="18"/>
          <w:lang w:eastAsia="en-US"/>
        </w:rPr>
        <w:t xml:space="preserve">kunnen </w:t>
      </w:r>
      <w:r w:rsidRPr="00FA45C3">
        <w:rPr>
          <w:rFonts w:eastAsia="Calibri"/>
          <w:szCs w:val="18"/>
          <w:lang w:eastAsia="en-US"/>
        </w:rPr>
        <w:t>worden gesignaleerd.</w:t>
      </w:r>
      <w:r>
        <w:rPr>
          <w:rFonts w:eastAsia="Calibri"/>
          <w:szCs w:val="18"/>
          <w:lang w:eastAsia="en-US"/>
        </w:rPr>
        <w:t xml:space="preserve"> </w:t>
      </w:r>
      <w:r w:rsidRPr="00FA45C3">
        <w:rPr>
          <w:rFonts w:eastAsia="Calibri"/>
          <w:szCs w:val="18"/>
          <w:lang w:eastAsia="en-US"/>
        </w:rPr>
        <w:t>Daarnaast gelden er al wettelijke verplichtingen</w:t>
      </w:r>
      <w:r>
        <w:rPr>
          <w:rFonts w:eastAsia="Calibri"/>
          <w:szCs w:val="18"/>
          <w:lang w:eastAsia="en-US"/>
        </w:rPr>
        <w:t xml:space="preserve"> voor scholen</w:t>
      </w:r>
      <w:r w:rsidRPr="00FA45C3">
        <w:rPr>
          <w:rFonts w:eastAsia="Calibri"/>
          <w:szCs w:val="18"/>
          <w:lang w:eastAsia="en-US"/>
        </w:rPr>
        <w:t xml:space="preserve">, zoals de zorgplicht </w:t>
      </w:r>
      <w:r>
        <w:rPr>
          <w:rFonts w:eastAsia="Calibri"/>
          <w:szCs w:val="18"/>
          <w:lang w:eastAsia="en-US"/>
        </w:rPr>
        <w:t xml:space="preserve">voor de veiligheid op school </w:t>
      </w:r>
      <w:r w:rsidRPr="00FA45C3">
        <w:rPr>
          <w:rFonts w:eastAsia="Calibri"/>
          <w:szCs w:val="18"/>
          <w:lang w:eastAsia="en-US"/>
        </w:rPr>
        <w:t>en de plicht om actief burgerschap te bevorderen.</w:t>
      </w:r>
    </w:p>
    <w:p w:rsidR="00254C6F" w:rsidP="00254C6F" w:rsidRDefault="00254C6F" w14:paraId="4792C16E" w14:textId="77777777">
      <w:pPr>
        <w:spacing w:after="160" w:line="259" w:lineRule="auto"/>
        <w:ind w:left="360"/>
        <w:rPr>
          <w:rFonts w:eastAsia="Calibri"/>
          <w:szCs w:val="18"/>
          <w:lang w:eastAsia="en-US"/>
        </w:rPr>
      </w:pPr>
      <w:r>
        <w:rPr>
          <w:rFonts w:eastAsia="Calibri"/>
          <w:szCs w:val="18"/>
          <w:lang w:eastAsia="en-US"/>
        </w:rPr>
        <w:lastRenderedPageBreak/>
        <w:t xml:space="preserve">De taak om toezicht te houden op de veiligheid in het onderwijs is belegd bij de inspectie. Als er sprake is van incidenten, doet de inspectie nader onderzoek en treedt de inspectie waar nodig handhavend op. Die handhaving kan op uiteenlopende zaken betrekking hebben: op het veiligheidsbeleid van de school, op de bevordering van burgerschap of op het beleid van de school ten aanzien van de borging van de professionele ruimte van docenten en de ondersteuning van docenten in geval van dit soort incidenten. </w:t>
      </w:r>
    </w:p>
    <w:p w:rsidR="00254C6F" w:rsidP="00254C6F" w:rsidRDefault="00254C6F" w14:paraId="6413787E" w14:textId="77777777">
      <w:pPr>
        <w:spacing w:after="160" w:line="259" w:lineRule="auto"/>
        <w:ind w:left="360"/>
        <w:rPr>
          <w:rFonts w:eastAsia="Calibri"/>
          <w:szCs w:val="18"/>
          <w:lang w:eastAsia="en-US"/>
        </w:rPr>
      </w:pPr>
      <w:r>
        <w:rPr>
          <w:rFonts w:eastAsia="Calibri"/>
          <w:szCs w:val="18"/>
          <w:lang w:eastAsia="en-US"/>
        </w:rPr>
        <w:t xml:space="preserve">De aanpak van sociale veiligheid op school is voortdurend in ontwikkeling. </w:t>
      </w:r>
      <w:r w:rsidRPr="00FA45C3">
        <w:rPr>
          <w:rFonts w:eastAsia="Calibri"/>
          <w:szCs w:val="18"/>
          <w:lang w:eastAsia="en-US"/>
        </w:rPr>
        <w:t>Als blijkt dat extra maatregelen nodig zijn om die veiligheid verder te versterken, ben ik bereid die te nemen.</w:t>
      </w:r>
    </w:p>
    <w:p w:rsidRPr="008F2006" w:rsidR="00254C6F" w:rsidP="00254C6F" w:rsidRDefault="00254C6F" w14:paraId="5A026A51" w14:textId="77777777">
      <w:pPr>
        <w:spacing w:after="160" w:line="259" w:lineRule="auto"/>
        <w:rPr>
          <w:rFonts w:eastAsia="Calibri"/>
          <w:szCs w:val="18"/>
          <w:lang w:eastAsia="en-US"/>
        </w:rPr>
      </w:pPr>
      <w:r w:rsidRPr="008F2006">
        <w:rPr>
          <w:rFonts w:eastAsia="Calibri"/>
          <w:szCs w:val="18"/>
          <w:lang w:eastAsia="en-US"/>
        </w:rPr>
        <w:t> </w:t>
      </w:r>
      <w:r w:rsidRPr="008F2006">
        <w:rPr>
          <w:rFonts w:eastAsia="Calibri"/>
          <w:szCs w:val="18"/>
          <w:lang w:eastAsia="en-US"/>
        </w:rPr>
        <w:br/>
      </w:r>
    </w:p>
    <w:p w:rsidRPr="008F2006" w:rsidR="00254C6F" w:rsidP="00254C6F" w:rsidRDefault="00254C6F" w14:paraId="29B57886" w14:textId="77777777">
      <w:pPr>
        <w:rPr>
          <w:rFonts w:eastAsia="Calibri"/>
          <w:szCs w:val="18"/>
          <w:lang w:eastAsia="en-US"/>
        </w:rPr>
      </w:pPr>
      <w:r w:rsidRPr="008F2006">
        <w:rPr>
          <w:rFonts w:eastAsia="Calibri"/>
          <w:szCs w:val="18"/>
          <w:lang w:eastAsia="en-US"/>
        </w:rPr>
        <w:t>1) HP/De Tijd, 26 maart 2025, "Het gemuilkorfde onderwijs", </w:t>
      </w:r>
      <w:bookmarkStart w:name="_Hlk194657602" w:id="1"/>
      <w:r w:rsidRPr="008F2006">
        <w:rPr>
          <w:rFonts w:eastAsia="Calibri"/>
          <w:szCs w:val="18"/>
          <w:lang w:eastAsia="en-US"/>
        </w:rPr>
        <w:t>https://www.hpdetijd.nl/nieuws/leven/47087/het-gemuilkorfde-onderwijs</w:t>
      </w:r>
      <w:bookmarkEnd w:id="1"/>
    </w:p>
    <w:p w:rsidRPr="00820DDA" w:rsidR="00254C6F" w:rsidP="00254C6F" w:rsidRDefault="00254C6F" w14:paraId="31DD7104" w14:textId="77777777">
      <w:pPr>
        <w:pStyle w:val="standaard-tekst"/>
      </w:pPr>
    </w:p>
    <w:p w:rsidRPr="00820DDA" w:rsidR="00820DDA" w:rsidP="00254C6F" w:rsidRDefault="00820DDA" w14:paraId="756A35CD" w14:textId="77777777">
      <w:pPr>
        <w:pStyle w:val="pagebreak"/>
        <w:pageBreakBefore w:val="0"/>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1458" w14:textId="77777777" w:rsidR="00DC691C" w:rsidRDefault="00FB48E0">
      <w:r>
        <w:separator/>
      </w:r>
    </w:p>
    <w:p w14:paraId="127457ED" w14:textId="77777777" w:rsidR="00DC691C" w:rsidRDefault="00DC691C"/>
  </w:endnote>
  <w:endnote w:type="continuationSeparator" w:id="0">
    <w:p w14:paraId="702A4EA3" w14:textId="77777777" w:rsidR="00DC691C" w:rsidRDefault="00FB48E0">
      <w:r>
        <w:continuationSeparator/>
      </w:r>
    </w:p>
    <w:p w14:paraId="2217C40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1E1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46C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F3624" w14:paraId="32B150C0" w14:textId="77777777" w:rsidTr="004C7E1D">
      <w:trPr>
        <w:trHeight w:hRule="exact" w:val="357"/>
      </w:trPr>
      <w:tc>
        <w:tcPr>
          <w:tcW w:w="7603" w:type="dxa"/>
          <w:shd w:val="clear" w:color="auto" w:fill="auto"/>
        </w:tcPr>
        <w:p w14:paraId="788F5878" w14:textId="77777777" w:rsidR="002F71BB" w:rsidRPr="004C7E1D" w:rsidRDefault="002F71BB" w:rsidP="004C7E1D">
          <w:pPr>
            <w:spacing w:line="180" w:lineRule="exact"/>
            <w:rPr>
              <w:sz w:val="13"/>
              <w:szCs w:val="13"/>
            </w:rPr>
          </w:pPr>
        </w:p>
      </w:tc>
      <w:tc>
        <w:tcPr>
          <w:tcW w:w="2172" w:type="dxa"/>
          <w:shd w:val="clear" w:color="auto" w:fill="auto"/>
        </w:tcPr>
        <w:p w14:paraId="2E41F06D" w14:textId="4F263C3C" w:rsidR="002F71BB" w:rsidRPr="004C7E1D" w:rsidRDefault="00FB48E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E029A">
            <w:rPr>
              <w:szCs w:val="13"/>
            </w:rPr>
            <w:t>4</w:t>
          </w:r>
          <w:r w:rsidRPr="004C7E1D">
            <w:rPr>
              <w:szCs w:val="13"/>
            </w:rPr>
            <w:fldChar w:fldCharType="end"/>
          </w:r>
        </w:p>
      </w:tc>
    </w:tr>
  </w:tbl>
  <w:p w14:paraId="5773B6B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F3624" w14:paraId="5D8CAC11" w14:textId="77777777" w:rsidTr="004C7E1D">
      <w:trPr>
        <w:trHeight w:hRule="exact" w:val="357"/>
      </w:trPr>
      <w:tc>
        <w:tcPr>
          <w:tcW w:w="7709" w:type="dxa"/>
          <w:shd w:val="clear" w:color="auto" w:fill="auto"/>
        </w:tcPr>
        <w:p w14:paraId="52F97912" w14:textId="77777777" w:rsidR="00D17084" w:rsidRPr="004C7E1D" w:rsidRDefault="00D17084" w:rsidP="004C7E1D">
          <w:pPr>
            <w:spacing w:line="180" w:lineRule="exact"/>
            <w:rPr>
              <w:sz w:val="13"/>
              <w:szCs w:val="13"/>
            </w:rPr>
          </w:pPr>
        </w:p>
      </w:tc>
      <w:tc>
        <w:tcPr>
          <w:tcW w:w="2060" w:type="dxa"/>
          <w:shd w:val="clear" w:color="auto" w:fill="auto"/>
        </w:tcPr>
        <w:p w14:paraId="47A69AC7" w14:textId="0439506A" w:rsidR="00D17084" w:rsidRPr="004C7E1D" w:rsidRDefault="00FB48E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22728">
            <w:rPr>
              <w:szCs w:val="13"/>
            </w:rPr>
            <w:t>4</w:t>
          </w:r>
          <w:r w:rsidRPr="004C7E1D">
            <w:rPr>
              <w:szCs w:val="13"/>
            </w:rPr>
            <w:fldChar w:fldCharType="end"/>
          </w:r>
        </w:p>
      </w:tc>
    </w:tr>
  </w:tbl>
  <w:p w14:paraId="78B1F7F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E5E6" w14:textId="77777777" w:rsidR="00DC691C" w:rsidRDefault="00FB48E0">
      <w:r>
        <w:separator/>
      </w:r>
    </w:p>
    <w:p w14:paraId="18E655BD" w14:textId="77777777" w:rsidR="00DC691C" w:rsidRDefault="00DC691C"/>
  </w:footnote>
  <w:footnote w:type="continuationSeparator" w:id="0">
    <w:p w14:paraId="1781F858" w14:textId="77777777" w:rsidR="00DC691C" w:rsidRDefault="00FB48E0">
      <w:r>
        <w:continuationSeparator/>
      </w:r>
    </w:p>
    <w:p w14:paraId="7020F6B9"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29E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F3624" w14:paraId="286E418E" w14:textId="77777777" w:rsidTr="006D2D53">
      <w:trPr>
        <w:trHeight w:hRule="exact" w:val="400"/>
      </w:trPr>
      <w:tc>
        <w:tcPr>
          <w:tcW w:w="7518" w:type="dxa"/>
          <w:shd w:val="clear" w:color="auto" w:fill="auto"/>
        </w:tcPr>
        <w:p w14:paraId="688DF148" w14:textId="77777777" w:rsidR="00527BD4" w:rsidRPr="00275984" w:rsidRDefault="00527BD4" w:rsidP="00BF4427">
          <w:pPr>
            <w:pStyle w:val="Huisstijl-Rubricering"/>
          </w:pPr>
        </w:p>
      </w:tc>
    </w:tr>
  </w:tbl>
  <w:p w14:paraId="28D5BBB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3624" w14:paraId="65A9A564" w14:textId="77777777" w:rsidTr="003B528D">
      <w:tc>
        <w:tcPr>
          <w:tcW w:w="2160" w:type="dxa"/>
          <w:shd w:val="clear" w:color="auto" w:fill="auto"/>
        </w:tcPr>
        <w:p w14:paraId="2A8FB1ED" w14:textId="77777777" w:rsidR="002F71BB" w:rsidRPr="000407BB" w:rsidRDefault="00FB48E0" w:rsidP="005D283A">
          <w:pPr>
            <w:pStyle w:val="Colofonkop"/>
            <w:framePr w:hSpace="0" w:wrap="auto" w:vAnchor="margin" w:hAnchor="text" w:xAlign="left" w:yAlign="inline"/>
          </w:pPr>
          <w:r>
            <w:t>Onze referentie</w:t>
          </w:r>
        </w:p>
      </w:tc>
    </w:tr>
    <w:tr w:rsidR="007F3624" w14:paraId="43F45767" w14:textId="77777777" w:rsidTr="002F71BB">
      <w:trPr>
        <w:trHeight w:val="259"/>
      </w:trPr>
      <w:tc>
        <w:tcPr>
          <w:tcW w:w="2160" w:type="dxa"/>
          <w:shd w:val="clear" w:color="auto" w:fill="auto"/>
        </w:tcPr>
        <w:p w14:paraId="383AD46E" w14:textId="77777777" w:rsidR="00E35CF4" w:rsidRPr="005D283A" w:rsidRDefault="00FB48E0" w:rsidP="0049501A">
          <w:pPr>
            <w:spacing w:line="180" w:lineRule="exact"/>
            <w:rPr>
              <w:sz w:val="13"/>
              <w:szCs w:val="13"/>
            </w:rPr>
          </w:pPr>
          <w:r>
            <w:rPr>
              <w:sz w:val="13"/>
              <w:szCs w:val="13"/>
            </w:rPr>
            <w:t>51898195</w:t>
          </w:r>
        </w:p>
      </w:tc>
    </w:tr>
  </w:tbl>
  <w:p w14:paraId="0FC9E34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F3624" w14:paraId="55FD3C0F" w14:textId="77777777" w:rsidTr="001377D4">
      <w:trPr>
        <w:trHeight w:val="2636"/>
      </w:trPr>
      <w:tc>
        <w:tcPr>
          <w:tcW w:w="737" w:type="dxa"/>
          <w:shd w:val="clear" w:color="auto" w:fill="auto"/>
        </w:tcPr>
        <w:p w14:paraId="4916310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36464CF" w14:textId="77777777" w:rsidR="00704845" w:rsidRDefault="00FB48E0" w:rsidP="0047126E">
          <w:pPr>
            <w:framePr w:w="3873" w:h="2625" w:hRule="exact" w:wrap="around" w:vAnchor="page" w:hAnchor="page" w:x="6323" w:y="1"/>
          </w:pPr>
          <w:r>
            <w:rPr>
              <w:noProof/>
              <w:lang w:val="en-US" w:eastAsia="en-US"/>
            </w:rPr>
            <w:drawing>
              <wp:inline distT="0" distB="0" distL="0" distR="0" wp14:anchorId="69E070F5" wp14:editId="625A58F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7C5607" w14:textId="77777777" w:rsidR="00483ECA" w:rsidRDefault="00483ECA" w:rsidP="00D037A9"/>
      </w:tc>
    </w:tr>
  </w:tbl>
  <w:p w14:paraId="6EF5EC7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F3624" w14:paraId="5DCAEBA1" w14:textId="77777777" w:rsidTr="0008539E">
      <w:trPr>
        <w:trHeight w:hRule="exact" w:val="572"/>
      </w:trPr>
      <w:tc>
        <w:tcPr>
          <w:tcW w:w="7520" w:type="dxa"/>
          <w:shd w:val="clear" w:color="auto" w:fill="auto"/>
        </w:tcPr>
        <w:p w14:paraId="6B7E0D23" w14:textId="77777777" w:rsidR="00527BD4" w:rsidRPr="00963440" w:rsidRDefault="00FB48E0" w:rsidP="00210BA3">
          <w:pPr>
            <w:pStyle w:val="Huisstijl-Adres"/>
            <w:spacing w:after="0"/>
          </w:pPr>
          <w:r w:rsidRPr="009E3B07">
            <w:t>&gt;Retouradres </w:t>
          </w:r>
          <w:r>
            <w:t>Postbus 16375 2500 BJ Den Haag</w:t>
          </w:r>
          <w:r w:rsidRPr="009E3B07">
            <w:t xml:space="preserve"> </w:t>
          </w:r>
        </w:p>
      </w:tc>
    </w:tr>
    <w:tr w:rsidR="007F3624" w14:paraId="3D75BD30" w14:textId="77777777" w:rsidTr="00E776C6">
      <w:trPr>
        <w:cantSplit/>
        <w:trHeight w:hRule="exact" w:val="238"/>
      </w:trPr>
      <w:tc>
        <w:tcPr>
          <w:tcW w:w="7520" w:type="dxa"/>
          <w:shd w:val="clear" w:color="auto" w:fill="auto"/>
        </w:tcPr>
        <w:p w14:paraId="4CBE5954" w14:textId="77777777" w:rsidR="00093ABC" w:rsidRPr="00963440" w:rsidRDefault="00093ABC" w:rsidP="00963440"/>
      </w:tc>
    </w:tr>
    <w:tr w:rsidR="007F3624" w14:paraId="1BEA9A3E" w14:textId="77777777" w:rsidTr="00E776C6">
      <w:trPr>
        <w:cantSplit/>
        <w:trHeight w:hRule="exact" w:val="1520"/>
      </w:trPr>
      <w:tc>
        <w:tcPr>
          <w:tcW w:w="7520" w:type="dxa"/>
          <w:shd w:val="clear" w:color="auto" w:fill="auto"/>
        </w:tcPr>
        <w:p w14:paraId="68E7B3D3" w14:textId="77777777" w:rsidR="00A604D3" w:rsidRPr="00963440" w:rsidRDefault="00A604D3" w:rsidP="00963440"/>
      </w:tc>
    </w:tr>
    <w:tr w:rsidR="007F3624" w14:paraId="3E4657C5" w14:textId="77777777" w:rsidTr="00E776C6">
      <w:trPr>
        <w:trHeight w:hRule="exact" w:val="1077"/>
      </w:trPr>
      <w:tc>
        <w:tcPr>
          <w:tcW w:w="7520" w:type="dxa"/>
          <w:shd w:val="clear" w:color="auto" w:fill="auto"/>
        </w:tcPr>
        <w:p w14:paraId="122C0847" w14:textId="77777777" w:rsidR="00892BA5" w:rsidRPr="00035E67" w:rsidRDefault="00892BA5" w:rsidP="00892BA5">
          <w:pPr>
            <w:tabs>
              <w:tab w:val="left" w:pos="740"/>
            </w:tabs>
            <w:autoSpaceDE w:val="0"/>
            <w:autoSpaceDN w:val="0"/>
            <w:adjustRightInd w:val="0"/>
            <w:rPr>
              <w:rFonts w:cs="Verdana"/>
              <w:szCs w:val="18"/>
            </w:rPr>
          </w:pPr>
        </w:p>
      </w:tc>
    </w:tr>
  </w:tbl>
  <w:p w14:paraId="2BA20173" w14:textId="77777777" w:rsidR="006F273B" w:rsidRDefault="006F273B" w:rsidP="00BC4AE3">
    <w:pPr>
      <w:pStyle w:val="Koptekst"/>
    </w:pPr>
  </w:p>
  <w:p w14:paraId="011E6D4D" w14:textId="77777777" w:rsidR="00153BD0" w:rsidRDefault="00153BD0" w:rsidP="00BC4AE3">
    <w:pPr>
      <w:pStyle w:val="Koptekst"/>
    </w:pPr>
  </w:p>
  <w:p w14:paraId="0753D242" w14:textId="77777777" w:rsidR="0044605E" w:rsidRDefault="0044605E" w:rsidP="00BC4AE3">
    <w:pPr>
      <w:pStyle w:val="Koptekst"/>
    </w:pPr>
  </w:p>
  <w:p w14:paraId="35B5D2B2" w14:textId="77777777" w:rsidR="0044605E" w:rsidRDefault="0044605E" w:rsidP="00BC4AE3">
    <w:pPr>
      <w:pStyle w:val="Koptekst"/>
    </w:pPr>
  </w:p>
  <w:p w14:paraId="1B60B5C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84FEC2">
      <w:start w:val="1"/>
      <w:numFmt w:val="bullet"/>
      <w:pStyle w:val="Lijstopsomteken"/>
      <w:lvlText w:val="•"/>
      <w:lvlJc w:val="left"/>
      <w:pPr>
        <w:tabs>
          <w:tab w:val="num" w:pos="227"/>
        </w:tabs>
        <w:ind w:left="227" w:hanging="227"/>
      </w:pPr>
      <w:rPr>
        <w:rFonts w:ascii="Verdana" w:hAnsi="Verdana" w:hint="default"/>
        <w:sz w:val="18"/>
        <w:szCs w:val="18"/>
      </w:rPr>
    </w:lvl>
    <w:lvl w:ilvl="1" w:tplc="10BE8C82" w:tentative="1">
      <w:start w:val="1"/>
      <w:numFmt w:val="bullet"/>
      <w:lvlText w:val="o"/>
      <w:lvlJc w:val="left"/>
      <w:pPr>
        <w:tabs>
          <w:tab w:val="num" w:pos="1440"/>
        </w:tabs>
        <w:ind w:left="1440" w:hanging="360"/>
      </w:pPr>
      <w:rPr>
        <w:rFonts w:ascii="Courier New" w:hAnsi="Courier New" w:cs="Courier New" w:hint="default"/>
      </w:rPr>
    </w:lvl>
    <w:lvl w:ilvl="2" w:tplc="DA5A44B4" w:tentative="1">
      <w:start w:val="1"/>
      <w:numFmt w:val="bullet"/>
      <w:lvlText w:val=""/>
      <w:lvlJc w:val="left"/>
      <w:pPr>
        <w:tabs>
          <w:tab w:val="num" w:pos="2160"/>
        </w:tabs>
        <w:ind w:left="2160" w:hanging="360"/>
      </w:pPr>
      <w:rPr>
        <w:rFonts w:ascii="Wingdings" w:hAnsi="Wingdings" w:hint="default"/>
      </w:rPr>
    </w:lvl>
    <w:lvl w:ilvl="3" w:tplc="0948542E" w:tentative="1">
      <w:start w:val="1"/>
      <w:numFmt w:val="bullet"/>
      <w:lvlText w:val=""/>
      <w:lvlJc w:val="left"/>
      <w:pPr>
        <w:tabs>
          <w:tab w:val="num" w:pos="2880"/>
        </w:tabs>
        <w:ind w:left="2880" w:hanging="360"/>
      </w:pPr>
      <w:rPr>
        <w:rFonts w:ascii="Symbol" w:hAnsi="Symbol" w:hint="default"/>
      </w:rPr>
    </w:lvl>
    <w:lvl w:ilvl="4" w:tplc="E2EAC534" w:tentative="1">
      <w:start w:val="1"/>
      <w:numFmt w:val="bullet"/>
      <w:lvlText w:val="o"/>
      <w:lvlJc w:val="left"/>
      <w:pPr>
        <w:tabs>
          <w:tab w:val="num" w:pos="3600"/>
        </w:tabs>
        <w:ind w:left="3600" w:hanging="360"/>
      </w:pPr>
      <w:rPr>
        <w:rFonts w:ascii="Courier New" w:hAnsi="Courier New" w:cs="Courier New" w:hint="default"/>
      </w:rPr>
    </w:lvl>
    <w:lvl w:ilvl="5" w:tplc="D3F61E62" w:tentative="1">
      <w:start w:val="1"/>
      <w:numFmt w:val="bullet"/>
      <w:lvlText w:val=""/>
      <w:lvlJc w:val="left"/>
      <w:pPr>
        <w:tabs>
          <w:tab w:val="num" w:pos="4320"/>
        </w:tabs>
        <w:ind w:left="4320" w:hanging="360"/>
      </w:pPr>
      <w:rPr>
        <w:rFonts w:ascii="Wingdings" w:hAnsi="Wingdings" w:hint="default"/>
      </w:rPr>
    </w:lvl>
    <w:lvl w:ilvl="6" w:tplc="F6B874E4" w:tentative="1">
      <w:start w:val="1"/>
      <w:numFmt w:val="bullet"/>
      <w:lvlText w:val=""/>
      <w:lvlJc w:val="left"/>
      <w:pPr>
        <w:tabs>
          <w:tab w:val="num" w:pos="5040"/>
        </w:tabs>
        <w:ind w:left="5040" w:hanging="360"/>
      </w:pPr>
      <w:rPr>
        <w:rFonts w:ascii="Symbol" w:hAnsi="Symbol" w:hint="default"/>
      </w:rPr>
    </w:lvl>
    <w:lvl w:ilvl="7" w:tplc="C0B4339C" w:tentative="1">
      <w:start w:val="1"/>
      <w:numFmt w:val="bullet"/>
      <w:lvlText w:val="o"/>
      <w:lvlJc w:val="left"/>
      <w:pPr>
        <w:tabs>
          <w:tab w:val="num" w:pos="5760"/>
        </w:tabs>
        <w:ind w:left="5760" w:hanging="360"/>
      </w:pPr>
      <w:rPr>
        <w:rFonts w:ascii="Courier New" w:hAnsi="Courier New" w:cs="Courier New" w:hint="default"/>
      </w:rPr>
    </w:lvl>
    <w:lvl w:ilvl="8" w:tplc="4364AB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6A1876">
      <w:start w:val="1"/>
      <w:numFmt w:val="bullet"/>
      <w:pStyle w:val="Lijstopsomteken2"/>
      <w:lvlText w:val="–"/>
      <w:lvlJc w:val="left"/>
      <w:pPr>
        <w:tabs>
          <w:tab w:val="num" w:pos="227"/>
        </w:tabs>
        <w:ind w:left="227" w:firstLine="0"/>
      </w:pPr>
      <w:rPr>
        <w:rFonts w:ascii="Verdana" w:hAnsi="Verdana" w:hint="default"/>
      </w:rPr>
    </w:lvl>
    <w:lvl w:ilvl="1" w:tplc="EAB4C1D2" w:tentative="1">
      <w:start w:val="1"/>
      <w:numFmt w:val="bullet"/>
      <w:lvlText w:val="o"/>
      <w:lvlJc w:val="left"/>
      <w:pPr>
        <w:tabs>
          <w:tab w:val="num" w:pos="1440"/>
        </w:tabs>
        <w:ind w:left="1440" w:hanging="360"/>
      </w:pPr>
      <w:rPr>
        <w:rFonts w:ascii="Courier New" w:hAnsi="Courier New" w:cs="Courier New" w:hint="default"/>
      </w:rPr>
    </w:lvl>
    <w:lvl w:ilvl="2" w:tplc="153E5E28" w:tentative="1">
      <w:start w:val="1"/>
      <w:numFmt w:val="bullet"/>
      <w:lvlText w:val=""/>
      <w:lvlJc w:val="left"/>
      <w:pPr>
        <w:tabs>
          <w:tab w:val="num" w:pos="2160"/>
        </w:tabs>
        <w:ind w:left="2160" w:hanging="360"/>
      </w:pPr>
      <w:rPr>
        <w:rFonts w:ascii="Wingdings" w:hAnsi="Wingdings" w:hint="default"/>
      </w:rPr>
    </w:lvl>
    <w:lvl w:ilvl="3" w:tplc="7AA8DBEC" w:tentative="1">
      <w:start w:val="1"/>
      <w:numFmt w:val="bullet"/>
      <w:lvlText w:val=""/>
      <w:lvlJc w:val="left"/>
      <w:pPr>
        <w:tabs>
          <w:tab w:val="num" w:pos="2880"/>
        </w:tabs>
        <w:ind w:left="2880" w:hanging="360"/>
      </w:pPr>
      <w:rPr>
        <w:rFonts w:ascii="Symbol" w:hAnsi="Symbol" w:hint="default"/>
      </w:rPr>
    </w:lvl>
    <w:lvl w:ilvl="4" w:tplc="A04AE7A4" w:tentative="1">
      <w:start w:val="1"/>
      <w:numFmt w:val="bullet"/>
      <w:lvlText w:val="o"/>
      <w:lvlJc w:val="left"/>
      <w:pPr>
        <w:tabs>
          <w:tab w:val="num" w:pos="3600"/>
        </w:tabs>
        <w:ind w:left="3600" w:hanging="360"/>
      </w:pPr>
      <w:rPr>
        <w:rFonts w:ascii="Courier New" w:hAnsi="Courier New" w:cs="Courier New" w:hint="default"/>
      </w:rPr>
    </w:lvl>
    <w:lvl w:ilvl="5" w:tplc="1A08EAD6" w:tentative="1">
      <w:start w:val="1"/>
      <w:numFmt w:val="bullet"/>
      <w:lvlText w:val=""/>
      <w:lvlJc w:val="left"/>
      <w:pPr>
        <w:tabs>
          <w:tab w:val="num" w:pos="4320"/>
        </w:tabs>
        <w:ind w:left="4320" w:hanging="360"/>
      </w:pPr>
      <w:rPr>
        <w:rFonts w:ascii="Wingdings" w:hAnsi="Wingdings" w:hint="default"/>
      </w:rPr>
    </w:lvl>
    <w:lvl w:ilvl="6" w:tplc="C05E8576" w:tentative="1">
      <w:start w:val="1"/>
      <w:numFmt w:val="bullet"/>
      <w:lvlText w:val=""/>
      <w:lvlJc w:val="left"/>
      <w:pPr>
        <w:tabs>
          <w:tab w:val="num" w:pos="5040"/>
        </w:tabs>
        <w:ind w:left="5040" w:hanging="360"/>
      </w:pPr>
      <w:rPr>
        <w:rFonts w:ascii="Symbol" w:hAnsi="Symbol" w:hint="default"/>
      </w:rPr>
    </w:lvl>
    <w:lvl w:ilvl="7" w:tplc="7DD4BE8E" w:tentative="1">
      <w:start w:val="1"/>
      <w:numFmt w:val="bullet"/>
      <w:lvlText w:val="o"/>
      <w:lvlJc w:val="left"/>
      <w:pPr>
        <w:tabs>
          <w:tab w:val="num" w:pos="5760"/>
        </w:tabs>
        <w:ind w:left="5760" w:hanging="360"/>
      </w:pPr>
      <w:rPr>
        <w:rFonts w:ascii="Courier New" w:hAnsi="Courier New" w:cs="Courier New" w:hint="default"/>
      </w:rPr>
    </w:lvl>
    <w:lvl w:ilvl="8" w:tplc="F6A259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62373"/>
    <w:multiLevelType w:val="hybridMultilevel"/>
    <w:tmpl w:val="612E81FC"/>
    <w:lvl w:ilvl="0" w:tplc="12A0F124">
      <w:start w:val="1"/>
      <w:numFmt w:val="decimal"/>
      <w:lvlText w:val="%1."/>
      <w:lvlJc w:val="left"/>
      <w:pPr>
        <w:ind w:left="720" w:hanging="360"/>
      </w:pPr>
    </w:lvl>
    <w:lvl w:ilvl="1" w:tplc="9474BE84">
      <w:start w:val="1"/>
      <w:numFmt w:val="lowerLetter"/>
      <w:lvlText w:val="%2."/>
      <w:lvlJc w:val="left"/>
      <w:pPr>
        <w:ind w:left="1440" w:hanging="360"/>
      </w:pPr>
    </w:lvl>
    <w:lvl w:ilvl="2" w:tplc="57282B90">
      <w:start w:val="1"/>
      <w:numFmt w:val="lowerRoman"/>
      <w:lvlText w:val="%3."/>
      <w:lvlJc w:val="right"/>
      <w:pPr>
        <w:ind w:left="2160" w:hanging="180"/>
      </w:pPr>
    </w:lvl>
    <w:lvl w:ilvl="3" w:tplc="905A7208">
      <w:start w:val="1"/>
      <w:numFmt w:val="decimal"/>
      <w:lvlText w:val="%4."/>
      <w:lvlJc w:val="left"/>
      <w:pPr>
        <w:ind w:left="2880" w:hanging="360"/>
      </w:pPr>
    </w:lvl>
    <w:lvl w:ilvl="4" w:tplc="16203030">
      <w:start w:val="1"/>
      <w:numFmt w:val="lowerLetter"/>
      <w:lvlText w:val="%5."/>
      <w:lvlJc w:val="left"/>
      <w:pPr>
        <w:ind w:left="3600" w:hanging="360"/>
      </w:pPr>
    </w:lvl>
    <w:lvl w:ilvl="5" w:tplc="F410BC5C">
      <w:start w:val="1"/>
      <w:numFmt w:val="lowerRoman"/>
      <w:lvlText w:val="%6."/>
      <w:lvlJc w:val="right"/>
      <w:pPr>
        <w:ind w:left="4320" w:hanging="180"/>
      </w:pPr>
    </w:lvl>
    <w:lvl w:ilvl="6" w:tplc="8B28DDFE">
      <w:start w:val="1"/>
      <w:numFmt w:val="decimal"/>
      <w:lvlText w:val="%7."/>
      <w:lvlJc w:val="left"/>
      <w:pPr>
        <w:ind w:left="5040" w:hanging="360"/>
      </w:pPr>
    </w:lvl>
    <w:lvl w:ilvl="7" w:tplc="101C4B16">
      <w:start w:val="1"/>
      <w:numFmt w:val="lowerLetter"/>
      <w:lvlText w:val="%8."/>
      <w:lvlJc w:val="left"/>
      <w:pPr>
        <w:ind w:left="5760" w:hanging="360"/>
      </w:pPr>
    </w:lvl>
    <w:lvl w:ilvl="8" w:tplc="2026C392">
      <w:start w:val="1"/>
      <w:numFmt w:val="lowerRoman"/>
      <w:lvlText w:val="%9."/>
      <w:lvlJc w:val="right"/>
      <w:pPr>
        <w:ind w:left="6480" w:hanging="180"/>
      </w:pPr>
    </w:lvl>
  </w:abstractNum>
  <w:num w:numId="1" w16cid:durableId="2001545482">
    <w:abstractNumId w:val="10"/>
  </w:num>
  <w:num w:numId="2" w16cid:durableId="1935280107">
    <w:abstractNumId w:val="7"/>
  </w:num>
  <w:num w:numId="3" w16cid:durableId="467212201">
    <w:abstractNumId w:val="6"/>
  </w:num>
  <w:num w:numId="4" w16cid:durableId="676931007">
    <w:abstractNumId w:val="5"/>
  </w:num>
  <w:num w:numId="5" w16cid:durableId="573858916">
    <w:abstractNumId w:val="4"/>
  </w:num>
  <w:num w:numId="6" w16cid:durableId="1494756482">
    <w:abstractNumId w:val="8"/>
  </w:num>
  <w:num w:numId="7" w16cid:durableId="1077360987">
    <w:abstractNumId w:val="3"/>
  </w:num>
  <w:num w:numId="8" w16cid:durableId="1137912073">
    <w:abstractNumId w:val="2"/>
  </w:num>
  <w:num w:numId="9" w16cid:durableId="805119949">
    <w:abstractNumId w:val="1"/>
  </w:num>
  <w:num w:numId="10" w16cid:durableId="745999587">
    <w:abstractNumId w:val="0"/>
  </w:num>
  <w:num w:numId="11" w16cid:durableId="327289867">
    <w:abstractNumId w:val="9"/>
  </w:num>
  <w:num w:numId="12" w16cid:durableId="1751073533">
    <w:abstractNumId w:val="11"/>
  </w:num>
  <w:num w:numId="13" w16cid:durableId="102969019">
    <w:abstractNumId w:val="13"/>
  </w:num>
  <w:num w:numId="14" w16cid:durableId="1487668357">
    <w:abstractNumId w:val="12"/>
  </w:num>
  <w:num w:numId="15" w16cid:durableId="107239035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6"/>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1186"/>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86"/>
    <w:rsid w:val="002309A8"/>
    <w:rsid w:val="00236CFE"/>
    <w:rsid w:val="002428E3"/>
    <w:rsid w:val="0024430A"/>
    <w:rsid w:val="00245FF7"/>
    <w:rsid w:val="00253B65"/>
    <w:rsid w:val="00254C6F"/>
    <w:rsid w:val="0026060B"/>
    <w:rsid w:val="00260BAF"/>
    <w:rsid w:val="002610A6"/>
    <w:rsid w:val="00263FD6"/>
    <w:rsid w:val="002650F7"/>
    <w:rsid w:val="0026686B"/>
    <w:rsid w:val="00273F3B"/>
    <w:rsid w:val="00274DB7"/>
    <w:rsid w:val="00275984"/>
    <w:rsid w:val="00276199"/>
    <w:rsid w:val="002768F3"/>
    <w:rsid w:val="00276DA4"/>
    <w:rsid w:val="00280F74"/>
    <w:rsid w:val="00285F6F"/>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5C0E"/>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427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66A6"/>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2728"/>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345"/>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3299"/>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1260"/>
    <w:rsid w:val="006A2100"/>
    <w:rsid w:val="006B0A79"/>
    <w:rsid w:val="006B0BF3"/>
    <w:rsid w:val="006B1521"/>
    <w:rsid w:val="006B2A77"/>
    <w:rsid w:val="006B2FA4"/>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494F"/>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3624"/>
    <w:rsid w:val="007F5331"/>
    <w:rsid w:val="00800CCA"/>
    <w:rsid w:val="008020F2"/>
    <w:rsid w:val="00806120"/>
    <w:rsid w:val="00810C93"/>
    <w:rsid w:val="00812028"/>
    <w:rsid w:val="00812DD8"/>
    <w:rsid w:val="00813082"/>
    <w:rsid w:val="00813527"/>
    <w:rsid w:val="00814120"/>
    <w:rsid w:val="00814D03"/>
    <w:rsid w:val="00815C7E"/>
    <w:rsid w:val="008202C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7DFB"/>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11E7"/>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3B7"/>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7BED"/>
    <w:rsid w:val="00CC15DE"/>
    <w:rsid w:val="00CC6290"/>
    <w:rsid w:val="00CD233D"/>
    <w:rsid w:val="00CD362D"/>
    <w:rsid w:val="00CE029A"/>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487"/>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C2C"/>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48E0"/>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A1F42"/>
  <w15:docId w15:val="{1B0A225B-29CD-464C-92A8-AD24CA67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FB48E0"/>
    <w:rPr>
      <w:sz w:val="16"/>
      <w:szCs w:val="16"/>
    </w:rPr>
  </w:style>
  <w:style w:type="paragraph" w:styleId="Tekstopmerking">
    <w:name w:val="annotation text"/>
    <w:basedOn w:val="Standaard"/>
    <w:link w:val="TekstopmerkingChar"/>
    <w:uiPriority w:val="99"/>
    <w:unhideWhenUsed/>
    <w:rsid w:val="00FB48E0"/>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FB48E0"/>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8A7DFB"/>
    <w:rPr>
      <w:b/>
      <w:bCs/>
      <w:kern w:val="0"/>
      <w14:ligatures w14:val="none"/>
    </w:rPr>
  </w:style>
  <w:style w:type="character" w:customStyle="1" w:styleId="OnderwerpvanopmerkingChar">
    <w:name w:val="Onderwerp van opmerking Char"/>
    <w:basedOn w:val="TekstopmerkingChar"/>
    <w:link w:val="Onderwerpvanopmerking"/>
    <w:rsid w:val="008A7DFB"/>
    <w:rPr>
      <w:rFonts w:ascii="Verdana" w:hAnsi="Verdana"/>
      <w:b/>
      <w:bCs/>
      <w:kern w:val="2"/>
      <w:lang w:val="nl-NL" w:eastAsia="nl-NL"/>
      <w14:ligatures w14:val="standardContextual"/>
    </w:rPr>
  </w:style>
  <w:style w:type="paragraph" w:styleId="Revisie">
    <w:name w:val="Revision"/>
    <w:hidden/>
    <w:uiPriority w:val="99"/>
    <w:semiHidden/>
    <w:rsid w:val="0078494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1139</ap:Words>
  <ap:Characters>6265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2025-05-13T09:57:00.0000000Z</dcterms:created>
  <dcterms:modified xsi:type="dcterms:W3CDTF">2025-05-13T09:57:00.0000000Z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Uppelschoten en Wilders (beiden PVV) over signalen van islamisering in het Nederlandse onderwijs</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O202COL</vt:lpwstr>
  </property>
</Properties>
</file>