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2025Z09090</w:t>
        <w:br/>
      </w:r>
      <w:proofErr w:type="spellEnd"/>
    </w:p>
    <w:p>
      <w:pPr>
        <w:pStyle w:val="Normal"/>
        <w:rPr>
          <w:b w:val="1"/>
          <w:bCs w:val="1"/>
        </w:rPr>
      </w:pPr>
      <w:r w:rsidR="250AE766">
        <w:rPr>
          <w:b w:val="0"/>
          <w:bCs w:val="0"/>
        </w:rPr>
        <w:t>(ingezonden 13 mei 2025)</w:t>
        <w:br/>
      </w:r>
    </w:p>
    <w:p>
      <w:r>
        <w:t xml:space="preserve">Vragen van het lid Flach (SGP) aan de minister en staatssecretaris van Landbouw, Voedselzekerheid, Visserij en Natuur over de beoordeling van verslechtering in Natura 2000 gebieden</w:t>
      </w:r>
      <w:r>
        <w:br/>
      </w:r>
    </w:p>
    <w:p>
      <w:r>
        <w:t xml:space="preserve"> </w:t>
      </w:r>
      <w:r>
        <w:br/>
      </w:r>
    </w:p>
    <w:p>
      <w:pPr>
        <w:pStyle w:val="ListParagraph"/>
        <w:numPr>
          <w:ilvl w:val="0"/>
          <w:numId w:val="100477610"/>
        </w:numPr>
        <w:ind w:left="360"/>
      </w:pPr>
      <w:r>
        <w:t>Hoe definieert u verslechtering van de kwaliteit van Natura 2000-habitats in de zin van artikel 6, tweede lid, van de Habitatrichtlijn?</w:t>
      </w:r>
      <w:r>
        <w:br/>
      </w:r>
    </w:p>
    <w:p>
      <w:pPr>
        <w:pStyle w:val="ListParagraph"/>
        <w:numPr>
          <w:ilvl w:val="0"/>
          <w:numId w:val="100477610"/>
        </w:numPr>
        <w:ind w:left="360"/>
      </w:pPr>
      <w:r>
        <w:t>Is de veronderstelling juist dat het bij de beoordeling of al dan niet sprake is van verslechtering in de zin van de Habitatrichtlijn gaat om de aspecten vegetatietypen, abiotische randvoorwaarden (zuurgraad, voedselrijkdom, zoutgehalte, vochttoestand, overstromingstolerantie), typische soorten en de overige kenmerken van een goede structuur en functie en om verslechtering ten opzichte van de referentiedatum, dan wel een na die tijd verbeterde toestand? [1] [2]</w:t>
      </w:r>
      <w:r>
        <w:br/>
      </w:r>
    </w:p>
    <w:p>
      <w:pPr>
        <w:pStyle w:val="ListParagraph"/>
        <w:numPr>
          <w:ilvl w:val="0"/>
          <w:numId w:val="100477610"/>
        </w:numPr>
        <w:ind w:left="360"/>
      </w:pPr>
      <w:r>
        <w:t>Hoe beoordeelt u de wijze waarop in natuurdoelanalyses de ontwikkeling van de kwaliteit van habitats en soorten wordt beoordeeld en vastgelegd, in het licht van artikel 6, tweede lid, van de Habitatrichtlijn?</w:t>
      </w:r>
      <w:r>
        <w:br/>
      </w:r>
    </w:p>
    <w:p>
      <w:pPr>
        <w:pStyle w:val="ListParagraph"/>
        <w:numPr>
          <w:ilvl w:val="0"/>
          <w:numId w:val="100477610"/>
        </w:numPr>
        <w:ind w:left="360"/>
      </w:pPr>
      <w:r>
        <w:t>Wordt in natuurdoelanalyses het begrip verslechtering toegepast op de wijze waarop de Europese Commissie dat doet, te weten dat 'er is sprake van verslechtering van een habitat…wanneer de door het habitattype…bestreken oppervlakte in dit gebied kleiner wordt, of wanneer de specifieke functies die nodig zijn voor de instandhouding op lange termijn van deze habitat…beperkter worden dan hun oorspronkelijke of herstelde staat’)? [3]</w:t>
      </w:r>
      <w:r>
        <w:br/>
      </w:r>
    </w:p>
    <w:p>
      <w:pPr>
        <w:pStyle w:val="ListParagraph"/>
        <w:numPr>
          <w:ilvl w:val="0"/>
          <w:numId w:val="100477610"/>
        </w:numPr>
        <w:ind w:left="360"/>
      </w:pPr>
      <w:r>
        <w:t>Is de veronderstelling juist dat de enkelvoudige vaststelling dat sprake is van bijvoorbeeld vergrassing van de heide of de aanwezigheid van stikstof minnende vegetaties in en langs vennen nog geen verslechtering in de zin van de Habitatrichtlijn hoeft te betekenen?</w:t>
      </w:r>
      <w:r>
        <w:br/>
      </w:r>
    </w:p>
    <w:p>
      <w:pPr>
        <w:pStyle w:val="ListParagraph"/>
        <w:numPr>
          <w:ilvl w:val="0"/>
          <w:numId w:val="100477610"/>
        </w:numPr>
        <w:ind w:left="360"/>
      </w:pPr>
      <w:r>
        <w:t>Hoe waardeert u het dat in veel natuurdoelanalyses geen inzicht wordt gegeven in de ontwikkeling van de verschillende kwaliteitsaspecten ten opzichte van de referentiedatum, zoals in de natuurdoelanalyse voor Kampina &amp; Oisterwijkse Vennen? Acht u dit noodzakelijk? Zo ja, hoe gaat u ervoor zorgen dat dit verandert? [4]</w:t>
      </w:r>
      <w:r>
        <w:br/>
      </w:r>
    </w:p>
    <w:p>
      <w:pPr>
        <w:pStyle w:val="ListParagraph"/>
        <w:numPr>
          <w:ilvl w:val="0"/>
          <w:numId w:val="100477610"/>
        </w:numPr>
        <w:ind w:left="360"/>
      </w:pPr>
      <w:r>
        <w:t>Is het de bedoeling dat door het bevoegd gezag wordt gezorgd voor monitoring van onder meer de zuurgraad en de voedselrijkdom in een Natura 2000-gebied?</w:t>
      </w:r>
      <w:r>
        <w:br/>
      </w:r>
    </w:p>
    <w:p>
      <w:pPr>
        <w:pStyle w:val="ListParagraph"/>
        <w:numPr>
          <w:ilvl w:val="0"/>
          <w:numId w:val="100477610"/>
        </w:numPr>
        <w:ind w:left="360"/>
      </w:pPr>
      <w:r>
        <w:t>Hoe waardeert u het feit dat door de rechter wordt geconstateerd dat in (Brabantse) natuurdoelanalyses en de adviezen van de Ecologische Autoriteit daarover geen afstand wordt genomen van de kritische depositiewaarde als doelstelling en dat volgens de rechter in de natuurdoelanalyses wordt aangegeven dat maatregelen zijn bedoeld om de stikstofdepositie af te laten nemen tot onder de kritische depositiewaarde? Hoe gaat u ervoor zorgen dat in natuurdoelanalyses de kritische depositiewaarden niet langer als doelstelling worden gehanteerd? [5]</w:t>
      </w:r>
      <w:r>
        <w:br/>
      </w:r>
    </w:p>
    <w:p>
      <w:pPr>
        <w:pStyle w:val="ListParagraph"/>
        <w:numPr>
          <w:ilvl w:val="0"/>
          <w:numId w:val="100477610"/>
        </w:numPr>
        <w:ind w:left="360"/>
      </w:pPr>
      <w:r>
        <w:t>Deelt u de mening dat, zolang in onder meer natuurdoelanalyses de wijze waarop stikstofdepositie invloed heeft op kwetsbare habitats in enkele zinnen wordt afgedaan en nauwelijks inzicht wordt gegeven in de ontwikkeling van de zuurgraad en voedselrijkdom sinds de referentiedatum en de relatieve invloed van de actuele depositie hierop, het lastig wordt om weg te blijven bij de huidige (worst case) aanname dat overschrijding van de kritische depositiewaarde zorgt voor verslechtering in de zin van de Habitatrichtlijn en om met reductiemaatregelen uit de stikstofimpasse te komen?</w:t>
      </w:r>
      <w:r>
        <w:br/>
      </w:r>
    </w:p>
    <w:p>
      <w:pPr>
        <w:pStyle w:val="ListParagraph"/>
        <w:numPr>
          <w:ilvl w:val="0"/>
          <w:numId w:val="100477610"/>
        </w:numPr>
        <w:ind w:left="360"/>
      </w:pPr>
      <w:r>
        <w:t>Hoe gaat u zorgen voor adequate herziening van natuurdoelanalyses en adequate bodemanalyses en hoe ziet u hierop toe?</w:t>
      </w:r>
      <w:r>
        <w:br/>
      </w:r>
    </w:p>
    <w:p>
      <w:r>
        <w:t xml:space="preserve"> </w:t>
      </w:r>
      <w:r>
        <w:br/>
      </w:r>
    </w:p>
    <w:p>
      <w:r>
        <w:t xml:space="preserve"> </w:t>
      </w:r>
      <w:r>
        <w:br/>
      </w:r>
    </w:p>
    <w:p>
      <w:r>
        <w:t xml:space="preserve"> </w:t>
      </w:r>
      <w:r>
        <w:br/>
      </w:r>
    </w:p>
    <w:p>
      <w:r>
        <w:t xml:space="preserve"> </w:t>
      </w:r>
      <w:r>
        <w:br/>
      </w:r>
    </w:p>
    <w:p>
      <w:r>
        <w:t xml:space="preserve">[1] Europese Commissie, 2000, 'Beheer van "Natura 2000-gebieden', De bepalingen van artikel 6 van de habitatrichtlijn (92/43/EEG)' (BEHEER VAN „NATURA 2000”-GEBIEDEN De bepalingen van artikel 6 van \ de habitatrichtlijn (Richtlijn 92/43/EEG))</w:t>
      </w:r>
      <w:r>
        <w:br/>
      </w:r>
    </w:p>
    <w:p>
      <w:r>
        <w:t xml:space="preserve">[2] Natura 2000, 'Werkwijze kwaliteit van habitattypen op gebiedsniveau' (https://www.natura2000.nl/sites/default/files/profielen/Habitattypen_profielen_algemene_documenten/Werkwijze%20kwaliteit%20habitattypen%20gebiedsniveau%20%28versie%202014%29.pdf)</w:t>
      </w:r>
      <w:r>
        <w:br/>
      </w:r>
    </w:p>
    <w:p>
      <w:r>
        <w:t xml:space="preserve">[3] Europese Commissie, 2000, 'Beheer van "Natura 2000-gebieden', De bepalingen van artikel 6 van de habitatrichtlijn (92/43/EEG)' (BEHEER VAN „NATURA 2000”-GEBIEDEN De bepalingen van artikel 6 van \ de habitatrichtlijn (Richtlijn 92/43/EEG))</w:t>
      </w:r>
      <w:r>
        <w:br/>
      </w:r>
    </w:p>
    <w:p>
      <w:r>
        <w:t xml:space="preserve">[4] Provincie Noord-Brabant, februari 2023, 'Natuurdoelanalyse Kampina &amp; Oisterwijkse Vennen' (Natuurdoelanalyse Kampina &amp; Oisterwijkse Vennen - Brabant)</w:t>
      </w:r>
      <w:r>
        <w:br/>
      </w:r>
    </w:p>
    <w:p>
      <w:r>
        <w:t xml:space="preserve">[5] Rechtbank Oost-Brabant, 16 april 2025, ECLI:NL:RBOBR:2025:2332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590">
    <w:abstractNumId w:val="100477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