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0972" w:rsidR="00EC0972" w:rsidRDefault="00446F3D" w14:paraId="18F8ED5C" w14:textId="77777777">
      <w:pPr>
        <w:rPr>
          <w:rFonts w:ascii="Calibri" w:hAnsi="Calibri" w:cs="Calibri"/>
        </w:rPr>
      </w:pPr>
      <w:r w:rsidRPr="00EC0972">
        <w:rPr>
          <w:rFonts w:ascii="Calibri" w:hAnsi="Calibri" w:cs="Calibri"/>
        </w:rPr>
        <w:t>28165</w:t>
      </w:r>
      <w:r w:rsidRPr="00EC0972" w:rsidR="00EC0972">
        <w:rPr>
          <w:rFonts w:ascii="Calibri" w:hAnsi="Calibri" w:cs="Calibri"/>
        </w:rPr>
        <w:tab/>
      </w:r>
      <w:r w:rsidRPr="00EC0972" w:rsidR="00EC0972">
        <w:rPr>
          <w:rFonts w:ascii="Calibri" w:hAnsi="Calibri" w:cs="Calibri"/>
        </w:rPr>
        <w:tab/>
      </w:r>
      <w:r w:rsidRPr="00EC0972" w:rsidR="00EC0972">
        <w:rPr>
          <w:rFonts w:ascii="Calibri" w:hAnsi="Calibri" w:cs="Calibri"/>
        </w:rPr>
        <w:tab/>
        <w:t>Deelnemingenbeleid Rijksoverheid</w:t>
      </w:r>
    </w:p>
    <w:p w:rsidRPr="00EC0972" w:rsidR="00EC0972" w:rsidP="00D80872" w:rsidRDefault="00EC0972" w14:paraId="6D380415" w14:textId="77777777">
      <w:pPr>
        <w:rPr>
          <w:rFonts w:ascii="Calibri" w:hAnsi="Calibri" w:cs="Calibri"/>
        </w:rPr>
      </w:pPr>
      <w:r w:rsidRPr="00EC0972">
        <w:rPr>
          <w:rFonts w:ascii="Calibri" w:hAnsi="Calibri" w:cs="Calibri"/>
        </w:rPr>
        <w:t xml:space="preserve">Nr. </w:t>
      </w:r>
      <w:r w:rsidRPr="00EC0972">
        <w:rPr>
          <w:rFonts w:ascii="Calibri" w:hAnsi="Calibri" w:cs="Calibri"/>
        </w:rPr>
        <w:t>448</w:t>
      </w:r>
      <w:r w:rsidRPr="00EC0972">
        <w:rPr>
          <w:rFonts w:ascii="Calibri" w:hAnsi="Calibri" w:cs="Calibri"/>
        </w:rPr>
        <w:tab/>
      </w:r>
      <w:r w:rsidRPr="00EC0972">
        <w:rPr>
          <w:rFonts w:ascii="Calibri" w:hAnsi="Calibri" w:cs="Calibri"/>
        </w:rPr>
        <w:tab/>
      </w:r>
      <w:r w:rsidRPr="00EC0972">
        <w:rPr>
          <w:rFonts w:ascii="Calibri" w:hAnsi="Calibri" w:cs="Calibri"/>
        </w:rPr>
        <w:tab/>
        <w:t>Brief van de minister van Financiën</w:t>
      </w:r>
    </w:p>
    <w:p w:rsidRPr="00EC0972" w:rsidR="00EC0972" w:rsidP="00446F3D" w:rsidRDefault="00EC0972" w14:paraId="5A5A61FE" w14:textId="1AF2ED96">
      <w:pPr>
        <w:rPr>
          <w:rFonts w:ascii="Calibri" w:hAnsi="Calibri" w:cs="Calibri"/>
        </w:rPr>
      </w:pPr>
      <w:r w:rsidRPr="00EC0972">
        <w:rPr>
          <w:rFonts w:ascii="Calibri" w:hAnsi="Calibri" w:cs="Calibri"/>
        </w:rPr>
        <w:t>Aan de Voorzitter van de Tweede Kamer der Staten-Generaal</w:t>
      </w:r>
    </w:p>
    <w:p w:rsidRPr="00EC0972" w:rsidR="00EC0972" w:rsidP="00446F3D" w:rsidRDefault="00EC0972" w14:paraId="07FA0020" w14:textId="3930B0A3">
      <w:pPr>
        <w:rPr>
          <w:rFonts w:ascii="Calibri" w:hAnsi="Calibri" w:cs="Calibri"/>
        </w:rPr>
      </w:pPr>
      <w:r w:rsidRPr="00EC0972">
        <w:rPr>
          <w:rFonts w:ascii="Calibri" w:hAnsi="Calibri" w:cs="Calibri"/>
        </w:rPr>
        <w:t>Den Haag, 13 mei 2025</w:t>
      </w:r>
    </w:p>
    <w:p w:rsidRPr="00EC0972" w:rsidR="00446F3D" w:rsidP="00446F3D" w:rsidRDefault="00446F3D" w14:paraId="73330A51" w14:textId="77777777">
      <w:pPr>
        <w:rPr>
          <w:rFonts w:ascii="Calibri" w:hAnsi="Calibri" w:cs="Calibri"/>
        </w:rPr>
      </w:pPr>
    </w:p>
    <w:p w:rsidRPr="00EC0972" w:rsidR="00446F3D" w:rsidP="00446F3D" w:rsidRDefault="00446F3D" w14:paraId="3F35D30F" w14:textId="335D8CD3">
      <w:pPr>
        <w:rPr>
          <w:rFonts w:ascii="Calibri" w:hAnsi="Calibri" w:cs="Calibri"/>
        </w:rPr>
      </w:pPr>
      <w:r w:rsidRPr="00EC0972">
        <w:rPr>
          <w:rFonts w:ascii="Calibri" w:hAnsi="Calibri" w:cs="Calibri"/>
        </w:rPr>
        <w:t xml:space="preserve">Op 17 april 2025 hebben de minister van Klimaat en Groene Groei en ik u geïnformeerd over de structurele oplossingen voor de financiering van </w:t>
      </w:r>
      <w:proofErr w:type="spellStart"/>
      <w:r w:rsidRPr="00EC0972">
        <w:rPr>
          <w:rFonts w:ascii="Calibri" w:hAnsi="Calibri" w:cs="Calibri"/>
        </w:rPr>
        <w:t>TenneT</w:t>
      </w:r>
      <w:proofErr w:type="spellEnd"/>
      <w:r w:rsidRPr="00EC0972">
        <w:rPr>
          <w:rFonts w:ascii="Calibri" w:hAnsi="Calibri" w:cs="Calibri"/>
        </w:rPr>
        <w:t xml:space="preserve"> Nederland en </w:t>
      </w:r>
      <w:proofErr w:type="spellStart"/>
      <w:r w:rsidRPr="00EC0972">
        <w:rPr>
          <w:rFonts w:ascii="Calibri" w:hAnsi="Calibri" w:cs="Calibri"/>
        </w:rPr>
        <w:t>TenneT</w:t>
      </w:r>
      <w:proofErr w:type="spellEnd"/>
      <w:r w:rsidRPr="00EC0972">
        <w:rPr>
          <w:rFonts w:ascii="Calibri" w:hAnsi="Calibri" w:cs="Calibri"/>
        </w:rPr>
        <w:t xml:space="preserve"> Duitsland.</w:t>
      </w:r>
      <w:r w:rsidRPr="00EC0972">
        <w:rPr>
          <w:rStyle w:val="Voetnootmarkering"/>
          <w:rFonts w:ascii="Calibri" w:hAnsi="Calibri" w:cs="Calibri"/>
        </w:rPr>
        <w:footnoteReference w:id="1"/>
      </w:r>
      <w:r w:rsidRPr="00EC0972">
        <w:rPr>
          <w:rFonts w:ascii="Calibri" w:hAnsi="Calibri" w:cs="Calibri"/>
        </w:rPr>
        <w:t xml:space="preserve"> Voor </w:t>
      </w:r>
      <w:proofErr w:type="spellStart"/>
      <w:r w:rsidRPr="00EC0972">
        <w:rPr>
          <w:rFonts w:ascii="Calibri" w:hAnsi="Calibri" w:cs="Calibri"/>
        </w:rPr>
        <w:t>TenneT</w:t>
      </w:r>
      <w:proofErr w:type="spellEnd"/>
      <w:r w:rsidRPr="00EC0972">
        <w:rPr>
          <w:rFonts w:ascii="Calibri" w:hAnsi="Calibri" w:cs="Calibri"/>
        </w:rPr>
        <w:t xml:space="preserve"> Nederland is als structurele oplossing een garantie voorgelegd aan het parlement. Voor </w:t>
      </w:r>
      <w:proofErr w:type="spellStart"/>
      <w:r w:rsidRPr="00EC0972">
        <w:rPr>
          <w:rFonts w:ascii="Calibri" w:hAnsi="Calibri" w:cs="Calibri"/>
        </w:rPr>
        <w:t>TenneT</w:t>
      </w:r>
      <w:proofErr w:type="spellEnd"/>
      <w:r w:rsidRPr="00EC0972">
        <w:rPr>
          <w:rFonts w:ascii="Calibri" w:hAnsi="Calibri" w:cs="Calibri"/>
        </w:rPr>
        <w:t xml:space="preserve"> Duitsland wordt als structurele oplossing de deelname van private investeerders uitgewerkt. </w:t>
      </w:r>
    </w:p>
    <w:p w:rsidRPr="00EC0972" w:rsidR="00446F3D" w:rsidP="00446F3D" w:rsidRDefault="00446F3D" w14:paraId="76A19C14" w14:textId="26F04E59">
      <w:pPr>
        <w:rPr>
          <w:rFonts w:ascii="Calibri" w:hAnsi="Calibri" w:cs="Calibri"/>
        </w:rPr>
      </w:pPr>
      <w:r w:rsidRPr="00EC0972">
        <w:rPr>
          <w:rFonts w:ascii="Calibri" w:hAnsi="Calibri" w:cs="Calibri"/>
        </w:rPr>
        <w:t xml:space="preserve">Ik heb u in bovengenoemde brief ook laten weten dat vanwege de uitwerking van deze oplossingen de financieringsstructuur van </w:t>
      </w:r>
      <w:proofErr w:type="spellStart"/>
      <w:r w:rsidRPr="00EC0972">
        <w:rPr>
          <w:rFonts w:ascii="Calibri" w:hAnsi="Calibri" w:cs="Calibri"/>
        </w:rPr>
        <w:t>TenneT</w:t>
      </w:r>
      <w:proofErr w:type="spellEnd"/>
      <w:r w:rsidRPr="00EC0972">
        <w:rPr>
          <w:rFonts w:ascii="Calibri" w:hAnsi="Calibri" w:cs="Calibri"/>
        </w:rPr>
        <w:t xml:space="preserve"> verandert. De bestaande obligatiehouders zijn gevraagd om tegen een eenmalige vergoeding akkoord te gaan met het verplaatsen van de schuld naar </w:t>
      </w:r>
      <w:proofErr w:type="spellStart"/>
      <w:r w:rsidRPr="00EC0972">
        <w:rPr>
          <w:rFonts w:ascii="Calibri" w:hAnsi="Calibri" w:cs="Calibri"/>
        </w:rPr>
        <w:t>TenneT</w:t>
      </w:r>
      <w:proofErr w:type="spellEnd"/>
      <w:r w:rsidRPr="00EC0972">
        <w:rPr>
          <w:rFonts w:ascii="Calibri" w:hAnsi="Calibri" w:cs="Calibri"/>
        </w:rPr>
        <w:t xml:space="preserve"> Nederland. Met deze brief informeer ik u dat de schuldherstructurering is geslaagd: alle obligatietranches hebben ingestemd met de verplaatsing. Ik zal eerst kort herhalen waarom de obligatiehouders is gevraagd hiermee akkoord te gaan. Vervolgens licht ik de vergoeding toe die de obligatiehouders hebben ontvangen. Daarna ga ik in op de uitkomst van de schuldherstructurering. Tot slot beschrijf ik het vervolgtraject. </w:t>
      </w:r>
    </w:p>
    <w:p w:rsidRPr="00EC0972" w:rsidR="00446F3D" w:rsidP="00446F3D" w:rsidRDefault="00446F3D" w14:paraId="30EDB37D" w14:textId="77777777">
      <w:pPr>
        <w:pStyle w:val="Lijstalinea"/>
        <w:numPr>
          <w:ilvl w:val="0"/>
          <w:numId w:val="1"/>
        </w:numPr>
        <w:autoSpaceDN w:val="0"/>
        <w:spacing w:after="0" w:line="240" w:lineRule="atLeast"/>
        <w:ind w:left="426" w:hanging="426"/>
        <w:textAlignment w:val="baseline"/>
        <w:rPr>
          <w:rFonts w:ascii="Calibri" w:hAnsi="Calibri" w:cs="Calibri"/>
          <w:b/>
          <w:bCs/>
        </w:rPr>
      </w:pPr>
      <w:r w:rsidRPr="00EC0972">
        <w:rPr>
          <w:rFonts w:ascii="Calibri" w:hAnsi="Calibri" w:cs="Calibri"/>
          <w:b/>
          <w:bCs/>
        </w:rPr>
        <w:t>Achtergrond schuldherstructurering</w:t>
      </w:r>
    </w:p>
    <w:p w:rsidRPr="00EC0972" w:rsidR="00446F3D" w:rsidP="00446F3D" w:rsidRDefault="00446F3D" w14:paraId="1603C823" w14:textId="6BFA820C">
      <w:pPr>
        <w:tabs>
          <w:tab w:val="left" w:pos="284"/>
        </w:tabs>
        <w:rPr>
          <w:rFonts w:ascii="Calibri" w:hAnsi="Calibri" w:cs="Calibri"/>
        </w:rPr>
      </w:pPr>
      <w:r w:rsidRPr="00EC0972">
        <w:rPr>
          <w:rFonts w:ascii="Calibri" w:hAnsi="Calibri" w:cs="Calibri"/>
        </w:rPr>
        <w:t xml:space="preserve">Voorheen haalde </w:t>
      </w:r>
      <w:proofErr w:type="spellStart"/>
      <w:r w:rsidRPr="00EC0972">
        <w:rPr>
          <w:rFonts w:ascii="Calibri" w:hAnsi="Calibri" w:cs="Calibri"/>
        </w:rPr>
        <w:t>TenneT</w:t>
      </w:r>
      <w:proofErr w:type="spellEnd"/>
      <w:r w:rsidRPr="00EC0972">
        <w:rPr>
          <w:rFonts w:ascii="Calibri" w:hAnsi="Calibri" w:cs="Calibri"/>
        </w:rPr>
        <w:t xml:space="preserve"> financiering op via </w:t>
      </w:r>
      <w:proofErr w:type="spellStart"/>
      <w:r w:rsidRPr="00EC0972">
        <w:rPr>
          <w:rFonts w:ascii="Calibri" w:hAnsi="Calibri" w:cs="Calibri"/>
        </w:rPr>
        <w:t>TenneT</w:t>
      </w:r>
      <w:proofErr w:type="spellEnd"/>
      <w:r w:rsidRPr="00EC0972">
        <w:rPr>
          <w:rFonts w:ascii="Calibri" w:hAnsi="Calibri" w:cs="Calibri"/>
        </w:rPr>
        <w:t xml:space="preserve"> Holding en leende het door aan </w:t>
      </w:r>
      <w:proofErr w:type="spellStart"/>
      <w:r w:rsidRPr="00EC0972">
        <w:rPr>
          <w:rFonts w:ascii="Calibri" w:hAnsi="Calibri" w:cs="Calibri"/>
        </w:rPr>
        <w:t>TenneT</w:t>
      </w:r>
      <w:proofErr w:type="spellEnd"/>
      <w:r w:rsidRPr="00EC0972">
        <w:rPr>
          <w:rFonts w:ascii="Calibri" w:hAnsi="Calibri" w:cs="Calibri"/>
        </w:rPr>
        <w:t xml:space="preserve"> Nederland en </w:t>
      </w:r>
      <w:proofErr w:type="spellStart"/>
      <w:r w:rsidRPr="00EC0972">
        <w:rPr>
          <w:rFonts w:ascii="Calibri" w:hAnsi="Calibri" w:cs="Calibri"/>
        </w:rPr>
        <w:t>TenneT</w:t>
      </w:r>
      <w:proofErr w:type="spellEnd"/>
      <w:r w:rsidRPr="00EC0972">
        <w:rPr>
          <w:rFonts w:ascii="Calibri" w:hAnsi="Calibri" w:cs="Calibri"/>
        </w:rPr>
        <w:t xml:space="preserve"> Duitsland. </w:t>
      </w:r>
      <w:proofErr w:type="spellStart"/>
      <w:r w:rsidRPr="00EC0972">
        <w:rPr>
          <w:rFonts w:ascii="Calibri" w:hAnsi="Calibri" w:cs="Calibri"/>
        </w:rPr>
        <w:t>TenneT</w:t>
      </w:r>
      <w:proofErr w:type="spellEnd"/>
      <w:r w:rsidRPr="00EC0972">
        <w:rPr>
          <w:rFonts w:ascii="Calibri" w:hAnsi="Calibri" w:cs="Calibri"/>
        </w:rPr>
        <w:t xml:space="preserve"> Holding heeft 25 tranches van senior obligaties uitstaan bij marktpartijen van in totaal ongeveer € 16,7 miljard</w:t>
      </w:r>
      <w:r w:rsidRPr="00EC0972">
        <w:rPr>
          <w:rStyle w:val="Voetnootmarkering"/>
          <w:rFonts w:ascii="Calibri" w:hAnsi="Calibri" w:cs="Calibri"/>
        </w:rPr>
        <w:footnoteReference w:id="2"/>
      </w:r>
      <w:r w:rsidRPr="00EC0972">
        <w:rPr>
          <w:rFonts w:ascii="Calibri" w:hAnsi="Calibri" w:cs="Calibri"/>
        </w:rPr>
        <w:t xml:space="preserve">. Deze obligaties zijn tussen 2010 en 2022 in tranches uitgegeven toen de marktrente over het algemeen lager was dan de huidige. Omdat </w:t>
      </w:r>
      <w:proofErr w:type="spellStart"/>
      <w:r w:rsidRPr="00EC0972">
        <w:rPr>
          <w:rFonts w:ascii="Calibri" w:hAnsi="Calibri" w:cs="Calibri"/>
        </w:rPr>
        <w:t>TenneT</w:t>
      </w:r>
      <w:proofErr w:type="spellEnd"/>
      <w:r w:rsidRPr="00EC0972">
        <w:rPr>
          <w:rFonts w:ascii="Calibri" w:hAnsi="Calibri" w:cs="Calibri"/>
        </w:rPr>
        <w:t xml:space="preserve"> obligaties heeft aangetrokken in de periode dat de rentes laag waren, heeft deze obligatieportefeuille een economische waarde van ongeveer € 1,8 miljard</w:t>
      </w:r>
      <w:r w:rsidRPr="00EC0972">
        <w:rPr>
          <w:rStyle w:val="Voetnootmarkering"/>
          <w:rFonts w:ascii="Calibri" w:hAnsi="Calibri" w:cs="Calibri"/>
        </w:rPr>
        <w:footnoteReference w:id="3"/>
      </w:r>
      <w:r w:rsidRPr="00EC0972">
        <w:rPr>
          <w:rFonts w:ascii="Calibri" w:hAnsi="Calibri" w:cs="Calibri"/>
        </w:rPr>
        <w:t>.</w:t>
      </w:r>
    </w:p>
    <w:p w:rsidRPr="00EC0972" w:rsidR="00446F3D" w:rsidP="00446F3D" w:rsidRDefault="00446F3D" w14:paraId="692D388D" w14:textId="6EE62761">
      <w:pPr>
        <w:rPr>
          <w:rFonts w:ascii="Calibri" w:hAnsi="Calibri" w:cs="Calibri"/>
        </w:rPr>
      </w:pPr>
      <w:r w:rsidRPr="00EC0972">
        <w:rPr>
          <w:rFonts w:ascii="Calibri" w:hAnsi="Calibri" w:cs="Calibri"/>
        </w:rPr>
        <w:t xml:space="preserve">In de toekomst zal de schuld door </w:t>
      </w:r>
      <w:proofErr w:type="spellStart"/>
      <w:r w:rsidRPr="00EC0972">
        <w:rPr>
          <w:rFonts w:ascii="Calibri" w:hAnsi="Calibri" w:cs="Calibri"/>
        </w:rPr>
        <w:t>TenneT</w:t>
      </w:r>
      <w:proofErr w:type="spellEnd"/>
      <w:r w:rsidRPr="00EC0972">
        <w:rPr>
          <w:rFonts w:ascii="Calibri" w:hAnsi="Calibri" w:cs="Calibri"/>
        </w:rPr>
        <w:t xml:space="preserve"> Nederland en </w:t>
      </w:r>
      <w:proofErr w:type="spellStart"/>
      <w:r w:rsidRPr="00EC0972">
        <w:rPr>
          <w:rFonts w:ascii="Calibri" w:hAnsi="Calibri" w:cs="Calibri"/>
        </w:rPr>
        <w:t>TenneT</w:t>
      </w:r>
      <w:proofErr w:type="spellEnd"/>
      <w:r w:rsidRPr="00EC0972">
        <w:rPr>
          <w:rFonts w:ascii="Calibri" w:hAnsi="Calibri" w:cs="Calibri"/>
        </w:rPr>
        <w:t xml:space="preserve"> Duitsland apart worden opgehaald. Zoals in de Kamerbrief van 17 april</w:t>
      </w:r>
      <w:r w:rsidRPr="00EC0972">
        <w:rPr>
          <w:rStyle w:val="Voetnootmarkering"/>
          <w:rFonts w:ascii="Calibri" w:hAnsi="Calibri" w:cs="Calibri"/>
        </w:rPr>
        <w:footnoteReference w:id="4"/>
      </w:r>
      <w:r w:rsidRPr="00EC0972">
        <w:rPr>
          <w:rFonts w:ascii="Calibri" w:hAnsi="Calibri" w:cs="Calibri"/>
        </w:rPr>
        <w:t xml:space="preserve"> aangegeven wordt met het verplaatsen van de schuld door </w:t>
      </w:r>
      <w:proofErr w:type="spellStart"/>
      <w:r w:rsidRPr="00EC0972">
        <w:rPr>
          <w:rFonts w:ascii="Calibri" w:hAnsi="Calibri" w:cs="Calibri"/>
        </w:rPr>
        <w:t>TenneT</w:t>
      </w:r>
      <w:proofErr w:type="spellEnd"/>
      <w:r w:rsidRPr="00EC0972">
        <w:rPr>
          <w:rFonts w:ascii="Calibri" w:hAnsi="Calibri" w:cs="Calibri"/>
        </w:rPr>
        <w:t xml:space="preserve"> gezorgd voor (i) het behoud van de economische waarde van de obligaties, (ii) het behoud van de goede reputatie van </w:t>
      </w:r>
      <w:proofErr w:type="spellStart"/>
      <w:r w:rsidRPr="00EC0972">
        <w:rPr>
          <w:rFonts w:ascii="Calibri" w:hAnsi="Calibri" w:cs="Calibri"/>
        </w:rPr>
        <w:lastRenderedPageBreak/>
        <w:t>TenneT</w:t>
      </w:r>
      <w:proofErr w:type="spellEnd"/>
      <w:r w:rsidRPr="00EC0972">
        <w:rPr>
          <w:rFonts w:ascii="Calibri" w:hAnsi="Calibri" w:cs="Calibri"/>
        </w:rPr>
        <w:t xml:space="preserve"> op de kapitaalmarkt en (iii) een heldere financieringsstructuur met flexibiliteit naar de toekomst toe. </w:t>
      </w:r>
    </w:p>
    <w:p w:rsidRPr="00EC0972" w:rsidR="00446F3D" w:rsidP="00446F3D" w:rsidRDefault="00446F3D" w14:paraId="06DF78D4" w14:textId="77777777">
      <w:pPr>
        <w:pStyle w:val="Lijstalinea"/>
        <w:numPr>
          <w:ilvl w:val="0"/>
          <w:numId w:val="1"/>
        </w:numPr>
        <w:autoSpaceDN w:val="0"/>
        <w:spacing w:after="0" w:line="240" w:lineRule="atLeast"/>
        <w:ind w:left="426" w:hanging="426"/>
        <w:textAlignment w:val="baseline"/>
        <w:rPr>
          <w:rFonts w:ascii="Calibri" w:hAnsi="Calibri" w:cs="Calibri"/>
          <w:b/>
          <w:bCs/>
        </w:rPr>
      </w:pPr>
      <w:r w:rsidRPr="00EC0972">
        <w:rPr>
          <w:rFonts w:ascii="Calibri" w:hAnsi="Calibri" w:cs="Calibri"/>
          <w:b/>
          <w:bCs/>
        </w:rPr>
        <w:t xml:space="preserve">Vergoeding </w:t>
      </w:r>
    </w:p>
    <w:p w:rsidRPr="00EC0972" w:rsidR="00446F3D" w:rsidP="00446F3D" w:rsidRDefault="00446F3D" w14:paraId="7F100D54" w14:textId="1EE33C99">
      <w:pPr>
        <w:tabs>
          <w:tab w:val="left" w:pos="284"/>
        </w:tabs>
        <w:rPr>
          <w:rFonts w:ascii="Calibri" w:hAnsi="Calibri" w:cs="Calibri"/>
        </w:rPr>
      </w:pPr>
      <w:r w:rsidRPr="00EC0972">
        <w:rPr>
          <w:rFonts w:ascii="Calibri" w:hAnsi="Calibri" w:cs="Calibri"/>
        </w:rPr>
        <w:t xml:space="preserve">Zoals toegelicht in de Kamerbrief van 17 april is goedkeuring nodig van de obligatiehouders voor het verplaatsen van de schuld naar </w:t>
      </w:r>
      <w:proofErr w:type="spellStart"/>
      <w:r w:rsidRPr="00EC0972">
        <w:rPr>
          <w:rFonts w:ascii="Calibri" w:hAnsi="Calibri" w:cs="Calibri"/>
        </w:rPr>
        <w:t>TenneT</w:t>
      </w:r>
      <w:proofErr w:type="spellEnd"/>
      <w:r w:rsidRPr="00EC0972">
        <w:rPr>
          <w:rFonts w:ascii="Calibri" w:hAnsi="Calibri" w:cs="Calibri"/>
        </w:rPr>
        <w:t xml:space="preserve"> Nederland. De obligatiehouders zijn daarom gevraagd in te stemmen. Een tranche (€ 500 miljoen) loopt af in juni 2025 en wordt dan afgelost en was daarom geen onderdeel van de schuldherstructurering. Het voorstel aan de overige 24 tranches bevat de volgende twee elementen:</w:t>
      </w:r>
    </w:p>
    <w:p w:rsidRPr="00EC0972" w:rsidR="00446F3D" w:rsidP="00EC0972" w:rsidRDefault="00446F3D" w14:paraId="0DBA90BD" w14:textId="3070199D">
      <w:pPr>
        <w:pStyle w:val="Lijstalinea"/>
        <w:numPr>
          <w:ilvl w:val="0"/>
          <w:numId w:val="4"/>
        </w:numPr>
        <w:tabs>
          <w:tab w:val="left" w:pos="426"/>
        </w:tabs>
        <w:autoSpaceDN w:val="0"/>
        <w:spacing w:after="0" w:line="240" w:lineRule="atLeast"/>
        <w:ind w:left="426"/>
        <w:textAlignment w:val="baseline"/>
        <w:rPr>
          <w:rFonts w:ascii="Calibri" w:hAnsi="Calibri" w:cs="Calibri"/>
        </w:rPr>
      </w:pPr>
      <w:r w:rsidRPr="00EC0972">
        <w:rPr>
          <w:rFonts w:ascii="Calibri" w:hAnsi="Calibri" w:cs="Calibri"/>
          <w:i/>
          <w:iCs/>
        </w:rPr>
        <w:t>Financiële compensatie</w:t>
      </w:r>
      <w:r w:rsidRPr="00EC0972">
        <w:rPr>
          <w:rFonts w:ascii="Calibri" w:hAnsi="Calibri" w:cs="Calibri"/>
        </w:rPr>
        <w:t xml:space="preserve">. Het is gebruikelijk in de markt om obligatiehouders een financiële compensatie aan te bieden op voorwaarde dat zij instemmen met de herstructurering. Daarom heeft </w:t>
      </w:r>
      <w:proofErr w:type="spellStart"/>
      <w:r w:rsidRPr="00EC0972">
        <w:rPr>
          <w:rFonts w:ascii="Calibri" w:hAnsi="Calibri" w:cs="Calibri"/>
        </w:rPr>
        <w:t>TenneT</w:t>
      </w:r>
      <w:proofErr w:type="spellEnd"/>
      <w:r w:rsidRPr="00EC0972">
        <w:rPr>
          <w:rFonts w:ascii="Calibri" w:hAnsi="Calibri" w:cs="Calibri"/>
        </w:rPr>
        <w:t xml:space="preserve"> de obligatiehouders een financieel aanbod gedaan van in totaal € 157 miljoen. Dit aanbod is getoetst door de staat en haar financieel adviseur en was navolgbaar. Elke obligatietranche heeft vervolgens individueel gestemd en indien meer dan 75% van de obligatiehouders heeft ingestemd, zal de gehele obligatietranche in beginsel worden overgeplaatst naar </w:t>
      </w:r>
      <w:proofErr w:type="spellStart"/>
      <w:r w:rsidRPr="00EC0972">
        <w:rPr>
          <w:rFonts w:ascii="Calibri" w:hAnsi="Calibri" w:cs="Calibri"/>
        </w:rPr>
        <w:t>TenneT</w:t>
      </w:r>
      <w:proofErr w:type="spellEnd"/>
      <w:r w:rsidRPr="00EC0972">
        <w:rPr>
          <w:rFonts w:ascii="Calibri" w:hAnsi="Calibri" w:cs="Calibri"/>
        </w:rPr>
        <w:t xml:space="preserve"> Nederland. Alle 24 tranches hebben ingestemd. Alleen de obligatiehouders uit deze tranches die tijdig hebben ingestemd, zullen de aangeboden vergoeding ontvangen. In totaal zal € 146 miljoen worden uitgekeerd. De obligatiehouders die niet tijdig hebben ingestemd, worden wel overgeplaatst maar ontvangen geen vergoeding.</w:t>
      </w:r>
    </w:p>
    <w:p w:rsidR="00446F3D" w:rsidP="00446F3D" w:rsidRDefault="00446F3D" w14:paraId="034972A9" w14:textId="36250409">
      <w:pPr>
        <w:pStyle w:val="Lijstalinea"/>
        <w:numPr>
          <w:ilvl w:val="0"/>
          <w:numId w:val="2"/>
        </w:numPr>
        <w:tabs>
          <w:tab w:val="left" w:pos="426"/>
        </w:tabs>
        <w:autoSpaceDN w:val="0"/>
        <w:spacing w:after="0" w:line="240" w:lineRule="atLeast"/>
        <w:ind w:left="426"/>
        <w:textAlignment w:val="baseline"/>
        <w:rPr>
          <w:rFonts w:ascii="Calibri" w:hAnsi="Calibri" w:cs="Calibri"/>
        </w:rPr>
      </w:pPr>
      <w:r w:rsidRPr="00EC0972">
        <w:rPr>
          <w:rFonts w:ascii="Calibri" w:hAnsi="Calibri" w:cs="Calibri"/>
          <w:i/>
          <w:iCs/>
        </w:rPr>
        <w:t>Garantie.</w:t>
      </w:r>
      <w:r w:rsidRPr="00EC0972">
        <w:rPr>
          <w:rFonts w:ascii="Calibri" w:hAnsi="Calibri" w:cs="Calibri"/>
        </w:rPr>
        <w:t xml:space="preserve"> De huidige obligaties van </w:t>
      </w:r>
      <w:proofErr w:type="spellStart"/>
      <w:r w:rsidRPr="00EC0972">
        <w:rPr>
          <w:rFonts w:ascii="Calibri" w:hAnsi="Calibri" w:cs="Calibri"/>
        </w:rPr>
        <w:t>TenneT</w:t>
      </w:r>
      <w:proofErr w:type="spellEnd"/>
      <w:r w:rsidRPr="00EC0972">
        <w:rPr>
          <w:rFonts w:ascii="Calibri" w:hAnsi="Calibri" w:cs="Calibri"/>
        </w:rPr>
        <w:t xml:space="preserve"> zijn aangetrokken met een </w:t>
      </w:r>
      <w:r w:rsidRPr="00EC0972">
        <w:rPr>
          <w:rFonts w:ascii="Calibri" w:hAnsi="Calibri" w:cs="Calibri"/>
          <w:i/>
          <w:iCs/>
        </w:rPr>
        <w:t>A– rating</w:t>
      </w:r>
      <w:r w:rsidRPr="00EC0972">
        <w:rPr>
          <w:rFonts w:ascii="Calibri" w:hAnsi="Calibri" w:cs="Calibri"/>
        </w:rPr>
        <w:t xml:space="preserve">. Om de obligatiehouders te overtuigen in te stemmen met de herstructurering is aangeboden deze obligaties onder de garantie van de Nederlandse staat voor </w:t>
      </w:r>
      <w:proofErr w:type="spellStart"/>
      <w:r w:rsidRPr="00EC0972">
        <w:rPr>
          <w:rFonts w:ascii="Calibri" w:hAnsi="Calibri" w:cs="Calibri"/>
        </w:rPr>
        <w:t>TenneT</w:t>
      </w:r>
      <w:proofErr w:type="spellEnd"/>
      <w:r w:rsidRPr="00EC0972">
        <w:rPr>
          <w:rFonts w:ascii="Calibri" w:hAnsi="Calibri" w:cs="Calibri"/>
        </w:rPr>
        <w:t xml:space="preserve"> Nederland te plaatsen. Hierdoor krijgen deze obligaties een </w:t>
      </w:r>
      <w:r w:rsidRPr="00EC0972">
        <w:rPr>
          <w:rFonts w:ascii="Calibri" w:hAnsi="Calibri" w:cs="Calibri"/>
          <w:i/>
          <w:iCs/>
        </w:rPr>
        <w:t>AAA rating</w:t>
      </w:r>
      <w:r w:rsidRPr="00EC0972">
        <w:rPr>
          <w:rFonts w:ascii="Calibri" w:hAnsi="Calibri" w:cs="Calibri"/>
        </w:rPr>
        <w:t>. Van de 24 tranches die hebben ingestemd worden 19 tranches onder de garantie gebracht.</w:t>
      </w:r>
      <w:r w:rsidRPr="00EC0972">
        <w:rPr>
          <w:rStyle w:val="Voetnootmarkering"/>
          <w:rFonts w:ascii="Calibri" w:hAnsi="Calibri" w:cs="Calibri"/>
        </w:rPr>
        <w:footnoteReference w:id="5"/>
      </w:r>
      <w:r w:rsidRPr="00EC0972">
        <w:rPr>
          <w:rFonts w:ascii="Calibri" w:hAnsi="Calibri" w:cs="Calibri"/>
        </w:rPr>
        <w:t xml:space="preserve"> Vooraf is vastgesteld dat de waarde van deze obligaties daardoor is gestegen met ~€ 464 miljoen. De garantie ligt als onderdeel van de eerste suppletoire begroting 2025 van Financiën voor aan het parlement. Mocht het parlement hier geen goedkeuring aan geven voor 30 september 2025 dan zal aan de obligatiehouders die tijdig hebben ingestemd de waarde van de garantie alsnog als geldbedrag door </w:t>
      </w:r>
      <w:proofErr w:type="spellStart"/>
      <w:r w:rsidRPr="00EC0972">
        <w:rPr>
          <w:rFonts w:ascii="Calibri" w:hAnsi="Calibri" w:cs="Calibri"/>
        </w:rPr>
        <w:t>TenneT</w:t>
      </w:r>
      <w:proofErr w:type="spellEnd"/>
      <w:r w:rsidRPr="00EC0972">
        <w:rPr>
          <w:rFonts w:ascii="Calibri" w:hAnsi="Calibri" w:cs="Calibri"/>
        </w:rPr>
        <w:t xml:space="preserve"> worden uitgekeerd. Dit betreft € 432 miljoen in totaal. Dit was nodig om de kans op een succesvolle schuldherstructurering te vergroten. Ik wil daarom beide Kamers vragen de eerste suppletoire begroting van Financiën, waarin het voorstel voor de garantie is opgenomen, vóór 30 september 2025 te behandelen en hiermee in te stemmen.  </w:t>
      </w:r>
    </w:p>
    <w:p w:rsidR="00EC0972" w:rsidRDefault="00EC0972" w14:paraId="5E14ABBD" w14:textId="5A0D5B3C">
      <w:pPr>
        <w:rPr>
          <w:rFonts w:ascii="Calibri" w:hAnsi="Calibri" w:cs="Calibri"/>
          <w:i/>
          <w:iCs/>
        </w:rPr>
      </w:pPr>
      <w:r>
        <w:rPr>
          <w:rFonts w:ascii="Calibri" w:hAnsi="Calibri" w:cs="Calibri"/>
          <w:i/>
          <w:iCs/>
        </w:rPr>
        <w:br w:type="page"/>
      </w:r>
    </w:p>
    <w:p w:rsidRPr="00EC0972" w:rsidR="00EC0972" w:rsidP="00EC0972" w:rsidRDefault="00EC0972" w14:paraId="4D71E403" w14:textId="77777777">
      <w:pPr>
        <w:pStyle w:val="Lijstalinea"/>
        <w:tabs>
          <w:tab w:val="left" w:pos="426"/>
        </w:tabs>
        <w:autoSpaceDN w:val="0"/>
        <w:spacing w:after="0" w:line="240" w:lineRule="atLeast"/>
        <w:ind w:left="426"/>
        <w:textAlignment w:val="baseline"/>
        <w:rPr>
          <w:rFonts w:ascii="Calibri" w:hAnsi="Calibri" w:cs="Calibri"/>
        </w:rPr>
      </w:pPr>
    </w:p>
    <w:p w:rsidRPr="00EC0972" w:rsidR="00446F3D" w:rsidP="00446F3D" w:rsidRDefault="00446F3D" w14:paraId="33C05EF7" w14:textId="77777777">
      <w:pPr>
        <w:pStyle w:val="Lijstalinea"/>
        <w:numPr>
          <w:ilvl w:val="0"/>
          <w:numId w:val="1"/>
        </w:numPr>
        <w:autoSpaceDN w:val="0"/>
        <w:spacing w:after="0" w:line="240" w:lineRule="atLeast"/>
        <w:ind w:left="426" w:hanging="426"/>
        <w:textAlignment w:val="baseline"/>
        <w:rPr>
          <w:rFonts w:ascii="Calibri" w:hAnsi="Calibri" w:cs="Calibri"/>
          <w:b/>
          <w:bCs/>
        </w:rPr>
      </w:pPr>
      <w:r w:rsidRPr="00EC0972">
        <w:rPr>
          <w:rFonts w:ascii="Calibri" w:hAnsi="Calibri" w:cs="Calibri"/>
          <w:b/>
          <w:bCs/>
        </w:rPr>
        <w:t>Uitkomst schuldherstructurering</w:t>
      </w:r>
    </w:p>
    <w:p w:rsidRPr="00EC0972" w:rsidR="00446F3D" w:rsidP="00446F3D" w:rsidRDefault="00446F3D" w14:paraId="28E60A1A" w14:textId="2545316A">
      <w:pPr>
        <w:rPr>
          <w:rFonts w:ascii="Calibri" w:hAnsi="Calibri" w:cs="Calibri"/>
        </w:rPr>
      </w:pPr>
      <w:r w:rsidRPr="00EC0972">
        <w:rPr>
          <w:rFonts w:ascii="Calibri" w:hAnsi="Calibri" w:cs="Calibri"/>
        </w:rPr>
        <w:t xml:space="preserve">Alle obligatietranches zijn akkoord gegaan. De uitkomst valt binnen de definitie van succes die ik eerder vertrouwelijk met u heb gedeeld. </w:t>
      </w:r>
    </w:p>
    <w:p w:rsidRPr="00EC0972" w:rsidR="00446F3D" w:rsidP="00446F3D" w:rsidRDefault="00446F3D" w14:paraId="4F84F8DF" w14:textId="1E801DB0">
      <w:pPr>
        <w:tabs>
          <w:tab w:val="left" w:pos="284"/>
        </w:tabs>
        <w:rPr>
          <w:rFonts w:ascii="Calibri" w:hAnsi="Calibri" w:cs="Calibri"/>
        </w:rPr>
      </w:pPr>
      <w:r w:rsidRPr="00EC0972">
        <w:rPr>
          <w:rFonts w:ascii="Calibri" w:hAnsi="Calibri" w:cs="Calibri"/>
        </w:rPr>
        <w:t xml:space="preserve">Zoals in mijn eerdere brief beschreven heb ik in de Voorjaarsnota 2025 een reservering opgenomen van in totaal € 7,3 miljard. Dit is het verwachte bedrag dat nodig is om een </w:t>
      </w:r>
      <w:r w:rsidRPr="00EC0972">
        <w:rPr>
          <w:rFonts w:ascii="Calibri" w:hAnsi="Calibri" w:cs="Calibri"/>
          <w:i/>
          <w:iCs/>
        </w:rPr>
        <w:t>BBB rating</w:t>
      </w:r>
      <w:r w:rsidRPr="00EC0972">
        <w:rPr>
          <w:rFonts w:ascii="Calibri" w:hAnsi="Calibri" w:cs="Calibri"/>
        </w:rPr>
        <w:t xml:space="preserve"> aan te houden voor </w:t>
      </w:r>
      <w:proofErr w:type="spellStart"/>
      <w:r w:rsidRPr="00EC0972">
        <w:rPr>
          <w:rFonts w:ascii="Calibri" w:hAnsi="Calibri" w:cs="Calibri"/>
        </w:rPr>
        <w:t>TenneT</w:t>
      </w:r>
      <w:proofErr w:type="spellEnd"/>
      <w:r w:rsidRPr="00EC0972">
        <w:rPr>
          <w:rFonts w:ascii="Calibri" w:hAnsi="Calibri" w:cs="Calibri"/>
        </w:rPr>
        <w:t xml:space="preserve"> Duitsland. Deze reservering diende twee doelen:</w:t>
      </w:r>
    </w:p>
    <w:p w:rsidRPr="00EC0972" w:rsidR="00446F3D" w:rsidP="00446F3D" w:rsidRDefault="00446F3D" w14:paraId="3B4C58F5" w14:textId="77777777">
      <w:pPr>
        <w:pStyle w:val="Lijstalinea"/>
        <w:numPr>
          <w:ilvl w:val="0"/>
          <w:numId w:val="2"/>
        </w:numPr>
        <w:tabs>
          <w:tab w:val="left" w:pos="284"/>
        </w:tabs>
        <w:autoSpaceDN w:val="0"/>
        <w:spacing w:after="0" w:line="240" w:lineRule="atLeast"/>
        <w:textAlignment w:val="baseline"/>
        <w:rPr>
          <w:rFonts w:ascii="Calibri" w:hAnsi="Calibri" w:cs="Calibri"/>
        </w:rPr>
      </w:pPr>
      <w:r w:rsidRPr="00EC0972">
        <w:rPr>
          <w:rFonts w:ascii="Calibri" w:hAnsi="Calibri" w:cs="Calibri"/>
        </w:rPr>
        <w:t xml:space="preserve">De kans vergroten dat de kapitaalbehoefte volledig via de deelname van private investeerders kan worden ingevuld. Daarmee wordt voorkomen dat er een kapitaalbehoefte voor de Nederlandse staat resteert. </w:t>
      </w:r>
    </w:p>
    <w:p w:rsidRPr="00EC0972" w:rsidR="00446F3D" w:rsidP="00446F3D" w:rsidRDefault="00446F3D" w14:paraId="7AFD6F97" w14:textId="77777777">
      <w:pPr>
        <w:pStyle w:val="Lijstalinea"/>
        <w:tabs>
          <w:tab w:val="left" w:pos="284"/>
        </w:tabs>
        <w:rPr>
          <w:rFonts w:ascii="Calibri" w:hAnsi="Calibri" w:cs="Calibri"/>
        </w:rPr>
      </w:pPr>
    </w:p>
    <w:p w:rsidRPr="00EC0972" w:rsidR="00446F3D" w:rsidP="00446F3D" w:rsidRDefault="00446F3D" w14:paraId="67AEE3B9" w14:textId="77777777">
      <w:pPr>
        <w:pStyle w:val="Lijstalinea"/>
        <w:numPr>
          <w:ilvl w:val="0"/>
          <w:numId w:val="2"/>
        </w:numPr>
        <w:tabs>
          <w:tab w:val="left" w:pos="284"/>
        </w:tabs>
        <w:autoSpaceDN w:val="0"/>
        <w:spacing w:after="0" w:line="240" w:lineRule="atLeast"/>
        <w:textAlignment w:val="baseline"/>
        <w:rPr>
          <w:rFonts w:ascii="Calibri" w:hAnsi="Calibri" w:cs="Calibri"/>
        </w:rPr>
      </w:pPr>
      <w:r w:rsidRPr="00EC0972">
        <w:rPr>
          <w:rFonts w:ascii="Calibri" w:hAnsi="Calibri" w:cs="Calibri"/>
        </w:rPr>
        <w:t xml:space="preserve">De kans vergroten dat de schuldherstructurering succesvol is. Als onvoldoende obligatiehouders akkoord zouden gaan, dan zou </w:t>
      </w:r>
      <w:proofErr w:type="spellStart"/>
      <w:r w:rsidRPr="00EC0972">
        <w:rPr>
          <w:rFonts w:ascii="Calibri" w:hAnsi="Calibri" w:cs="Calibri"/>
        </w:rPr>
        <w:t>TenneT</w:t>
      </w:r>
      <w:proofErr w:type="spellEnd"/>
      <w:r w:rsidRPr="00EC0972">
        <w:rPr>
          <w:rFonts w:ascii="Calibri" w:hAnsi="Calibri" w:cs="Calibri"/>
        </w:rPr>
        <w:t xml:space="preserve"> het aanbod intrekken en zou de schuld niet worden verplaatst naar </w:t>
      </w:r>
      <w:proofErr w:type="spellStart"/>
      <w:r w:rsidRPr="00EC0972">
        <w:rPr>
          <w:rFonts w:ascii="Calibri" w:hAnsi="Calibri" w:cs="Calibri"/>
        </w:rPr>
        <w:t>TenneT</w:t>
      </w:r>
      <w:proofErr w:type="spellEnd"/>
      <w:r w:rsidRPr="00EC0972">
        <w:rPr>
          <w:rFonts w:ascii="Calibri" w:hAnsi="Calibri" w:cs="Calibri"/>
        </w:rPr>
        <w:t xml:space="preserve"> Nederland. Om zeker te stellen dat de economische waarde niet verloren gaat, had het dan de voorkeur van de staat om zo goed als de gehele kapitaalbehoefte van </w:t>
      </w:r>
      <w:proofErr w:type="spellStart"/>
      <w:r w:rsidRPr="00EC0972">
        <w:rPr>
          <w:rFonts w:ascii="Calibri" w:hAnsi="Calibri" w:cs="Calibri"/>
        </w:rPr>
        <w:t>TenneT</w:t>
      </w:r>
      <w:proofErr w:type="spellEnd"/>
      <w:r w:rsidRPr="00EC0972">
        <w:rPr>
          <w:rFonts w:ascii="Calibri" w:hAnsi="Calibri" w:cs="Calibri"/>
        </w:rPr>
        <w:t xml:space="preserve"> Duitsland zelf in te vullen.</w:t>
      </w:r>
    </w:p>
    <w:p w:rsidRPr="00EC0972" w:rsidR="00446F3D" w:rsidP="00446F3D" w:rsidRDefault="00446F3D" w14:paraId="3B631164" w14:textId="77777777">
      <w:pPr>
        <w:tabs>
          <w:tab w:val="left" w:pos="284"/>
        </w:tabs>
        <w:rPr>
          <w:rFonts w:ascii="Calibri" w:hAnsi="Calibri" w:cs="Calibri"/>
        </w:rPr>
      </w:pPr>
    </w:p>
    <w:p w:rsidRPr="00EC0972" w:rsidR="00446F3D" w:rsidP="00EC0972" w:rsidRDefault="00446F3D" w14:paraId="06EAD596" w14:textId="33FFBCDC">
      <w:pPr>
        <w:tabs>
          <w:tab w:val="left" w:pos="284"/>
        </w:tabs>
        <w:rPr>
          <w:rFonts w:ascii="Calibri" w:hAnsi="Calibri" w:cs="Calibri"/>
        </w:rPr>
      </w:pPr>
      <w:r w:rsidRPr="00EC0972">
        <w:rPr>
          <w:rFonts w:ascii="Calibri" w:hAnsi="Calibri" w:cs="Calibri"/>
        </w:rPr>
        <w:t xml:space="preserve">De tweede reden is met het succes van de schuldherstructurering komen te vervallen. De reservering moet nu dus nog enkel worden gezien als een </w:t>
      </w:r>
      <w:r w:rsidRPr="00EC0972">
        <w:rPr>
          <w:rFonts w:ascii="Calibri" w:hAnsi="Calibri" w:cs="Calibri"/>
          <w:i/>
          <w:iCs/>
        </w:rPr>
        <w:t>last resort</w:t>
      </w:r>
      <w:r w:rsidRPr="00EC0972">
        <w:rPr>
          <w:rFonts w:ascii="Calibri" w:hAnsi="Calibri" w:cs="Calibri"/>
        </w:rPr>
        <w:t xml:space="preserve"> maatregel in het geval de deelname van private investeerders niet voldoende is om de gehele kapitaalbehoefte in te vullen. De reservering wordt naar verwachting bij Voorjaarsnota 2026 herzien, wanneer de deelname van private investeerders in </w:t>
      </w:r>
      <w:proofErr w:type="spellStart"/>
      <w:r w:rsidRPr="00EC0972">
        <w:rPr>
          <w:rFonts w:ascii="Calibri" w:hAnsi="Calibri" w:cs="Calibri"/>
        </w:rPr>
        <w:t>TenneT</w:t>
      </w:r>
      <w:proofErr w:type="spellEnd"/>
      <w:r w:rsidRPr="00EC0972">
        <w:rPr>
          <w:rFonts w:ascii="Calibri" w:hAnsi="Calibri" w:cs="Calibri"/>
        </w:rPr>
        <w:t xml:space="preserve"> Duitsland is afgerond.  </w:t>
      </w:r>
    </w:p>
    <w:p w:rsidRPr="00EC0972" w:rsidR="00446F3D" w:rsidP="00446F3D" w:rsidRDefault="00446F3D" w14:paraId="7A1081B4" w14:textId="77777777">
      <w:pPr>
        <w:pStyle w:val="Lijstalinea"/>
        <w:numPr>
          <w:ilvl w:val="0"/>
          <w:numId w:val="1"/>
        </w:numPr>
        <w:autoSpaceDN w:val="0"/>
        <w:spacing w:after="0" w:line="240" w:lineRule="atLeast"/>
        <w:ind w:left="426" w:hanging="426"/>
        <w:textAlignment w:val="baseline"/>
        <w:rPr>
          <w:rFonts w:ascii="Calibri" w:hAnsi="Calibri" w:cs="Calibri"/>
          <w:b/>
          <w:bCs/>
        </w:rPr>
      </w:pPr>
      <w:r w:rsidRPr="00EC0972">
        <w:rPr>
          <w:rFonts w:ascii="Calibri" w:hAnsi="Calibri" w:cs="Calibri"/>
          <w:b/>
          <w:bCs/>
        </w:rPr>
        <w:t>Vervolg deelname private investeerders</w:t>
      </w:r>
    </w:p>
    <w:p w:rsidRPr="00EC0972" w:rsidR="00446F3D" w:rsidP="00446F3D" w:rsidRDefault="00446F3D" w14:paraId="664CC8A7" w14:textId="77777777">
      <w:pPr>
        <w:tabs>
          <w:tab w:val="left" w:pos="284"/>
        </w:tabs>
        <w:rPr>
          <w:rFonts w:ascii="Calibri" w:hAnsi="Calibri" w:cs="Calibri"/>
        </w:rPr>
      </w:pPr>
      <w:r w:rsidRPr="00EC0972">
        <w:rPr>
          <w:rFonts w:ascii="Calibri" w:hAnsi="Calibri" w:cs="Calibri"/>
        </w:rPr>
        <w:t xml:space="preserve">Nu gebleken is dat de schuldherstructurering succesvol is, wordt de uitwerking van de deelname van private investeerders voortgezet. </w:t>
      </w:r>
      <w:proofErr w:type="spellStart"/>
      <w:r w:rsidRPr="00EC0972">
        <w:rPr>
          <w:rFonts w:ascii="Calibri" w:hAnsi="Calibri" w:cs="Calibri"/>
        </w:rPr>
        <w:t>TenneT</w:t>
      </w:r>
      <w:proofErr w:type="spellEnd"/>
      <w:r w:rsidRPr="00EC0972">
        <w:rPr>
          <w:rFonts w:ascii="Calibri" w:hAnsi="Calibri" w:cs="Calibri"/>
        </w:rPr>
        <w:t xml:space="preserve"> is momenteel bezig de interesse in de markt verder te onderzoeken. Begin juli is het keuzemoment voorzien tussen de onderhandse uitgifte en de beursgang. Op basis van de gesprekken met investeerders en de verwachte niet-bindende biedingen zal ik samen met </w:t>
      </w:r>
      <w:proofErr w:type="spellStart"/>
      <w:r w:rsidRPr="00EC0972">
        <w:rPr>
          <w:rFonts w:ascii="Calibri" w:hAnsi="Calibri" w:cs="Calibri"/>
        </w:rPr>
        <w:t>TenneT</w:t>
      </w:r>
      <w:proofErr w:type="spellEnd"/>
      <w:r w:rsidRPr="00EC0972">
        <w:rPr>
          <w:rFonts w:ascii="Calibri" w:hAnsi="Calibri" w:cs="Calibri"/>
        </w:rPr>
        <w:t xml:space="preserve"> beoordelen wat naar verwachting de beste optie zal zijn. Bij deze beslissing kijk ik onder andere naar de eerder met u gedeelde criteria:</w:t>
      </w:r>
    </w:p>
    <w:p w:rsidRPr="00EC0972" w:rsidR="00446F3D" w:rsidP="00446F3D" w:rsidRDefault="00446F3D" w14:paraId="2ABAAF06" w14:textId="77777777">
      <w:pPr>
        <w:tabs>
          <w:tab w:val="left" w:pos="284"/>
        </w:tabs>
        <w:rPr>
          <w:rFonts w:ascii="Calibri" w:hAnsi="Calibri" w:cs="Calibri"/>
        </w:rPr>
      </w:pPr>
    </w:p>
    <w:p w:rsidRPr="00EC0972" w:rsidR="00446F3D" w:rsidP="00446F3D" w:rsidRDefault="00446F3D" w14:paraId="56D9326D" w14:textId="77777777">
      <w:pPr>
        <w:pStyle w:val="Lijstalinea"/>
        <w:numPr>
          <w:ilvl w:val="0"/>
          <w:numId w:val="3"/>
        </w:numPr>
        <w:autoSpaceDN w:val="0"/>
        <w:spacing w:after="0" w:line="240" w:lineRule="atLeast"/>
        <w:ind w:left="709" w:hanging="284"/>
        <w:textAlignment w:val="baseline"/>
        <w:rPr>
          <w:rFonts w:ascii="Calibri" w:hAnsi="Calibri" w:cs="Calibri"/>
        </w:rPr>
      </w:pPr>
      <w:r w:rsidRPr="00EC0972">
        <w:rPr>
          <w:rFonts w:ascii="Calibri" w:hAnsi="Calibri" w:cs="Calibri"/>
        </w:rPr>
        <w:t xml:space="preserve">Mogelijke negatieve financiële en budgettaire gevolgen voor de Nederlandse staat moeten worden geminimaliseerd; </w:t>
      </w:r>
    </w:p>
    <w:p w:rsidRPr="00EC0972" w:rsidR="00446F3D" w:rsidP="00446F3D" w:rsidRDefault="00446F3D" w14:paraId="657050BE" w14:textId="77777777">
      <w:pPr>
        <w:pStyle w:val="Lijstalinea"/>
        <w:numPr>
          <w:ilvl w:val="0"/>
          <w:numId w:val="3"/>
        </w:numPr>
        <w:autoSpaceDN w:val="0"/>
        <w:spacing w:after="0" w:line="240" w:lineRule="atLeast"/>
        <w:ind w:left="709" w:hanging="284"/>
        <w:textAlignment w:val="baseline"/>
        <w:rPr>
          <w:rFonts w:ascii="Calibri" w:hAnsi="Calibri" w:cs="Calibri"/>
        </w:rPr>
      </w:pPr>
      <w:r w:rsidRPr="00EC0972">
        <w:rPr>
          <w:rFonts w:ascii="Calibri" w:hAnsi="Calibri" w:cs="Calibri"/>
        </w:rPr>
        <w:t>De bijdrage aan de Nederlandse publieke belangen moet zoveel mogelijk behouden blijven;</w:t>
      </w:r>
    </w:p>
    <w:p w:rsidRPr="00EC0972" w:rsidR="00446F3D" w:rsidP="00446F3D" w:rsidRDefault="00446F3D" w14:paraId="20D67E5D" w14:textId="77777777">
      <w:pPr>
        <w:pStyle w:val="Lijstalinea"/>
        <w:numPr>
          <w:ilvl w:val="0"/>
          <w:numId w:val="3"/>
        </w:numPr>
        <w:autoSpaceDN w:val="0"/>
        <w:spacing w:after="0" w:line="240" w:lineRule="atLeast"/>
        <w:ind w:left="709" w:hanging="284"/>
        <w:textAlignment w:val="baseline"/>
        <w:rPr>
          <w:rFonts w:ascii="Calibri" w:hAnsi="Calibri" w:cs="Calibri"/>
        </w:rPr>
      </w:pPr>
      <w:r w:rsidRPr="00EC0972">
        <w:rPr>
          <w:rFonts w:ascii="Calibri" w:hAnsi="Calibri" w:cs="Calibri"/>
        </w:rPr>
        <w:t>De prijs moet marktconform zijn;</w:t>
      </w:r>
    </w:p>
    <w:p w:rsidRPr="00EC0972" w:rsidR="00446F3D" w:rsidP="00446F3D" w:rsidRDefault="00446F3D" w14:paraId="5FBA7A7E" w14:textId="77777777">
      <w:pPr>
        <w:pStyle w:val="Lijstalinea"/>
        <w:numPr>
          <w:ilvl w:val="0"/>
          <w:numId w:val="3"/>
        </w:numPr>
        <w:autoSpaceDN w:val="0"/>
        <w:spacing w:after="0" w:line="240" w:lineRule="atLeast"/>
        <w:ind w:left="709" w:hanging="284"/>
        <w:textAlignment w:val="baseline"/>
        <w:rPr>
          <w:rFonts w:ascii="Calibri" w:hAnsi="Calibri" w:cs="Calibri"/>
        </w:rPr>
      </w:pPr>
      <w:r w:rsidRPr="00EC0972">
        <w:rPr>
          <w:rFonts w:ascii="Calibri" w:hAnsi="Calibri" w:cs="Calibri"/>
        </w:rPr>
        <w:t xml:space="preserve">De </w:t>
      </w:r>
      <w:proofErr w:type="spellStart"/>
      <w:r w:rsidRPr="00EC0972">
        <w:rPr>
          <w:rFonts w:ascii="Calibri" w:hAnsi="Calibri" w:cs="Calibri"/>
        </w:rPr>
        <w:t>governance</w:t>
      </w:r>
      <w:proofErr w:type="spellEnd"/>
      <w:r w:rsidRPr="00EC0972">
        <w:rPr>
          <w:rFonts w:ascii="Calibri" w:hAnsi="Calibri" w:cs="Calibri"/>
        </w:rPr>
        <w:t xml:space="preserve"> van </w:t>
      </w:r>
      <w:proofErr w:type="spellStart"/>
      <w:r w:rsidRPr="00EC0972">
        <w:rPr>
          <w:rFonts w:ascii="Calibri" w:hAnsi="Calibri" w:cs="Calibri"/>
        </w:rPr>
        <w:t>TenneT</w:t>
      </w:r>
      <w:proofErr w:type="spellEnd"/>
      <w:r w:rsidRPr="00EC0972">
        <w:rPr>
          <w:rFonts w:ascii="Calibri" w:hAnsi="Calibri" w:cs="Calibri"/>
        </w:rPr>
        <w:t xml:space="preserve"> moet werkbaar en overzichtelijk blijven.</w:t>
      </w:r>
    </w:p>
    <w:p w:rsidRPr="00EC0972" w:rsidR="00446F3D" w:rsidP="00446F3D" w:rsidRDefault="00446F3D" w14:paraId="0FFA2345" w14:textId="77777777">
      <w:pPr>
        <w:tabs>
          <w:tab w:val="left" w:pos="284"/>
        </w:tabs>
        <w:rPr>
          <w:rFonts w:ascii="Calibri" w:hAnsi="Calibri" w:cs="Calibri"/>
        </w:rPr>
      </w:pPr>
    </w:p>
    <w:p w:rsidRPr="00EC0972" w:rsidR="00446F3D" w:rsidP="00446F3D" w:rsidRDefault="00446F3D" w14:paraId="0A27CC56" w14:textId="77777777">
      <w:pPr>
        <w:tabs>
          <w:tab w:val="left" w:pos="284"/>
        </w:tabs>
        <w:rPr>
          <w:rFonts w:ascii="Calibri" w:hAnsi="Calibri" w:cs="Calibri"/>
        </w:rPr>
      </w:pPr>
      <w:r w:rsidRPr="00EC0972">
        <w:rPr>
          <w:rFonts w:ascii="Calibri" w:hAnsi="Calibri" w:cs="Calibri"/>
        </w:rPr>
        <w:lastRenderedPageBreak/>
        <w:t xml:space="preserve">Rond de aanvang van het zomerreces informeer ik u over mijn keuze, waarna </w:t>
      </w:r>
      <w:proofErr w:type="spellStart"/>
      <w:r w:rsidRPr="00EC0972">
        <w:rPr>
          <w:rFonts w:ascii="Calibri" w:hAnsi="Calibri" w:cs="Calibri"/>
        </w:rPr>
        <w:t>TenneT</w:t>
      </w:r>
      <w:proofErr w:type="spellEnd"/>
      <w:r w:rsidRPr="00EC0972">
        <w:rPr>
          <w:rFonts w:ascii="Calibri" w:hAnsi="Calibri" w:cs="Calibri"/>
        </w:rPr>
        <w:t xml:space="preserve"> deze keuze in het zomerreces verder implementeert. </w:t>
      </w:r>
    </w:p>
    <w:p w:rsidRPr="00EC0972" w:rsidR="00446F3D" w:rsidP="00446F3D" w:rsidRDefault="00446F3D" w14:paraId="33D6B08C" w14:textId="77777777">
      <w:pPr>
        <w:tabs>
          <w:tab w:val="left" w:pos="284"/>
        </w:tabs>
        <w:rPr>
          <w:rFonts w:ascii="Calibri" w:hAnsi="Calibri" w:cs="Calibri"/>
        </w:rPr>
      </w:pPr>
    </w:p>
    <w:p w:rsidRPr="00EC0972" w:rsidR="00446F3D" w:rsidP="00446F3D" w:rsidRDefault="00EC0972" w14:paraId="7CA6B883" w14:textId="18132ED7">
      <w:pPr>
        <w:rPr>
          <w:rFonts w:ascii="Calibri" w:hAnsi="Calibri" w:cs="Calibri"/>
        </w:rPr>
      </w:pPr>
      <w:r>
        <w:rPr>
          <w:rFonts w:ascii="Calibri" w:hAnsi="Calibri" w:cs="Calibri"/>
        </w:rPr>
        <w:t>D</w:t>
      </w:r>
      <w:r w:rsidRPr="00EC0972">
        <w:rPr>
          <w:rFonts w:ascii="Calibri" w:hAnsi="Calibri" w:cs="Calibri"/>
        </w:rPr>
        <w:t>e minister van Financiën,</w:t>
      </w:r>
      <w:r w:rsidRPr="00EC0972">
        <w:rPr>
          <w:rFonts w:ascii="Calibri" w:hAnsi="Calibri" w:cs="Calibri"/>
        </w:rPr>
        <w:br/>
        <w:t>E. Heinen</w:t>
      </w:r>
    </w:p>
    <w:p w:rsidRPr="00EC0972" w:rsidR="00446F3D" w:rsidP="00446F3D" w:rsidRDefault="00446F3D" w14:paraId="6078F1A3" w14:textId="77777777">
      <w:pPr>
        <w:rPr>
          <w:rFonts w:ascii="Calibri" w:hAnsi="Calibri" w:cs="Calibri"/>
          <w:i/>
          <w:iCs/>
        </w:rPr>
      </w:pPr>
    </w:p>
    <w:p w:rsidRPr="00EC0972" w:rsidR="00FE0FA3" w:rsidRDefault="00FE0FA3" w14:paraId="1ADAEB49" w14:textId="77777777">
      <w:pPr>
        <w:rPr>
          <w:rFonts w:ascii="Calibri" w:hAnsi="Calibri" w:cs="Calibri"/>
        </w:rPr>
      </w:pPr>
    </w:p>
    <w:sectPr w:rsidRPr="00EC0972" w:rsidR="00FE0FA3" w:rsidSect="00446F3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2F1F" w14:textId="77777777" w:rsidR="00446F3D" w:rsidRDefault="00446F3D" w:rsidP="00446F3D">
      <w:pPr>
        <w:spacing w:after="0" w:line="240" w:lineRule="auto"/>
      </w:pPr>
      <w:r>
        <w:separator/>
      </w:r>
    </w:p>
  </w:endnote>
  <w:endnote w:type="continuationSeparator" w:id="0">
    <w:p w14:paraId="4F670CF2" w14:textId="77777777" w:rsidR="00446F3D" w:rsidRDefault="00446F3D" w:rsidP="0044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B47F" w14:textId="77777777" w:rsidR="00446F3D" w:rsidRPr="00446F3D" w:rsidRDefault="00446F3D" w:rsidP="00446F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0183" w14:textId="77777777" w:rsidR="00446F3D" w:rsidRPr="00446F3D" w:rsidRDefault="00446F3D" w:rsidP="00446F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199E" w14:textId="77777777" w:rsidR="00446F3D" w:rsidRPr="00446F3D" w:rsidRDefault="00446F3D" w:rsidP="00446F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7193" w14:textId="77777777" w:rsidR="00446F3D" w:rsidRDefault="00446F3D" w:rsidP="00446F3D">
      <w:pPr>
        <w:spacing w:after="0" w:line="240" w:lineRule="auto"/>
      </w:pPr>
      <w:r>
        <w:separator/>
      </w:r>
    </w:p>
  </w:footnote>
  <w:footnote w:type="continuationSeparator" w:id="0">
    <w:p w14:paraId="3EB9A8F5" w14:textId="77777777" w:rsidR="00446F3D" w:rsidRDefault="00446F3D" w:rsidP="00446F3D">
      <w:pPr>
        <w:spacing w:after="0" w:line="240" w:lineRule="auto"/>
      </w:pPr>
      <w:r>
        <w:continuationSeparator/>
      </w:r>
    </w:p>
  </w:footnote>
  <w:footnote w:id="1">
    <w:p w14:paraId="21B21A20" w14:textId="0B961AE2" w:rsidR="00446F3D" w:rsidRPr="00EC0972" w:rsidRDefault="00446F3D" w:rsidP="00446F3D">
      <w:pPr>
        <w:pStyle w:val="Voetnoottekst"/>
        <w:rPr>
          <w:rFonts w:ascii="Calibri" w:hAnsi="Calibri" w:cs="Calibri"/>
        </w:rPr>
      </w:pPr>
      <w:r w:rsidRPr="00EC0972">
        <w:rPr>
          <w:rStyle w:val="Voetnootmarkering"/>
          <w:rFonts w:ascii="Calibri" w:hAnsi="Calibri" w:cs="Calibri"/>
        </w:rPr>
        <w:footnoteRef/>
      </w:r>
      <w:r w:rsidRPr="00EC0972">
        <w:rPr>
          <w:rFonts w:ascii="Calibri" w:hAnsi="Calibri" w:cs="Calibri"/>
        </w:rPr>
        <w:t xml:space="preserve"> Kamerstukken II 2024-2025, 28 165, nr. 447</w:t>
      </w:r>
    </w:p>
  </w:footnote>
  <w:footnote w:id="2">
    <w:p w14:paraId="48A112E5" w14:textId="77777777" w:rsidR="00446F3D" w:rsidRPr="00EC0972" w:rsidRDefault="00446F3D" w:rsidP="00446F3D">
      <w:pPr>
        <w:pStyle w:val="Voetnoottekst"/>
        <w:rPr>
          <w:rFonts w:ascii="Calibri" w:hAnsi="Calibri" w:cs="Calibri"/>
        </w:rPr>
      </w:pPr>
      <w:r w:rsidRPr="00EC0972">
        <w:rPr>
          <w:rStyle w:val="Voetnootmarkering"/>
          <w:rFonts w:ascii="Calibri" w:hAnsi="Calibri" w:cs="Calibri"/>
        </w:rPr>
        <w:footnoteRef/>
      </w:r>
      <w:r w:rsidRPr="00EC0972">
        <w:rPr>
          <w:rFonts w:ascii="Calibri" w:hAnsi="Calibri" w:cs="Calibri"/>
        </w:rPr>
        <w:t xml:space="preserve"> </w:t>
      </w:r>
      <w:proofErr w:type="spellStart"/>
      <w:r w:rsidRPr="00EC0972">
        <w:rPr>
          <w:rFonts w:ascii="Calibri" w:hAnsi="Calibri" w:cs="Calibri"/>
        </w:rPr>
        <w:t>TenneT</w:t>
      </w:r>
      <w:proofErr w:type="spellEnd"/>
      <w:r w:rsidRPr="00EC0972">
        <w:rPr>
          <w:rFonts w:ascii="Calibri" w:hAnsi="Calibri" w:cs="Calibri"/>
        </w:rPr>
        <w:t xml:space="preserve"> heeft in totaal circa € 19 miljard aan senior langdurige schuld uitstaan (exclusief de leningen van de Nederlandse staat). Het merendeel betreft obligaties (€ 16,7 miljard), de overige € 2,2 miljard bestaat uit andere schuldinstrumenten, o.a. leningen bij de EIB.</w:t>
      </w:r>
    </w:p>
  </w:footnote>
  <w:footnote w:id="3">
    <w:p w14:paraId="665EA9CA" w14:textId="77777777" w:rsidR="00446F3D" w:rsidRPr="00EC0972" w:rsidRDefault="00446F3D" w:rsidP="00446F3D">
      <w:pPr>
        <w:pStyle w:val="Voetnoottekst"/>
        <w:rPr>
          <w:rFonts w:ascii="Calibri" w:hAnsi="Calibri" w:cs="Calibri"/>
        </w:rPr>
      </w:pPr>
      <w:r w:rsidRPr="00EC0972">
        <w:rPr>
          <w:rStyle w:val="Voetnootmarkering"/>
          <w:rFonts w:ascii="Calibri" w:hAnsi="Calibri" w:cs="Calibri"/>
        </w:rPr>
        <w:footnoteRef/>
      </w:r>
      <w:r w:rsidRPr="00EC0972">
        <w:rPr>
          <w:rFonts w:ascii="Calibri" w:hAnsi="Calibri" w:cs="Calibri"/>
        </w:rPr>
        <w:t xml:space="preserve"> Deze economische waarde wordt bepaald door te kijken welke extra kosten </w:t>
      </w:r>
      <w:proofErr w:type="spellStart"/>
      <w:r w:rsidRPr="00EC0972">
        <w:rPr>
          <w:rFonts w:ascii="Calibri" w:hAnsi="Calibri" w:cs="Calibri"/>
        </w:rPr>
        <w:t>TenneT</w:t>
      </w:r>
      <w:proofErr w:type="spellEnd"/>
      <w:r w:rsidRPr="00EC0972">
        <w:rPr>
          <w:rFonts w:ascii="Calibri" w:hAnsi="Calibri" w:cs="Calibri"/>
        </w:rPr>
        <w:t xml:space="preserve"> zou maken wanneer het de schuld zou moeten herfinancieren met de huidige marktrentes.</w:t>
      </w:r>
    </w:p>
  </w:footnote>
  <w:footnote w:id="4">
    <w:p w14:paraId="58A498FA" w14:textId="3794146D" w:rsidR="00446F3D" w:rsidRPr="00EC0972" w:rsidRDefault="00446F3D" w:rsidP="00446F3D">
      <w:pPr>
        <w:pStyle w:val="Voetnoottekst"/>
        <w:rPr>
          <w:rFonts w:ascii="Calibri" w:hAnsi="Calibri" w:cs="Calibri"/>
        </w:rPr>
      </w:pPr>
      <w:r w:rsidRPr="00EC0972">
        <w:rPr>
          <w:rFonts w:ascii="Calibri" w:hAnsi="Calibri" w:cs="Calibri"/>
        </w:rPr>
        <w:footnoteRef/>
      </w:r>
      <w:r w:rsidRPr="00EC0972">
        <w:rPr>
          <w:rFonts w:ascii="Calibri" w:hAnsi="Calibri" w:cs="Calibri"/>
          <w:vertAlign w:val="superscript"/>
        </w:rPr>
        <w:t xml:space="preserve"> </w:t>
      </w:r>
      <w:r w:rsidRPr="00EC0972">
        <w:rPr>
          <w:rFonts w:ascii="Calibri" w:hAnsi="Calibri" w:cs="Calibri"/>
        </w:rPr>
        <w:t xml:space="preserve">Kamerstukken II 2024-2025, 28 165 </w:t>
      </w:r>
      <w:proofErr w:type="spellStart"/>
      <w:r w:rsidRPr="00EC0972">
        <w:rPr>
          <w:rFonts w:ascii="Calibri" w:hAnsi="Calibri" w:cs="Calibri"/>
        </w:rPr>
        <w:t>nr</w:t>
      </w:r>
      <w:proofErr w:type="spellEnd"/>
      <w:r w:rsidRPr="00EC0972">
        <w:rPr>
          <w:rFonts w:ascii="Calibri" w:hAnsi="Calibri" w:cs="Calibri"/>
        </w:rPr>
        <w:t>,. 447</w:t>
      </w:r>
    </w:p>
  </w:footnote>
  <w:footnote w:id="5">
    <w:p w14:paraId="3D8D8C8E" w14:textId="77777777" w:rsidR="00446F3D" w:rsidRPr="00EC0972" w:rsidRDefault="00446F3D" w:rsidP="00446F3D">
      <w:pPr>
        <w:pStyle w:val="Voetnoottekst"/>
        <w:rPr>
          <w:rFonts w:ascii="Calibri" w:hAnsi="Calibri" w:cs="Calibri"/>
        </w:rPr>
      </w:pPr>
      <w:r w:rsidRPr="00EC0972">
        <w:rPr>
          <w:rStyle w:val="Voetnootmarkering"/>
          <w:rFonts w:ascii="Calibri" w:hAnsi="Calibri" w:cs="Calibri"/>
        </w:rPr>
        <w:footnoteRef/>
      </w:r>
      <w:r w:rsidRPr="00EC0972">
        <w:rPr>
          <w:rFonts w:ascii="Calibri" w:hAnsi="Calibri" w:cs="Calibri"/>
        </w:rPr>
        <w:t xml:space="preserve"> Voor de overige 5 obligatietranches geldt dat zij een rente ontvangen van </w:t>
      </w:r>
      <w:proofErr w:type="spellStart"/>
      <w:r w:rsidRPr="00EC0972">
        <w:rPr>
          <w:rFonts w:ascii="Calibri" w:hAnsi="Calibri" w:cs="Calibri"/>
        </w:rPr>
        <w:t>TenneT</w:t>
      </w:r>
      <w:proofErr w:type="spellEnd"/>
      <w:r w:rsidRPr="00EC0972">
        <w:rPr>
          <w:rFonts w:ascii="Calibri" w:hAnsi="Calibri" w:cs="Calibri"/>
        </w:rPr>
        <w:t xml:space="preserve"> die hoger is dan de huidige marktrentes. Deze tranches representeren daardoor geen economische waarde voor </w:t>
      </w:r>
      <w:proofErr w:type="spellStart"/>
      <w:r w:rsidRPr="00EC0972">
        <w:rPr>
          <w:rFonts w:ascii="Calibri" w:hAnsi="Calibri" w:cs="Calibri"/>
        </w:rPr>
        <w:t>TenneT</w:t>
      </w:r>
      <w:proofErr w:type="spellEnd"/>
      <w:r w:rsidRPr="00EC0972">
        <w:rPr>
          <w:rFonts w:ascii="Calibri" w:hAnsi="Calibri" w:cs="Calibri"/>
        </w:rPr>
        <w:t>. Op basis van advies van interne en externe juridische adviseurs is geconcludeerd dat het verstrekken van een garantie door de staat voor deze obligaties niet zou zijn toegestaan op basis van staatssteunregels.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61EB" w14:textId="77777777" w:rsidR="00446F3D" w:rsidRPr="00446F3D" w:rsidRDefault="00446F3D" w:rsidP="00446F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BCA6" w14:textId="77777777" w:rsidR="00446F3D" w:rsidRPr="00446F3D" w:rsidRDefault="00446F3D" w:rsidP="00446F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8F6" w14:textId="77777777" w:rsidR="00446F3D" w:rsidRPr="00446F3D" w:rsidRDefault="00446F3D" w:rsidP="00446F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745A"/>
    <w:multiLevelType w:val="hybridMultilevel"/>
    <w:tmpl w:val="C65E7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A7EAA"/>
    <w:multiLevelType w:val="hybridMultilevel"/>
    <w:tmpl w:val="2CCAA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F3DB9"/>
    <w:multiLevelType w:val="hybridMultilevel"/>
    <w:tmpl w:val="CC72BD6C"/>
    <w:lvl w:ilvl="0" w:tplc="A19C698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962F78"/>
    <w:multiLevelType w:val="hybridMultilevel"/>
    <w:tmpl w:val="8CF89F0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5331624">
    <w:abstractNumId w:val="2"/>
  </w:num>
  <w:num w:numId="2" w16cid:durableId="1526291342">
    <w:abstractNumId w:val="0"/>
  </w:num>
  <w:num w:numId="3" w16cid:durableId="1411735363">
    <w:abstractNumId w:val="3"/>
  </w:num>
  <w:num w:numId="4" w16cid:durableId="48139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3D"/>
    <w:rsid w:val="002E3E61"/>
    <w:rsid w:val="00407B44"/>
    <w:rsid w:val="00446F3D"/>
    <w:rsid w:val="00693AC2"/>
    <w:rsid w:val="00C06CA9"/>
    <w:rsid w:val="00D43DCD"/>
    <w:rsid w:val="00DE2A3D"/>
    <w:rsid w:val="00EC097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355"/>
  <w15:chartTrackingRefBased/>
  <w15:docId w15:val="{BEC851AA-E09A-4DF8-A9AC-3398FF24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6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6F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6F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6F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6F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6F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6F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6F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F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6F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6F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6F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6F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6F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6F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6F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6F3D"/>
    <w:rPr>
      <w:rFonts w:eastAsiaTheme="majorEastAsia" w:cstheme="majorBidi"/>
      <w:color w:val="272727" w:themeColor="text1" w:themeTint="D8"/>
    </w:rPr>
  </w:style>
  <w:style w:type="paragraph" w:styleId="Titel">
    <w:name w:val="Title"/>
    <w:basedOn w:val="Standaard"/>
    <w:next w:val="Standaard"/>
    <w:link w:val="TitelChar"/>
    <w:uiPriority w:val="10"/>
    <w:qFormat/>
    <w:rsid w:val="00446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F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6F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6F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6F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6F3D"/>
    <w:rPr>
      <w:i/>
      <w:iCs/>
      <w:color w:val="404040" w:themeColor="text1" w:themeTint="BF"/>
    </w:rPr>
  </w:style>
  <w:style w:type="paragraph" w:styleId="Lijstalinea">
    <w:name w:val="List Paragraph"/>
    <w:basedOn w:val="Standaard"/>
    <w:uiPriority w:val="34"/>
    <w:qFormat/>
    <w:rsid w:val="00446F3D"/>
    <w:pPr>
      <w:ind w:left="720"/>
      <w:contextualSpacing/>
    </w:pPr>
  </w:style>
  <w:style w:type="character" w:styleId="Intensievebenadrukking">
    <w:name w:val="Intense Emphasis"/>
    <w:basedOn w:val="Standaardalinea-lettertype"/>
    <w:uiPriority w:val="21"/>
    <w:qFormat/>
    <w:rsid w:val="00446F3D"/>
    <w:rPr>
      <w:i/>
      <w:iCs/>
      <w:color w:val="0F4761" w:themeColor="accent1" w:themeShade="BF"/>
    </w:rPr>
  </w:style>
  <w:style w:type="paragraph" w:styleId="Duidelijkcitaat">
    <w:name w:val="Intense Quote"/>
    <w:basedOn w:val="Standaard"/>
    <w:next w:val="Standaard"/>
    <w:link w:val="DuidelijkcitaatChar"/>
    <w:uiPriority w:val="30"/>
    <w:qFormat/>
    <w:rsid w:val="00446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6F3D"/>
    <w:rPr>
      <w:i/>
      <w:iCs/>
      <w:color w:val="0F4761" w:themeColor="accent1" w:themeShade="BF"/>
    </w:rPr>
  </w:style>
  <w:style w:type="character" w:styleId="Intensieveverwijzing">
    <w:name w:val="Intense Reference"/>
    <w:basedOn w:val="Standaardalinea-lettertype"/>
    <w:uiPriority w:val="32"/>
    <w:qFormat/>
    <w:rsid w:val="00446F3D"/>
    <w:rPr>
      <w:b/>
      <w:bCs/>
      <w:smallCaps/>
      <w:color w:val="0F4761" w:themeColor="accent1" w:themeShade="BF"/>
      <w:spacing w:val="5"/>
    </w:rPr>
  </w:style>
  <w:style w:type="paragraph" w:customStyle="1" w:styleId="StandaardSlotzin">
    <w:name w:val="Standaard_Slotzin"/>
    <w:basedOn w:val="Standaard"/>
    <w:next w:val="Standaard"/>
    <w:rsid w:val="00446F3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46F3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446F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446F3D"/>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446F3D"/>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446F3D"/>
    <w:pPr>
      <w:spacing w:line="240" w:lineRule="exact"/>
    </w:pPr>
    <w:rPr>
      <w:vertAlign w:val="superscript"/>
    </w:rPr>
  </w:style>
  <w:style w:type="paragraph" w:styleId="Koptekst">
    <w:name w:val="header"/>
    <w:basedOn w:val="Standaard"/>
    <w:link w:val="KoptekstChar"/>
    <w:uiPriority w:val="99"/>
    <w:unhideWhenUsed/>
    <w:rsid w:val="00446F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6F3D"/>
  </w:style>
  <w:style w:type="paragraph" w:styleId="Voettekst">
    <w:name w:val="footer"/>
    <w:basedOn w:val="Standaard"/>
    <w:link w:val="VoettekstChar"/>
    <w:uiPriority w:val="99"/>
    <w:unhideWhenUsed/>
    <w:rsid w:val="00446F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1108</ap:Words>
  <ap:Characters>6097</ap:Characters>
  <ap:DocSecurity>0</ap:DocSecurity>
  <ap:Lines>50</ap:Lines>
  <ap:Paragraphs>14</ap:Paragraphs>
  <ap:ScaleCrop>false</ap:ScaleCrop>
  <ap:LinksUpToDate>false</ap:LinksUpToDate>
  <ap:CharactersWithSpaces>7191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2025-05-15T08:22:00.0000000Z</dcterms:created>
  <dcterms:modified xsi:type="dcterms:W3CDTF">2025-05-15T08:22:00.0000000Z</dcterms:modified>
  <version/>
  <category/>
</coreProperties>
</file>