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6A5224" w14:paraId="70127839" w14:textId="0C501C4D">
            <w:pPr>
              <w:pStyle w:val="datumonderwerp"/>
              <w:tabs>
                <w:tab w:val="clear" w:pos="794"/>
                <w:tab w:val="left" w:pos="1092"/>
              </w:tabs>
            </w:pPr>
            <w:r>
              <w:t>6 mei</w:t>
            </w:r>
            <w:r w:rsidR="00BC2C71">
              <w:t xml:space="preserve"> </w:t>
            </w:r>
            <w:r w:rsidR="00324D45">
              <w:t>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70BB6A6E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6A5224" w:rsidR="006A5224">
              <w:t>de financiële afwikkeling van de stichting en het vermogen dat mede bestaat uit giften van derden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111A79" w:rsidP="00133AE9" w:rsidRDefault="006A5224" w14:paraId="1C59ACED" w14:textId="31CE0194">
            <w:pPr>
              <w:pStyle w:val="referentiegegevens"/>
            </w:pPr>
            <w:r w:rsidRPr="006A5224">
              <w:t xml:space="preserve">6331559 </w:t>
            </w:r>
          </w:p>
          <w:p w:rsidR="006A5224" w:rsidP="00133AE9" w:rsidRDefault="006A5224" w14:paraId="160AF208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="00111A79" w:rsidP="00180C36" w:rsidRDefault="006A5224" w14:paraId="377FACDB" w14:textId="1C9CF950">
            <w:pPr>
              <w:pStyle w:val="clausule"/>
              <w:rPr>
                <w:i w:val="0"/>
              </w:rPr>
            </w:pPr>
            <w:r w:rsidRPr="006A5224">
              <w:rPr>
                <w:i w:val="0"/>
              </w:rPr>
              <w:t>2025Z07484</w:t>
            </w:r>
          </w:p>
          <w:p w:rsidRPr="004B6482" w:rsidR="006A5224" w:rsidP="00180C36" w:rsidRDefault="006A5224" w14:paraId="417B97B7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296EE61E" w14:textId="3462A753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="00BC2C71">
        <w:rPr>
          <w:rFonts w:cs="Utopia"/>
          <w:color w:val="000000"/>
        </w:rPr>
        <w:t>minister van</w:t>
      </w:r>
      <w:r w:rsidR="00324D45">
        <w:rPr>
          <w:rFonts w:cs="Utopia"/>
          <w:color w:val="000000"/>
        </w:rPr>
        <w:t xml:space="preserve"> </w:t>
      </w:r>
      <w:r w:rsidRPr="00D164FE" w:rsidR="00D164FE">
        <w:rPr>
          <w:rFonts w:cs="Utopia"/>
          <w:color w:val="000000"/>
        </w:rPr>
        <w:t>Financiën</w:t>
      </w:r>
      <w:r w:rsidRPr="00D164FE" w:rsidR="00D164FE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 xml:space="preserve">hriftelijke vragen </w:t>
      </w:r>
      <w:r w:rsidRPr="00BC2C71" w:rsidR="00BC2C71">
        <w:rPr>
          <w:rFonts w:cs="Utopia"/>
          <w:color w:val="000000"/>
        </w:rPr>
        <w:t xml:space="preserve">van </w:t>
      </w:r>
      <w:r w:rsidRPr="00111A79" w:rsidR="00111A79">
        <w:rPr>
          <w:rFonts w:cs="Utopia"/>
          <w:color w:val="000000"/>
        </w:rPr>
        <w:t>het lid Van Nispen (SP)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BC2C71">
        <w:rPr>
          <w:rFonts w:cs="Utopia"/>
          <w:color w:val="000000"/>
        </w:rPr>
        <w:t xml:space="preserve">minister </w:t>
      </w:r>
      <w:r w:rsidR="00324D45">
        <w:rPr>
          <w:rFonts w:cs="Utopia"/>
          <w:color w:val="000000"/>
        </w:rPr>
        <w:t>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Pr="00396E0C" w:rsidR="00396E0C">
        <w:rPr>
          <w:rFonts w:cs="Utopia"/>
          <w:color w:val="000000"/>
        </w:rPr>
        <w:t>de financiële afwikkeling van de stichting en het vermogen dat mede bestaat uit giften van derden</w:t>
      </w:r>
      <w:r w:rsidR="00BC2C71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BC2C71" w:rsidR="00BC2C71">
        <w:rPr>
          <w:rFonts w:cs="Utopia"/>
          <w:color w:val="000000"/>
        </w:rPr>
        <w:t xml:space="preserve">(ingezonden </w:t>
      </w:r>
      <w:r w:rsidR="00396E0C">
        <w:rPr>
          <w:rFonts w:cs="Utopia"/>
          <w:color w:val="000000"/>
        </w:rPr>
        <w:t>15</w:t>
      </w:r>
      <w:r w:rsidRPr="00111A79" w:rsidR="00111A79">
        <w:rPr>
          <w:rFonts w:cs="Utopia"/>
          <w:color w:val="000000"/>
        </w:rPr>
        <w:t xml:space="preserve"> april 2025</w:t>
      </w:r>
      <w:r w:rsidRPr="00BC2C71" w:rsidR="00BC2C71">
        <w:rPr>
          <w:rFonts w:cs="Utopia"/>
          <w:color w:val="000000"/>
        </w:rPr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BA2C3F" w:rsidP="00FE72B2" w:rsidRDefault="00251844" w14:paraId="15C1BFC9" w14:textId="31DCE36F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BC2C71">
        <w:t xml:space="preserve">Minister </w:t>
      </w:r>
      <w:r w:rsidR="00324D45">
        <w:t>van Justitie en Veiligheid</w:t>
      </w:r>
      <w:r>
        <w:t>,</w:t>
      </w:r>
    </w:p>
    <w:p w:rsidR="00395531" w:rsidP="00FE72B2" w:rsidRDefault="00395531" w14:paraId="44E74F9C" w14:textId="77777777">
      <w:pPr>
        <w:pStyle w:val="broodtekst"/>
      </w:pPr>
    </w:p>
    <w:p w:rsidR="00395531" w:rsidP="00FE72B2" w:rsidRDefault="00395531" w14:paraId="78E5DDBC" w14:textId="77777777">
      <w:pPr>
        <w:pStyle w:val="broodtekst"/>
      </w:pPr>
    </w:p>
    <w:p w:rsidR="006C71C5" w:rsidP="00395531" w:rsidRDefault="006C71C5" w14:paraId="25787786" w14:textId="77777777">
      <w:pPr>
        <w:pStyle w:val="broodtekst"/>
      </w:pPr>
    </w:p>
    <w:p w:rsidR="00D611CC" w:rsidP="00395531" w:rsidRDefault="00D611CC" w14:paraId="4794177B" w14:textId="77777777">
      <w:pPr>
        <w:pStyle w:val="broodtekst"/>
      </w:pPr>
    </w:p>
    <w:p w:rsidR="00942095" w:rsidP="00942095" w:rsidRDefault="00BC2C71" w14:paraId="7C1B3929" w14:textId="2BBC26A1">
      <w:pPr>
        <w:pStyle w:val="broodtekst"/>
      </w:pPr>
      <w:r>
        <w:t>D.M. van Weel</w:t>
      </w:r>
    </w:p>
    <w:p w:rsidR="006E6ACB" w:rsidP="00942095" w:rsidRDefault="006E6ACB" w14:paraId="3B6CD05B" w14:textId="77777777">
      <w:pPr>
        <w:pStyle w:val="broodtekst"/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396E0C">
            <w:fldChar w:fldCharType="begin"/>
          </w:r>
          <w:r w:rsidR="00396E0C">
            <w:instrText xml:space="preserve"> NUMPAGES   \* MERGEFORMAT </w:instrText>
          </w:r>
          <w:r w:rsidR="00396E0C">
            <w:fldChar w:fldCharType="separate"/>
          </w:r>
          <w:r w:rsidR="00FC0F20">
            <w:t>1</w:t>
          </w:r>
          <w:r w:rsidR="00396E0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96E0C">
            <w:fldChar w:fldCharType="begin"/>
          </w:r>
          <w:r w:rsidR="00396E0C">
            <w:instrText xml:space="preserve"> SECTIONPAGES   \* MERGEFORMAT </w:instrText>
          </w:r>
          <w:r w:rsidR="00396E0C">
            <w:fldChar w:fldCharType="separate"/>
          </w:r>
          <w:r>
            <w:t>1</w:t>
          </w:r>
          <w:r w:rsidR="00396E0C">
            <w:fldChar w:fldCharType="end"/>
          </w:r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96E0C">
            <w:fldChar w:fldCharType="begin"/>
          </w:r>
          <w:r w:rsidR="00396E0C">
            <w:instrText xml:space="preserve"> SECTIONPAGES   \* MERGEFORMAT </w:instrText>
          </w:r>
          <w:r w:rsidR="00396E0C">
            <w:fldChar w:fldCharType="separate"/>
          </w:r>
          <w:r w:rsidR="00597CEE">
            <w:t>2</w:t>
          </w:r>
          <w:r w:rsidR="00396E0C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5297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1F6A8F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96E0C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A5224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64FE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1643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1241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2025-05-06T11:45:00.0000000Z</dcterms:created>
  <dcterms:modified xsi:type="dcterms:W3CDTF">2025-05-06T11:45:00.0000000Z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