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2822CA" w:rsidRDefault="00C94211" w14:paraId="0F2A95B3" w14:textId="7DF480C6">
      <w:r>
        <w:t>Geachte Voorzitter,</w:t>
      </w:r>
    </w:p>
    <w:p w:rsidR="00C9378F" w:rsidP="00C9378F" w:rsidRDefault="00C9378F" w14:paraId="2E2882E2" w14:textId="77777777"/>
    <w:p w:rsidR="00C9378F" w:rsidP="00C9378F" w:rsidRDefault="00C9378F" w14:paraId="6331EDD1" w14:textId="181453D3">
      <w:r>
        <w:t xml:space="preserve">Met deze brief informeer ik </w:t>
      </w:r>
      <w:r w:rsidR="00C45E04">
        <w:t>uw</w:t>
      </w:r>
      <w:r>
        <w:t xml:space="preserve"> Kamer over het contact dat ik heb gehad met het Europees Octrooibureau (EOB) naar aanleiding van de uitvoering van de motie</w:t>
      </w:r>
      <w:r w:rsidR="00C41916">
        <w:t>-</w:t>
      </w:r>
      <w:r w:rsidRPr="00C9378F">
        <w:t>Hertzberger en Meulenkamp</w:t>
      </w:r>
      <w:r>
        <w:t>.</w:t>
      </w:r>
      <w:r>
        <w:rPr>
          <w:rStyle w:val="Voetnootmarkering"/>
        </w:rPr>
        <w:footnoteReference w:id="1"/>
      </w:r>
      <w:r>
        <w:t xml:space="preserve"> Mijn voorganger heeft toegezegd </w:t>
      </w:r>
      <w:r w:rsidR="00C45E04">
        <w:t>uw</w:t>
      </w:r>
      <w:r>
        <w:t xml:space="preserve"> Kamer hierover te informeren, en ik geef hier nu opvolging aan.</w:t>
      </w:r>
    </w:p>
    <w:p w:rsidR="00C9378F" w:rsidP="00C9378F" w:rsidRDefault="00C9378F" w14:paraId="0D7D6357" w14:textId="77777777"/>
    <w:p w:rsidR="00873F6F" w:rsidP="00873F6F" w:rsidRDefault="007F7B35" w14:paraId="27E3C943" w14:textId="5E5DDDF2">
      <w:r>
        <w:t>De motie</w:t>
      </w:r>
      <w:r w:rsidR="00C41916">
        <w:t>-</w:t>
      </w:r>
      <w:r w:rsidRPr="00C9378F">
        <w:t>Hertzberger en Meulenkamp</w:t>
      </w:r>
      <w:r>
        <w:t xml:space="preserve"> heeft betrekking op het voorstel vanuit de Europese Commissie </w:t>
      </w:r>
      <w:r w:rsidRPr="007F7B35">
        <w:t xml:space="preserve">voor </w:t>
      </w:r>
      <w:r>
        <w:t xml:space="preserve">een verordening voor </w:t>
      </w:r>
      <w:r w:rsidRPr="007F7B35">
        <w:t>het gebruik van Nieuwe Genomische Technieken (NGTs) in de plantenveredeling</w:t>
      </w:r>
      <w:r>
        <w:t>. De motie verzocht d</w:t>
      </w:r>
      <w:r w:rsidRPr="007F7B35">
        <w:t>e regering</w:t>
      </w:r>
      <w:r>
        <w:t xml:space="preserve"> </w:t>
      </w:r>
      <w:r w:rsidRPr="007F7B35">
        <w:t>zich ervoor in te zetten dat het EOB de nieuwe verordening dusdanig interpreteert dat er noch op conventioneel, noch op met door genetische technologie geïntroduceerde eigenschappen patenten kunnen worden verleend</w:t>
      </w:r>
      <w:r>
        <w:t xml:space="preserve">.  </w:t>
      </w:r>
      <w:r w:rsidR="00C9378F">
        <w:t xml:space="preserve">In het kader van de uitvoering van deze motie is er contact opgenomen met het EOB. In deze brief </w:t>
      </w:r>
      <w:r>
        <w:t>heb ik de voorzitter van het EOB gevraagd te onderzoeken of het mogelijk is om</w:t>
      </w:r>
      <w:r w:rsidRPr="007F7B35">
        <w:t xml:space="preserve"> </w:t>
      </w:r>
      <w:r w:rsidRPr="00CA3E81">
        <w:t>binnen de reikwijdte van de regelgeving die van toepassing is op het EOB te stoppen met het toekennen van octrooien voor planteneigenschappen</w:t>
      </w:r>
      <w:r>
        <w:t>.</w:t>
      </w:r>
      <w:r w:rsidR="00CC52C6">
        <w:t xml:space="preserve"> </w:t>
      </w:r>
      <w:r w:rsidR="00C9378F">
        <w:t xml:space="preserve">Het EOB heeft inmiddels schriftelijk gereageerd. </w:t>
      </w:r>
    </w:p>
    <w:p w:rsidR="00873F6F" w:rsidP="00873F6F" w:rsidRDefault="00873F6F" w14:paraId="140F35B8" w14:textId="77777777"/>
    <w:p w:rsidR="00873F6F" w:rsidP="00873F6F" w:rsidRDefault="00873F6F" w14:paraId="1785F81D" w14:textId="516468A4">
      <w:r>
        <w:t xml:space="preserve">De betreffende brief en de reactie van het EOB zijn als bijlage toegevoegd bij deze Kamerbrief. </w:t>
      </w:r>
    </w:p>
    <w:p w:rsidR="00873F6F" w:rsidP="00C9378F" w:rsidRDefault="00873F6F" w14:paraId="4B5FBF20" w14:textId="77777777"/>
    <w:p w:rsidR="00A64CA5" w:rsidP="00C9378F" w:rsidRDefault="00873F6F" w14:paraId="512A8EB4" w14:textId="481B40D8">
      <w:r>
        <w:t>D</w:t>
      </w:r>
      <w:r w:rsidR="007F7B35">
        <w:t>e voorzitter van het EOB</w:t>
      </w:r>
      <w:r w:rsidR="00C9378F">
        <w:t xml:space="preserve"> </w:t>
      </w:r>
      <w:r>
        <w:t xml:space="preserve">heeft in zijn reactie </w:t>
      </w:r>
      <w:r w:rsidR="00C9378F">
        <w:t xml:space="preserve">aangegeven dat </w:t>
      </w:r>
      <w:r w:rsidR="00CC52C6">
        <w:t>de voorwaarden voor het verlenen van Europese octrooien zijn vastgelegd in het Europees Octrooiverdag (EOV).</w:t>
      </w:r>
      <w:r w:rsidR="00A64CA5">
        <w:t xml:space="preserve"> In overeenstemming met de Europese </w:t>
      </w:r>
      <w:r w:rsidRPr="00071077" w:rsidR="00A64CA5">
        <w:t>Biotech-Richtlijn</w:t>
      </w:r>
      <w:r w:rsidR="00A64CA5">
        <w:rPr>
          <w:rStyle w:val="Voetnootmarkering"/>
        </w:rPr>
        <w:footnoteReference w:id="2"/>
      </w:r>
      <w:r w:rsidR="00A64CA5">
        <w:t xml:space="preserve"> bepaalt het EOV dat alleen planteigenschappen die via genetische technologie zijn ingebracht, in aanmerking kunnen komen voor octrooibescherming. Plantenrassen als zodanig zijn expliciet uitgesloten</w:t>
      </w:r>
      <w:r>
        <w:t xml:space="preserve"> van bescherming</w:t>
      </w:r>
      <w:r w:rsidR="00A64CA5">
        <w:t xml:space="preserve">. Het EOB is als uitvoerende instantie gebonden aan het EOV en heeft geen mandaat om zelfstandig af te wijken van de daarin vastgelegde bepalingen. </w:t>
      </w:r>
      <w:r w:rsidR="001F701C">
        <w:t xml:space="preserve">Het EOB kan dus niet besluiten geen octrooien meer te verlenen op planteneigenschappen. Daarvoor is een herziening van het EOV nodig. </w:t>
      </w:r>
      <w:r w:rsidR="00A64CA5">
        <w:t xml:space="preserve">Een aanpassing van het EOV is slechts mogelijk </w:t>
      </w:r>
      <w:r w:rsidR="00A64CA5">
        <w:lastRenderedPageBreak/>
        <w:t>indien alle 39 verdragsluitende staten – waaronder alle lidstaten van de Europese Unie – gezamenlijk instemmen met een wijziging van het verdrag.</w:t>
      </w:r>
    </w:p>
    <w:p w:rsidR="00A64CA5" w:rsidP="00C9378F" w:rsidRDefault="00A64CA5" w14:paraId="56DD5AEB" w14:textId="77777777"/>
    <w:p w:rsidRPr="002822CA" w:rsidR="00873F6F" w:rsidP="00C9378F" w:rsidRDefault="00873F6F" w14:paraId="7FA055DA" w14:textId="28319F32">
      <w:r>
        <w:t xml:space="preserve">Met deze brief hoop ik </w:t>
      </w:r>
      <w:r w:rsidRPr="00873F6F">
        <w:t xml:space="preserve">uw Kamer voldoende te hebben geïnformeerd over de uitvoering van </w:t>
      </w:r>
      <w:r>
        <w:t>de motie</w:t>
      </w:r>
      <w:r w:rsidRPr="00873F6F">
        <w:t xml:space="preserve">. </w:t>
      </w:r>
    </w:p>
    <w:p w:rsidR="00873F6F" w:rsidP="00873F6F" w:rsidRDefault="00873F6F" w14:paraId="584B63A4" w14:textId="77777777"/>
    <w:p w:rsidR="00873F6F" w:rsidP="00873F6F" w:rsidRDefault="00873F6F" w14:paraId="5F3A64CA" w14:textId="77777777"/>
    <w:p w:rsidR="00873F6F" w:rsidP="00873F6F" w:rsidRDefault="00873F6F" w14:paraId="5E398DE5" w14:textId="77777777">
      <w:pPr>
        <w:rPr>
          <w:szCs w:val="18"/>
        </w:rPr>
      </w:pPr>
      <w:r>
        <w:rPr>
          <w:szCs w:val="18"/>
        </w:rPr>
        <w:t>Hoogachtend,</w:t>
      </w:r>
    </w:p>
    <w:p w:rsidR="007F439C" w:rsidP="00810C93" w:rsidRDefault="00850B17" w14:paraId="6FBDA28E" w14:textId="77777777">
      <w:r>
        <w:br/>
      </w:r>
    </w:p>
    <w:p w:rsidRPr="005C65B5" w:rsidR="00C90702" w:rsidP="007F510A" w:rsidRDefault="00C90702" w14:paraId="068B9683" w14:textId="77777777"/>
    <w:p w:rsidR="00C9378F" w:rsidP="007F510A" w:rsidRDefault="00C9378F" w14:paraId="0D3F05F2" w14:textId="77777777">
      <w:pPr>
        <w:rPr>
          <w:szCs w:val="18"/>
        </w:rPr>
      </w:pPr>
    </w:p>
    <w:p w:rsidR="00C9378F" w:rsidP="007F510A" w:rsidRDefault="00C9378F" w14:paraId="6A9EE23A" w14:textId="77777777">
      <w:pPr>
        <w:rPr>
          <w:szCs w:val="18"/>
        </w:rPr>
      </w:pPr>
    </w:p>
    <w:p w:rsidRPr="00591E4A" w:rsidR="00C90702" w:rsidP="007F510A" w:rsidRDefault="00850B17" w14:paraId="3419D0AB" w14:textId="042A6CDC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524FB4" w:rsidRDefault="00850B17" w14:paraId="5D6708FC" w14:textId="77777777">
      <w:r w:rsidRPr="005C65B5">
        <w:t>Minister van Economische Zaken</w:t>
      </w:r>
    </w:p>
    <w:p w:rsidR="004425CC" w:rsidP="00810C93" w:rsidRDefault="004425CC" w14:paraId="54D095B8" w14:textId="77777777"/>
    <w:sectPr w:rsidR="004425CC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569A" w14:textId="77777777" w:rsidR="00850B17" w:rsidRDefault="00850B17">
      <w:r>
        <w:separator/>
      </w:r>
    </w:p>
    <w:p w14:paraId="7DC512FB" w14:textId="77777777" w:rsidR="00850B17" w:rsidRDefault="00850B17"/>
  </w:endnote>
  <w:endnote w:type="continuationSeparator" w:id="0">
    <w:p w14:paraId="29E368F5" w14:textId="77777777" w:rsidR="00850B17" w:rsidRDefault="00850B17">
      <w:r>
        <w:continuationSeparator/>
      </w:r>
    </w:p>
    <w:p w14:paraId="143E4B49" w14:textId="77777777" w:rsidR="00850B17" w:rsidRDefault="00850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15C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66050" w14:paraId="330490C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97955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548C042" w14:textId="5DC0E37D" w:rsidR="00527BD4" w:rsidRPr="00645414" w:rsidRDefault="00850B1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955240">
              <w:t>2</w:t>
            </w:r>
          </w:fldSimple>
        </w:p>
      </w:tc>
    </w:tr>
  </w:tbl>
  <w:p w14:paraId="5132CBE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66050" w14:paraId="7468A16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836F92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002544C" w14:textId="4C12A0EF" w:rsidR="00527BD4" w:rsidRPr="00ED539E" w:rsidRDefault="00850B1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6D03E1C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8FA5BE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E0822" w14:textId="77777777" w:rsidR="00850B17" w:rsidRDefault="00850B17">
      <w:r>
        <w:separator/>
      </w:r>
    </w:p>
    <w:p w14:paraId="507AB716" w14:textId="77777777" w:rsidR="00850B17" w:rsidRDefault="00850B17"/>
  </w:footnote>
  <w:footnote w:type="continuationSeparator" w:id="0">
    <w:p w14:paraId="29124089" w14:textId="77777777" w:rsidR="00850B17" w:rsidRDefault="00850B17">
      <w:r>
        <w:continuationSeparator/>
      </w:r>
    </w:p>
    <w:p w14:paraId="3C428FA0" w14:textId="77777777" w:rsidR="00850B17" w:rsidRDefault="00850B17"/>
  </w:footnote>
  <w:footnote w:id="1">
    <w:p w14:paraId="722C840A" w14:textId="28F0277E" w:rsidR="00C9378F" w:rsidRPr="001F701C" w:rsidRDefault="00C9378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F701C">
        <w:t>Kamerstuk 36 410 XIV, nr. 81.</w:t>
      </w:r>
    </w:p>
  </w:footnote>
  <w:footnote w:id="2">
    <w:p w14:paraId="2651D6CF" w14:textId="77777777" w:rsidR="00A64CA5" w:rsidRPr="00071077" w:rsidRDefault="00A64CA5" w:rsidP="00A64CA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71077">
        <w:t>Richtlijn 98/44/EG van het Europees Parlement en de Raad van 6 juli 1998 betreffende de rechtsbescherming van biotechnologische uitvindingen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66050" w14:paraId="15B9865D" w14:textId="77777777" w:rsidTr="00A50CF6">
      <w:tc>
        <w:tcPr>
          <w:tcW w:w="2156" w:type="dxa"/>
          <w:shd w:val="clear" w:color="auto" w:fill="auto"/>
        </w:tcPr>
        <w:p w14:paraId="52796236" w14:textId="77777777" w:rsidR="00527BD4" w:rsidRPr="005819CE" w:rsidRDefault="00850B17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Innovatie en Kennis</w:t>
          </w:r>
        </w:p>
      </w:tc>
    </w:tr>
    <w:tr w:rsidR="00566050" w14:paraId="6B0F4C2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96461F9" w14:textId="77777777" w:rsidR="00527BD4" w:rsidRPr="005819CE" w:rsidRDefault="00527BD4" w:rsidP="00A50CF6"/>
      </w:tc>
    </w:tr>
    <w:tr w:rsidR="00566050" w14:paraId="7FE836A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4EA0F19" w14:textId="77777777" w:rsidR="00527BD4" w:rsidRDefault="00850B17" w:rsidP="003A5290">
          <w:pPr>
            <w:pStyle w:val="Huisstijl-Kopje"/>
          </w:pPr>
          <w:r>
            <w:t>Ons kenmerk</w:t>
          </w:r>
        </w:p>
        <w:p w14:paraId="62520720" w14:textId="77777777" w:rsidR="00527BD4" w:rsidRPr="005819CE" w:rsidRDefault="00850B17" w:rsidP="004425CC">
          <w:pPr>
            <w:pStyle w:val="Huisstijl-Kopje"/>
          </w:pPr>
          <w:r>
            <w:rPr>
              <w:b w:val="0"/>
            </w:rPr>
            <w:t>DGBI-I&amp;K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98349120</w:t>
          </w:r>
        </w:p>
      </w:tc>
    </w:tr>
  </w:tbl>
  <w:p w14:paraId="0A86AC2C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6B87CA4E" w14:textId="77777777" w:rsidR="00527BD4" w:rsidRDefault="00527BD4" w:rsidP="008C356D"/>
  <w:p w14:paraId="536906A0" w14:textId="77777777" w:rsidR="00527BD4" w:rsidRPr="00740712" w:rsidRDefault="00527BD4" w:rsidP="008C356D"/>
  <w:p w14:paraId="7F2FFE5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F3E389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10E9835" w14:textId="77777777" w:rsidR="00527BD4" w:rsidRDefault="00527BD4" w:rsidP="004F44C2"/>
  <w:p w14:paraId="67F1F381" w14:textId="77777777" w:rsidR="00527BD4" w:rsidRPr="00740712" w:rsidRDefault="00527BD4" w:rsidP="004F44C2"/>
  <w:p w14:paraId="48179C4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66050" w14:paraId="5A9408B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93D3BF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D32F5AE" w14:textId="77777777" w:rsidR="00527BD4" w:rsidRDefault="00850B1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852541F" wp14:editId="5971E534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080AD4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C1FE41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E7E57B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66050" w14:paraId="6699CBBD" w14:textId="77777777" w:rsidTr="00A50CF6">
      <w:tc>
        <w:tcPr>
          <w:tcW w:w="2160" w:type="dxa"/>
          <w:shd w:val="clear" w:color="auto" w:fill="auto"/>
        </w:tcPr>
        <w:p w14:paraId="0D29CB15" w14:textId="24D7ADF9" w:rsidR="00C94211" w:rsidRPr="00C94211" w:rsidRDefault="00850B17" w:rsidP="00A50CF6">
          <w:pPr>
            <w:pStyle w:val="Huisstijl-Adres"/>
          </w:pPr>
          <w:r>
            <w:rPr>
              <w:b/>
            </w:rPr>
            <w:t xml:space="preserve">Directoraat-generaal </w:t>
          </w:r>
          <w:r>
            <w:rPr>
              <w:b/>
            </w:rPr>
            <w:t>Bedrijfsleven &amp; Innovatie</w:t>
          </w:r>
          <w:r w:rsidRPr="005819CE">
            <w:rPr>
              <w:b/>
            </w:rPr>
            <w:br/>
          </w:r>
        </w:p>
        <w:p w14:paraId="65BF3F30" w14:textId="77777777" w:rsidR="00527BD4" w:rsidRPr="00BE5ED9" w:rsidRDefault="00850B1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4E7F2C5" w14:textId="77777777" w:rsidR="00EF495B" w:rsidRDefault="00850B1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15963B6" w14:textId="77777777" w:rsidR="00EF495B" w:rsidRPr="005B3814" w:rsidRDefault="00850B1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12BC10C" w14:textId="665669D4" w:rsidR="00C94211" w:rsidRPr="00C94211" w:rsidRDefault="00850B1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566050" w14:paraId="27139E7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529FE75" w14:textId="77777777" w:rsidR="00527BD4" w:rsidRPr="005819CE" w:rsidRDefault="00527BD4" w:rsidP="00A50CF6"/>
      </w:tc>
    </w:tr>
    <w:tr w:rsidR="00566050" w14:paraId="2F70BA85" w14:textId="77777777" w:rsidTr="00A50CF6">
      <w:tc>
        <w:tcPr>
          <w:tcW w:w="2160" w:type="dxa"/>
          <w:shd w:val="clear" w:color="auto" w:fill="auto"/>
        </w:tcPr>
        <w:p w14:paraId="36B29AB6" w14:textId="77777777" w:rsidR="000C0163" w:rsidRPr="005819CE" w:rsidRDefault="00850B17" w:rsidP="000C0163">
          <w:pPr>
            <w:pStyle w:val="Huisstijl-Kopje"/>
          </w:pPr>
          <w:r>
            <w:t xml:space="preserve">Ons </w:t>
          </w:r>
          <w:r>
            <w:t>kenmerk</w:t>
          </w:r>
          <w:r w:rsidRPr="005819CE">
            <w:t xml:space="preserve"> </w:t>
          </w:r>
        </w:p>
        <w:p w14:paraId="7CE61866" w14:textId="77777777" w:rsidR="000C0163" w:rsidRPr="005819CE" w:rsidRDefault="00850B17" w:rsidP="000C0163">
          <w:pPr>
            <w:pStyle w:val="Huisstijl-Gegeven"/>
          </w:pPr>
          <w:r>
            <w:t>DGBI-I&amp;K</w:t>
          </w:r>
          <w:r w:rsidR="00926AE2">
            <w:t xml:space="preserve"> / </w:t>
          </w:r>
          <w:r>
            <w:t>98349120</w:t>
          </w:r>
        </w:p>
        <w:p w14:paraId="7C2D19D5" w14:textId="77777777" w:rsidR="00527BD4" w:rsidRPr="005819CE" w:rsidRDefault="00527BD4" w:rsidP="00A50CF6">
          <w:pPr>
            <w:pStyle w:val="Huisstijl-Gegeven"/>
          </w:pPr>
        </w:p>
        <w:p w14:paraId="6944EED2" w14:textId="77777777" w:rsidR="00527BD4" w:rsidRPr="005819CE" w:rsidRDefault="00850B17" w:rsidP="00A50CF6">
          <w:pPr>
            <w:pStyle w:val="Huisstijl-Kopje"/>
          </w:pPr>
          <w:r>
            <w:t>Bijlage(n)</w:t>
          </w:r>
        </w:p>
        <w:p w14:paraId="148AE49B" w14:textId="77777777" w:rsidR="00527BD4" w:rsidRPr="005819CE" w:rsidRDefault="00850B17" w:rsidP="00A50CF6">
          <w:pPr>
            <w:pStyle w:val="Huisstijl-Gegeven"/>
          </w:pPr>
          <w:r>
            <w:t>2</w:t>
          </w:r>
        </w:p>
      </w:tc>
    </w:tr>
  </w:tbl>
  <w:p w14:paraId="12B03A3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66050" w14:paraId="3F86A8D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DB6F94D" w14:textId="77777777" w:rsidR="00527BD4" w:rsidRPr="00BC3B53" w:rsidRDefault="00850B1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66050" w14:paraId="67ED9E29" w14:textId="77777777" w:rsidTr="007610AA">
      <w:tc>
        <w:tcPr>
          <w:tcW w:w="7520" w:type="dxa"/>
          <w:gridSpan w:val="2"/>
          <w:shd w:val="clear" w:color="auto" w:fill="auto"/>
        </w:tcPr>
        <w:p w14:paraId="2C08C801" w14:textId="77777777" w:rsidR="00527BD4" w:rsidRPr="00983E8F" w:rsidRDefault="00527BD4" w:rsidP="00A50CF6">
          <w:pPr>
            <w:pStyle w:val="Huisstijl-Rubricering"/>
          </w:pPr>
        </w:p>
      </w:tc>
    </w:tr>
    <w:tr w:rsidR="00566050" w14:paraId="3DB7D7A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1D975E5" w14:textId="77777777" w:rsidR="00527BD4" w:rsidRDefault="00850B17" w:rsidP="00A50CF6">
          <w:pPr>
            <w:pStyle w:val="Huisstijl-NAW"/>
          </w:pPr>
          <w:r>
            <w:t xml:space="preserve">De Voorzitter van de Tweede Kamer </w:t>
          </w:r>
        </w:p>
        <w:p w14:paraId="2E8C945B" w14:textId="77777777" w:rsidR="00566050" w:rsidRDefault="00850B17">
          <w:pPr>
            <w:pStyle w:val="Huisstijl-NAW"/>
          </w:pPr>
          <w:r>
            <w:t>der Staten-Generaal</w:t>
          </w:r>
        </w:p>
        <w:p w14:paraId="62242971" w14:textId="77777777" w:rsidR="00566050" w:rsidRDefault="00850B17">
          <w:pPr>
            <w:pStyle w:val="Huisstijl-NAW"/>
          </w:pPr>
          <w:r>
            <w:t>Prinses Irenestraat 6</w:t>
          </w:r>
        </w:p>
        <w:p w14:paraId="2056D1B5" w14:textId="27B87E36" w:rsidR="00566050" w:rsidRDefault="00850B17">
          <w:pPr>
            <w:pStyle w:val="Huisstijl-NAW"/>
          </w:pPr>
          <w:r>
            <w:t xml:space="preserve">2595 BD </w:t>
          </w:r>
          <w:r w:rsidR="00C41916">
            <w:t xml:space="preserve"> </w:t>
          </w:r>
          <w:r>
            <w:t>DEN HAAG</w:t>
          </w:r>
        </w:p>
      </w:tc>
    </w:tr>
    <w:tr w:rsidR="00566050" w14:paraId="5B2281F9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0DA20A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66050" w14:paraId="19C60D5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5E12438" w14:textId="77777777" w:rsidR="00527BD4" w:rsidRPr="007709EF" w:rsidRDefault="00850B1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9374E5D" w14:textId="32E7BA3D" w:rsidR="00527BD4" w:rsidRPr="007709EF" w:rsidRDefault="00FD0422" w:rsidP="00A50CF6">
          <w:r>
            <w:t>13 mei 2025</w:t>
          </w:r>
        </w:p>
      </w:tc>
    </w:tr>
    <w:tr w:rsidR="00566050" w14:paraId="0BE4684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DFAAE5A" w14:textId="77777777" w:rsidR="00527BD4" w:rsidRPr="007709EF" w:rsidRDefault="00850B1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4FF942D" w14:textId="05718C93" w:rsidR="00527BD4" w:rsidRPr="007709EF" w:rsidRDefault="00850B17" w:rsidP="00A50CF6">
          <w:r>
            <w:t>Uitvoering motie</w:t>
          </w:r>
          <w:r w:rsidR="00C41916">
            <w:t>-</w:t>
          </w:r>
          <w:r>
            <w:t>Hertzberger/Meulenkamp</w:t>
          </w:r>
        </w:p>
      </w:tc>
    </w:tr>
  </w:tbl>
  <w:p w14:paraId="54803A4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6C8310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A1E8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209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E8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CB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068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C5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2E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2E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71A043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3624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BCB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0A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C5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24C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07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1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8B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659882">
    <w:abstractNumId w:val="10"/>
  </w:num>
  <w:num w:numId="2" w16cid:durableId="1199470041">
    <w:abstractNumId w:val="7"/>
  </w:num>
  <w:num w:numId="3" w16cid:durableId="296570434">
    <w:abstractNumId w:val="6"/>
  </w:num>
  <w:num w:numId="4" w16cid:durableId="685523089">
    <w:abstractNumId w:val="5"/>
  </w:num>
  <w:num w:numId="5" w16cid:durableId="1657221106">
    <w:abstractNumId w:val="4"/>
  </w:num>
  <w:num w:numId="6" w16cid:durableId="268126575">
    <w:abstractNumId w:val="8"/>
  </w:num>
  <w:num w:numId="7" w16cid:durableId="1585458480">
    <w:abstractNumId w:val="3"/>
  </w:num>
  <w:num w:numId="8" w16cid:durableId="1336226736">
    <w:abstractNumId w:val="2"/>
  </w:num>
  <w:num w:numId="9" w16cid:durableId="173109661">
    <w:abstractNumId w:val="1"/>
  </w:num>
  <w:num w:numId="10" w16cid:durableId="1470594187">
    <w:abstractNumId w:val="0"/>
  </w:num>
  <w:num w:numId="11" w16cid:durableId="1726874795">
    <w:abstractNumId w:val="9"/>
  </w:num>
  <w:num w:numId="12" w16cid:durableId="942804525">
    <w:abstractNumId w:val="11"/>
  </w:num>
  <w:num w:numId="13" w16cid:durableId="231359077">
    <w:abstractNumId w:val="13"/>
  </w:num>
  <w:num w:numId="14" w16cid:durableId="18600475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5A53"/>
    <w:rsid w:val="00055AAB"/>
    <w:rsid w:val="0006024D"/>
    <w:rsid w:val="00071077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1F701C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66050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237F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12F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7F7B35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0B17"/>
    <w:rsid w:val="008517C6"/>
    <w:rsid w:val="008547BA"/>
    <w:rsid w:val="008553C7"/>
    <w:rsid w:val="00857FEB"/>
    <w:rsid w:val="008601AF"/>
    <w:rsid w:val="00872271"/>
    <w:rsid w:val="00873F6F"/>
    <w:rsid w:val="00883137"/>
    <w:rsid w:val="00892EB0"/>
    <w:rsid w:val="00894A3B"/>
    <w:rsid w:val="00897E85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55240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C7F4A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64CA5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04F7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1916"/>
    <w:rsid w:val="00C43FE6"/>
    <w:rsid w:val="00C45E04"/>
    <w:rsid w:val="00C5258E"/>
    <w:rsid w:val="00C530C9"/>
    <w:rsid w:val="00C619A7"/>
    <w:rsid w:val="00C62C66"/>
    <w:rsid w:val="00C73D5F"/>
    <w:rsid w:val="00C82AFE"/>
    <w:rsid w:val="00C83DBC"/>
    <w:rsid w:val="00C90702"/>
    <w:rsid w:val="00C9378F"/>
    <w:rsid w:val="00C94211"/>
    <w:rsid w:val="00C97C80"/>
    <w:rsid w:val="00CA47D3"/>
    <w:rsid w:val="00CA6533"/>
    <w:rsid w:val="00CA6A25"/>
    <w:rsid w:val="00CA6A3F"/>
    <w:rsid w:val="00CA7C99"/>
    <w:rsid w:val="00CC52C6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669F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9A1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522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AE1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0422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A2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C9378F"/>
    <w:rPr>
      <w:vertAlign w:val="superscript"/>
    </w:rPr>
  </w:style>
  <w:style w:type="paragraph" w:styleId="Revisie">
    <w:name w:val="Revision"/>
    <w:hidden/>
    <w:uiPriority w:val="99"/>
    <w:semiHidden/>
    <w:rsid w:val="001F701C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353</ap:Words>
  <ap:Characters>1947</ap:Characters>
  <ap:DocSecurity>0</ap:DocSecurity>
  <ap:Lines>16</ap:Lines>
  <ap:Paragraphs>4</ap:Paragraphs>
  <ap:ScaleCrop>false</ap:ScaleCrop>
  <ap:LinksUpToDate>false</ap:LinksUpToDate>
  <ap:CharactersWithSpaces>2296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2025-05-13T12:12:00.0000000Z</dcterms:created>
  <dcterms:modified xsi:type="dcterms:W3CDTF">2025-05-13T12:12:00.0000000Z</dcterms:modified>
  <dc:description>------------------------</dc:description>
  <dc:subject/>
  <keywords/>
  <version/>
  <category/>
</coreProperties>
</file>