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852" w:rsidP="00226FFA" w:rsidRDefault="000A680A" w14:paraId="7810A0E7" w14:textId="77777777">
      <w:pPr>
        <w:spacing w:line="276" w:lineRule="auto"/>
      </w:pPr>
      <w:r>
        <w:t>Geachte voorzitter,</w:t>
      </w:r>
    </w:p>
    <w:p w:rsidR="00677852" w:rsidP="00226FFA" w:rsidRDefault="00677852" w14:paraId="7810A0E8" w14:textId="77777777">
      <w:pPr>
        <w:spacing w:line="276" w:lineRule="auto"/>
      </w:pPr>
    </w:p>
    <w:p w:rsidR="00881C49" w:rsidP="00226FFA" w:rsidRDefault="00881C49" w14:paraId="4A5BC246" w14:textId="03697B17">
      <w:pPr>
        <w:spacing w:line="276" w:lineRule="auto"/>
      </w:pPr>
      <w:r>
        <w:t xml:space="preserve">Bij de beantwoording van de </w:t>
      </w:r>
      <w:r w:rsidRPr="00881C49">
        <w:t xml:space="preserve">Kamervragen </w:t>
      </w:r>
      <w:r w:rsidR="00FB43D6">
        <w:t xml:space="preserve">inzake de </w:t>
      </w:r>
      <w:r w:rsidRPr="00881C49">
        <w:t>informele RBZ Ontwikkeling 10-11 februari 2025</w:t>
      </w:r>
      <w:r w:rsidR="00FB43D6">
        <w:t xml:space="preserve"> </w:t>
      </w:r>
      <w:r>
        <w:t>(Kamerstuk 21501-04) is door mij toegezegd te komen met een appreciatie van een nieuwe EFSD</w:t>
      </w:r>
      <w:r w:rsidR="00821CCA">
        <w:t>(</w:t>
      </w:r>
      <w:r>
        <w:t>+</w:t>
      </w:r>
      <w:r w:rsidR="00821CCA">
        <w:t>)</w:t>
      </w:r>
      <w:r>
        <w:t xml:space="preserve"> evaluatie (</w:t>
      </w:r>
      <w:r w:rsidR="00E04867">
        <w:t xml:space="preserve">ref. </w:t>
      </w:r>
      <w:r>
        <w:t xml:space="preserve">antwoord 45). Hierbij bied ik </w:t>
      </w:r>
      <w:r w:rsidR="00804696">
        <w:t>u deze appreciatie</w:t>
      </w:r>
      <w:r w:rsidR="00145F99">
        <w:t xml:space="preserve"> </w:t>
      </w:r>
      <w:r>
        <w:t xml:space="preserve">aan. </w:t>
      </w:r>
    </w:p>
    <w:p w:rsidR="00881C49" w:rsidP="00226FFA" w:rsidRDefault="00881C49" w14:paraId="2B8202C2" w14:textId="77777777">
      <w:pPr>
        <w:spacing w:line="276" w:lineRule="auto"/>
      </w:pPr>
    </w:p>
    <w:p w:rsidR="002F51F8" w:rsidP="00226FFA" w:rsidRDefault="00FB43D6" w14:paraId="03A1679F" w14:textId="47DDE0B3">
      <w:pPr>
        <w:spacing w:line="276" w:lineRule="auto"/>
      </w:pPr>
      <w:r w:rsidRPr="00FB43D6">
        <w:t xml:space="preserve">Op 7 april </w:t>
      </w:r>
      <w:proofErr w:type="spellStart"/>
      <w:r w:rsidRPr="00FB43D6">
        <w:t>j.l</w:t>
      </w:r>
      <w:proofErr w:type="spellEnd"/>
      <w:r w:rsidRPr="00FB43D6">
        <w:t>. heef</w:t>
      </w:r>
      <w:r>
        <w:t xml:space="preserve">t </w:t>
      </w:r>
      <w:r w:rsidRPr="0093505A" w:rsidR="0093505A">
        <w:t xml:space="preserve">het Directoraat-Generaal International Partnerships van de Europese Commissie </w:t>
      </w:r>
      <w:r w:rsidR="00821CCA">
        <w:t xml:space="preserve">het eindrapport van de </w:t>
      </w:r>
      <w:proofErr w:type="spellStart"/>
      <w:r w:rsidRPr="00821CCA" w:rsidR="00821CCA">
        <w:rPr>
          <w:i/>
          <w:iCs/>
        </w:rPr>
        <w:t>Study</w:t>
      </w:r>
      <w:proofErr w:type="spellEnd"/>
      <w:r w:rsidRPr="00821CCA" w:rsidR="00821CCA">
        <w:rPr>
          <w:i/>
          <w:iCs/>
        </w:rPr>
        <w:t xml:space="preserve"> on EFSD </w:t>
      </w:r>
      <w:proofErr w:type="spellStart"/>
      <w:r w:rsidRPr="00821CCA" w:rsidR="00821CCA">
        <w:rPr>
          <w:i/>
          <w:iCs/>
        </w:rPr>
        <w:t>and</w:t>
      </w:r>
      <w:proofErr w:type="spellEnd"/>
      <w:r w:rsidRPr="00821CCA" w:rsidR="00821CCA">
        <w:rPr>
          <w:i/>
          <w:iCs/>
        </w:rPr>
        <w:t xml:space="preserve"> </w:t>
      </w:r>
      <w:proofErr w:type="spellStart"/>
      <w:r w:rsidRPr="00821CCA" w:rsidR="00821CCA">
        <w:rPr>
          <w:i/>
          <w:iCs/>
        </w:rPr>
        <w:t>early</w:t>
      </w:r>
      <w:proofErr w:type="spellEnd"/>
      <w:r w:rsidRPr="00821CCA" w:rsidR="00821CCA">
        <w:rPr>
          <w:i/>
          <w:iCs/>
        </w:rPr>
        <w:t xml:space="preserve"> EFSD+ </w:t>
      </w:r>
      <w:proofErr w:type="spellStart"/>
      <w:r w:rsidRPr="00821CCA" w:rsidR="00821CCA">
        <w:rPr>
          <w:i/>
          <w:iCs/>
        </w:rPr>
        <w:t>deployment</w:t>
      </w:r>
      <w:proofErr w:type="spellEnd"/>
      <w:r w:rsidRPr="00821CCA" w:rsidR="00821CCA">
        <w:rPr>
          <w:i/>
          <w:iCs/>
        </w:rPr>
        <w:t xml:space="preserve"> </w:t>
      </w:r>
      <w:proofErr w:type="spellStart"/>
      <w:r w:rsidRPr="00821CCA" w:rsidR="00821CCA">
        <w:rPr>
          <w:i/>
          <w:iCs/>
        </w:rPr>
        <w:t>practices</w:t>
      </w:r>
      <w:proofErr w:type="spellEnd"/>
      <w:r w:rsidR="00821CCA">
        <w:t xml:space="preserve"> met de lidstaten gedeeld</w:t>
      </w:r>
      <w:r w:rsidR="00061A8E">
        <w:t xml:space="preserve"> (zie bijlage 1)</w:t>
      </w:r>
      <w:r w:rsidR="00821CCA">
        <w:t xml:space="preserve">. </w:t>
      </w:r>
      <w:r w:rsidRPr="00821CCA" w:rsidR="00821CCA">
        <w:t xml:space="preserve">Het doel van de studie </w:t>
      </w:r>
      <w:r w:rsidR="00821CCA">
        <w:t>wa</w:t>
      </w:r>
      <w:r w:rsidRPr="00821CCA" w:rsidR="00821CCA">
        <w:t xml:space="preserve">s de beoordeling van de </w:t>
      </w:r>
      <w:r w:rsidR="0093505A">
        <w:t xml:space="preserve">effectiviteit </w:t>
      </w:r>
      <w:r w:rsidR="00821CCA">
        <w:t xml:space="preserve">van de garanties onder EFSD en EFSD+ alsook identificatie van geleerde lessen. </w:t>
      </w:r>
      <w:r w:rsidRPr="002F51F8" w:rsidR="002F51F8">
        <w:t>Het onderzoek</w:t>
      </w:r>
      <w:r w:rsidR="002F51F8">
        <w:t xml:space="preserve"> focuste</w:t>
      </w:r>
      <w:r w:rsidRPr="002F51F8" w:rsidR="002F51F8">
        <w:t xml:space="preserve"> zich op drie </w:t>
      </w:r>
      <w:r w:rsidR="002F51F8">
        <w:t>elementen</w:t>
      </w:r>
      <w:r w:rsidRPr="002F51F8" w:rsidR="002F51F8">
        <w:t xml:space="preserve">: </w:t>
      </w:r>
    </w:p>
    <w:p w:rsidR="002F51F8" w:rsidP="00226FFA" w:rsidRDefault="002F51F8" w14:paraId="2FC00263" w14:textId="01391CF1">
      <w:pPr>
        <w:pStyle w:val="ListParagraph"/>
        <w:numPr>
          <w:ilvl w:val="0"/>
          <w:numId w:val="8"/>
        </w:numPr>
        <w:spacing w:line="276" w:lineRule="auto"/>
      </w:pPr>
      <w:r w:rsidRPr="002F51F8">
        <w:t>het analyseren van casestudy's van zowel succesvolle als mislukte investeringsprogramma's</w:t>
      </w:r>
      <w:r>
        <w:t>,</w:t>
      </w:r>
    </w:p>
    <w:p w:rsidR="002F51F8" w:rsidP="00226FFA" w:rsidRDefault="002F51F8" w14:paraId="4BEEA6D6" w14:textId="229EF2F2">
      <w:pPr>
        <w:pStyle w:val="ListParagraph"/>
        <w:numPr>
          <w:ilvl w:val="0"/>
          <w:numId w:val="8"/>
        </w:numPr>
        <w:spacing w:line="276" w:lineRule="auto"/>
      </w:pPr>
      <w:r w:rsidRPr="002F51F8">
        <w:t xml:space="preserve">het identificeren van concrete lessen en aanbevelingen om het ontwerp van financiële instrumenten te verbeteren, en </w:t>
      </w:r>
    </w:p>
    <w:p w:rsidR="00881C49" w:rsidP="00226FFA" w:rsidRDefault="002F51F8" w14:paraId="540ECCED" w14:textId="78F2C941">
      <w:pPr>
        <w:pStyle w:val="ListParagraph"/>
        <w:numPr>
          <w:ilvl w:val="0"/>
          <w:numId w:val="8"/>
        </w:numPr>
        <w:spacing w:line="276" w:lineRule="auto"/>
      </w:pPr>
      <w:r w:rsidRPr="002F51F8">
        <w:t>het doen van aanbevelingen voor het verfijnen van EFSD-garanties in lopende onderhandelingen.</w:t>
      </w:r>
    </w:p>
    <w:p w:rsidR="00713AFE" w:rsidP="00226FFA" w:rsidRDefault="00713AFE" w14:paraId="7E39E2CF" w14:textId="77777777">
      <w:pPr>
        <w:pStyle w:val="ListParagraph"/>
        <w:spacing w:line="276" w:lineRule="auto"/>
      </w:pPr>
    </w:p>
    <w:p w:rsidR="009E2CEC" w:rsidP="00226FFA" w:rsidRDefault="009E2CEC" w14:paraId="3D5111C3" w14:textId="4A3A68EB">
      <w:pPr>
        <w:spacing w:line="276" w:lineRule="auto"/>
      </w:pPr>
      <w:r>
        <w:t xml:space="preserve">Voor de studie zijn </w:t>
      </w:r>
      <w:r w:rsidR="00CE0F67">
        <w:t xml:space="preserve">onder meer </w:t>
      </w:r>
      <w:r>
        <w:t xml:space="preserve">veldbezoeken afgelegd aan Nigeria, Kenia, Tanzania, Zuid Afrika, Senegal, Ivoorkust en Ghana </w:t>
      </w:r>
      <w:r w:rsidR="00804696">
        <w:t xml:space="preserve">en is </w:t>
      </w:r>
      <w:r>
        <w:t>gesproken met ontwikkelingsbanken, begunstigden, lokale financiële inst</w:t>
      </w:r>
      <w:r w:rsidR="00806DCD">
        <w:t>ellingen</w:t>
      </w:r>
      <w:r>
        <w:t>, midden</w:t>
      </w:r>
      <w:r w:rsidR="00806DCD">
        <w:t>-</w:t>
      </w:r>
      <w:r>
        <w:t xml:space="preserve"> en kleinbedrijf, alsook </w:t>
      </w:r>
      <w:r w:rsidRPr="009E2CEC">
        <w:t>bedrijfsondersteunende kantoren</w:t>
      </w:r>
      <w:r>
        <w:t>.</w:t>
      </w:r>
      <w:r w:rsidR="00FA28EC">
        <w:t xml:space="preserve"> </w:t>
      </w:r>
      <w:r>
        <w:t xml:space="preserve">De studie concludeert </w:t>
      </w:r>
      <w:r w:rsidR="00061A8E">
        <w:t>dat de garanties een duidelijke meerwaarde hebben gehad, specifiek:</w:t>
      </w:r>
    </w:p>
    <w:p w:rsidR="00061A8E" w:rsidP="00226FFA" w:rsidRDefault="00061A8E" w14:paraId="7F6CB363" w14:textId="2178D7DF">
      <w:pPr>
        <w:pStyle w:val="ListParagraph"/>
        <w:numPr>
          <w:ilvl w:val="0"/>
          <w:numId w:val="9"/>
        </w:numPr>
        <w:spacing w:line="276" w:lineRule="auto"/>
      </w:pPr>
      <w:r>
        <w:t>op</w:t>
      </w:r>
      <w:r w:rsidRPr="00061A8E">
        <w:t xml:space="preserve"> de risicobereidheid </w:t>
      </w:r>
      <w:r>
        <w:t>van</w:t>
      </w:r>
      <w:r w:rsidRPr="00061A8E">
        <w:t xml:space="preserve"> </w:t>
      </w:r>
      <w:r w:rsidR="00B90B2D">
        <w:t>n</w:t>
      </w:r>
      <w:r>
        <w:t>ationale (</w:t>
      </w:r>
      <w:proofErr w:type="spellStart"/>
      <w:r>
        <w:t>DFIs</w:t>
      </w:r>
      <w:proofErr w:type="spellEnd"/>
      <w:r>
        <w:t>) en internationale ontwikkelingsbanken (</w:t>
      </w:r>
      <w:proofErr w:type="spellStart"/>
      <w:r>
        <w:t>IFIs</w:t>
      </w:r>
      <w:proofErr w:type="spellEnd"/>
      <w:r>
        <w:t xml:space="preserve">) om </w:t>
      </w:r>
      <w:r w:rsidRPr="00061A8E">
        <w:t xml:space="preserve">marktsegmenten met een hoger risico </w:t>
      </w:r>
      <w:r>
        <w:t>te</w:t>
      </w:r>
      <w:r w:rsidRPr="00061A8E">
        <w:t xml:space="preserve"> ondersteunen</w:t>
      </w:r>
      <w:r w:rsidR="0093505A">
        <w:t xml:space="preserve"> </w:t>
      </w:r>
      <w:r w:rsidRPr="0093505A" w:rsidR="0093505A">
        <w:t>zodat ze in meer ontwikkelingsrelevante projecten kunnen investeren in markten met een hoger risico</w:t>
      </w:r>
      <w:r>
        <w:t>,</w:t>
      </w:r>
    </w:p>
    <w:p w:rsidR="00061A8E" w:rsidP="00226FFA" w:rsidRDefault="008B66F2" w14:paraId="7E92B61E" w14:textId="53FEC154">
      <w:pPr>
        <w:pStyle w:val="ListParagraph"/>
        <w:numPr>
          <w:ilvl w:val="0"/>
          <w:numId w:val="9"/>
        </w:numPr>
        <w:spacing w:line="276" w:lineRule="auto"/>
      </w:pPr>
      <w:r>
        <w:t xml:space="preserve">bij het </w:t>
      </w:r>
      <w:r w:rsidRPr="00061A8E" w:rsidR="00061A8E">
        <w:t>verminder</w:t>
      </w:r>
      <w:r>
        <w:t>en</w:t>
      </w:r>
      <w:r w:rsidRPr="00061A8E" w:rsidR="00061A8E">
        <w:t xml:space="preserve"> van risico</w:t>
      </w:r>
      <w:r w:rsidR="00061A8E">
        <w:t>’s</w:t>
      </w:r>
      <w:r w:rsidRPr="00061A8E" w:rsidR="00061A8E">
        <w:t xml:space="preserve"> voor financiële tussenpersonen, microfinancieringsinstellingen en lokale banken</w:t>
      </w:r>
      <w:r w:rsidR="00061A8E">
        <w:t>,</w:t>
      </w:r>
    </w:p>
    <w:p w:rsidR="00061A8E" w:rsidP="00226FFA" w:rsidRDefault="006F6820" w14:paraId="4C674735" w14:textId="09F7B7E6">
      <w:pPr>
        <w:pStyle w:val="ListParagraph"/>
        <w:numPr>
          <w:ilvl w:val="0"/>
          <w:numId w:val="9"/>
        </w:numPr>
        <w:spacing w:line="276" w:lineRule="auto"/>
      </w:pPr>
      <w:r>
        <w:t xml:space="preserve">op </w:t>
      </w:r>
      <w:r w:rsidR="008B66F2">
        <w:t xml:space="preserve">het </w:t>
      </w:r>
      <w:r w:rsidRPr="008B66F2" w:rsidR="008B66F2">
        <w:t>verbeter</w:t>
      </w:r>
      <w:r w:rsidR="008B66F2">
        <w:t>en</w:t>
      </w:r>
      <w:r w:rsidRPr="008B66F2" w:rsidR="008B66F2">
        <w:t xml:space="preserve"> van de toegang tot financiering voor </w:t>
      </w:r>
      <w:r w:rsidR="008B66F2">
        <w:t>klanten in ontwikkelingslanden</w:t>
      </w:r>
      <w:r w:rsidRPr="008B66F2" w:rsidR="008B66F2">
        <w:t xml:space="preserve"> </w:t>
      </w:r>
      <w:r w:rsidR="008B66F2">
        <w:t>en</w:t>
      </w:r>
      <w:r w:rsidRPr="008B66F2" w:rsidR="008B66F2">
        <w:t xml:space="preserve"> nichesectoren</w:t>
      </w:r>
      <w:r w:rsidR="008B66F2">
        <w:t xml:space="preserve"> die anders niet bedien</w:t>
      </w:r>
      <w:r w:rsidR="00804696">
        <w:t>d</w:t>
      </w:r>
      <w:r w:rsidR="008B66F2">
        <w:t xml:space="preserve"> zouden worden</w:t>
      </w:r>
      <w:r w:rsidRPr="008B66F2" w:rsidR="008B66F2">
        <w:t>, waardoor lokale economieën en banen worden ondersteund</w:t>
      </w:r>
      <w:r w:rsidR="008B66F2">
        <w:t>,</w:t>
      </w:r>
    </w:p>
    <w:p w:rsidR="008B66F2" w:rsidP="00226FFA" w:rsidRDefault="008B66F2" w14:paraId="2E1EE620" w14:textId="74E3DE4B">
      <w:pPr>
        <w:pStyle w:val="ListParagraph"/>
        <w:numPr>
          <w:ilvl w:val="0"/>
          <w:numId w:val="9"/>
        </w:numPr>
        <w:spacing w:line="276" w:lineRule="auto"/>
      </w:pPr>
      <w:r>
        <w:lastRenderedPageBreak/>
        <w:t>op</w:t>
      </w:r>
      <w:r w:rsidRPr="008B66F2">
        <w:t xml:space="preserve"> de leningsvoorwaarden voor het </w:t>
      </w:r>
      <w:r w:rsidRPr="0093505A" w:rsidR="0093505A">
        <w:t xml:space="preserve">midden- en klein bedrijf (MKB) </w:t>
      </w:r>
      <w:r w:rsidRPr="008B66F2">
        <w:t xml:space="preserve">en </w:t>
      </w:r>
      <w:r>
        <w:t>andere</w:t>
      </w:r>
      <w:r w:rsidRPr="008B66F2">
        <w:t xml:space="preserve"> begunstigden, bijvoorbeeld door lagere rentetarieven, langere looptijden of minder hoge eisen </w:t>
      </w:r>
      <w:r>
        <w:t>qua borg,</w:t>
      </w:r>
    </w:p>
    <w:p w:rsidR="008B66F2" w:rsidP="00226FFA" w:rsidRDefault="006F6820" w14:paraId="01BA28D1" w14:textId="6E111AA2">
      <w:pPr>
        <w:pStyle w:val="ListParagraph"/>
        <w:numPr>
          <w:ilvl w:val="0"/>
          <w:numId w:val="9"/>
        </w:numPr>
        <w:spacing w:line="276" w:lineRule="auto"/>
      </w:pPr>
      <w:r>
        <w:t>op het aantrekken van</w:t>
      </w:r>
      <w:r w:rsidRPr="006F3503" w:rsidR="006F3503">
        <w:t xml:space="preserve"> nieuwe </w:t>
      </w:r>
      <w:r w:rsidR="006F3503">
        <w:t>spelers en</w:t>
      </w:r>
      <w:r w:rsidRPr="006F3503" w:rsidR="006F3503">
        <w:t xml:space="preserve"> institutionele beleggers </w:t>
      </w:r>
      <w:r>
        <w:t xml:space="preserve">om </w:t>
      </w:r>
      <w:r w:rsidRPr="006F3503" w:rsidR="006F3503">
        <w:t xml:space="preserve">leningen </w:t>
      </w:r>
      <w:r w:rsidR="006F3503">
        <w:t xml:space="preserve">te </w:t>
      </w:r>
      <w:r w:rsidRPr="006F3503" w:rsidR="006F3503">
        <w:t>verstrekken aan opkomende en ontwikkelende economieën</w:t>
      </w:r>
      <w:r w:rsidRPr="0093505A" w:rsidR="0093505A">
        <w:t xml:space="preserve"> waar ze anders niet actief zouden zijn</w:t>
      </w:r>
      <w:r w:rsidR="006F3503">
        <w:t>,</w:t>
      </w:r>
    </w:p>
    <w:p w:rsidR="006F3503" w:rsidP="00226FFA" w:rsidRDefault="006F6820" w14:paraId="5DCBD3EE" w14:textId="41001972">
      <w:pPr>
        <w:pStyle w:val="ListParagraph"/>
        <w:numPr>
          <w:ilvl w:val="0"/>
          <w:numId w:val="9"/>
        </w:numPr>
        <w:spacing w:line="276" w:lineRule="auto"/>
      </w:pPr>
      <w:r>
        <w:t>op</w:t>
      </w:r>
      <w:r w:rsidRPr="006F3503" w:rsidR="006F3503">
        <w:t xml:space="preserve"> het</w:t>
      </w:r>
      <w:r>
        <w:t xml:space="preserve"> op grote schaal beschikbaar maken van</w:t>
      </w:r>
      <w:r w:rsidRPr="006F3503" w:rsidR="006F3503">
        <w:t xml:space="preserve"> financiering in lokale valuta</w:t>
      </w:r>
      <w:r w:rsidRPr="0093505A" w:rsidR="0093505A">
        <w:t xml:space="preserve"> </w:t>
      </w:r>
      <w:r w:rsidR="0093505A">
        <w:t>zodat ze minder last hebben van schommelingen in de dollar of eurokoers</w:t>
      </w:r>
      <w:r>
        <w:t>.</w:t>
      </w:r>
    </w:p>
    <w:p w:rsidR="006F3503" w:rsidP="00226FFA" w:rsidRDefault="006F3503" w14:paraId="766B9AAD" w14:textId="77777777">
      <w:pPr>
        <w:spacing w:line="276" w:lineRule="auto"/>
      </w:pPr>
    </w:p>
    <w:p w:rsidR="00CE0F67" w:rsidP="00226FFA" w:rsidRDefault="00CE0F67" w14:paraId="0CE69585" w14:textId="69392898">
      <w:pPr>
        <w:spacing w:line="276" w:lineRule="auto"/>
      </w:pPr>
      <w:r>
        <w:t>De studie ziet vier grote uitdagingen voor EFSD+, te weten:</w:t>
      </w:r>
    </w:p>
    <w:p w:rsidR="00CE0F67" w:rsidP="00226FFA" w:rsidRDefault="00CE0F67" w14:paraId="6B76DD4A" w14:textId="5F09CA26">
      <w:pPr>
        <w:pStyle w:val="ListParagraph"/>
        <w:numPr>
          <w:ilvl w:val="0"/>
          <w:numId w:val="10"/>
        </w:numPr>
        <w:spacing w:line="276" w:lineRule="auto"/>
      </w:pPr>
      <w:r w:rsidRPr="00CE0F67">
        <w:t>administratieve complexiteit</w:t>
      </w:r>
      <w:r>
        <w:t xml:space="preserve">; </w:t>
      </w:r>
      <w:r w:rsidRPr="00CE0F67">
        <w:t>het opstellen, onderhandelen en afronden</w:t>
      </w:r>
      <w:r>
        <w:t xml:space="preserve"> van een garantie kan</w:t>
      </w:r>
      <w:r w:rsidRPr="00CE0F67">
        <w:t xml:space="preserve"> één tot drie jaar duren vanwege administratieve </w:t>
      </w:r>
      <w:r>
        <w:t>uitdagingen,</w:t>
      </w:r>
    </w:p>
    <w:p w:rsidRPr="0093505A" w:rsidR="0093505A" w:rsidP="00226FFA" w:rsidRDefault="0093505A" w14:paraId="6DABE307" w14:textId="77777777">
      <w:pPr>
        <w:pStyle w:val="ListParagraph"/>
        <w:numPr>
          <w:ilvl w:val="0"/>
          <w:numId w:val="10"/>
        </w:numPr>
        <w:spacing w:line="276" w:lineRule="auto"/>
      </w:pPr>
      <w:r w:rsidRPr="0093505A">
        <w:t xml:space="preserve">pijplijnontwikkeling en tijdlijnplanning; de tijd om garanties goed te keuren sluit niet altijd goed aan op de investeringskansen die bij </w:t>
      </w:r>
      <w:proofErr w:type="spellStart"/>
      <w:r w:rsidRPr="0093505A">
        <w:t>DFIs</w:t>
      </w:r>
      <w:proofErr w:type="spellEnd"/>
      <w:r w:rsidRPr="0093505A">
        <w:t xml:space="preserve"> en </w:t>
      </w:r>
      <w:proofErr w:type="spellStart"/>
      <w:r w:rsidRPr="0093505A">
        <w:t>IFIs</w:t>
      </w:r>
      <w:proofErr w:type="spellEnd"/>
      <w:r w:rsidRPr="0093505A">
        <w:t xml:space="preserve"> opkomen waardoor kansen worden gemist,</w:t>
      </w:r>
    </w:p>
    <w:p w:rsidR="00452E4D" w:rsidP="00226FFA" w:rsidRDefault="00452E4D" w14:paraId="179EC7CD" w14:textId="2301CB33">
      <w:pPr>
        <w:pStyle w:val="ListParagraph"/>
        <w:numPr>
          <w:ilvl w:val="0"/>
          <w:numId w:val="10"/>
        </w:numPr>
        <w:spacing w:line="276" w:lineRule="auto"/>
      </w:pPr>
      <w:r>
        <w:t xml:space="preserve">beleid en toelatingscriteria; beleidsambities en marktontwikkelingen sluiten niet altijd goed </w:t>
      </w:r>
      <w:r w:rsidR="00804696">
        <w:t xml:space="preserve">aan, </w:t>
      </w:r>
      <w:r>
        <w:t>wat het moeilijk maakt om aan de toelatingscriteria te kunnen voldoen,</w:t>
      </w:r>
    </w:p>
    <w:p w:rsidR="005557E7" w:rsidP="00226FFA" w:rsidRDefault="00452E4D" w14:paraId="34A8B849" w14:textId="5E1C7195">
      <w:pPr>
        <w:pStyle w:val="ListParagraph"/>
        <w:numPr>
          <w:ilvl w:val="0"/>
          <w:numId w:val="10"/>
        </w:numPr>
        <w:spacing w:line="276" w:lineRule="auto"/>
      </w:pPr>
      <w:r>
        <w:t xml:space="preserve">capaciteitsbeperkingen; </w:t>
      </w:r>
      <w:r w:rsidRPr="00452E4D">
        <w:t xml:space="preserve">sommige </w:t>
      </w:r>
      <w:r>
        <w:t xml:space="preserve">ontwikkelingsbanken </w:t>
      </w:r>
      <w:r w:rsidRPr="00452E4D">
        <w:t>hebben moeite om de voordelen van de garantie over te brengen aan lokale banken en financiële instellingen</w:t>
      </w:r>
      <w:r>
        <w:t xml:space="preserve">. </w:t>
      </w:r>
    </w:p>
    <w:p w:rsidR="00145F99" w:rsidP="00226FFA" w:rsidRDefault="0093505A" w14:paraId="3E367B87" w14:textId="7F843CFC">
      <w:pPr>
        <w:spacing w:line="276" w:lineRule="auto"/>
      </w:pPr>
      <w:r w:rsidRPr="0093505A">
        <w:t>Het rapport geeft aan dat veel van deze uitdagingen reeds zijn geadresseerd in de uitrol van de opvolger van EFSD</w:t>
      </w:r>
      <w:r>
        <w:t xml:space="preserve">; </w:t>
      </w:r>
      <w:r w:rsidRPr="0093505A">
        <w:t xml:space="preserve">EFSD+. </w:t>
      </w:r>
      <w:r w:rsidR="00145F99">
        <w:t xml:space="preserve">Openstaande uitdagingen zullen zoveel mogelijk worden geadresseerd in de resterende periode van EFSD+ </w:t>
      </w:r>
      <w:r w:rsidR="00C133C0">
        <w:t>en</w:t>
      </w:r>
      <w:r w:rsidR="00145F99">
        <w:t xml:space="preserve"> worden meegenomen bij </w:t>
      </w:r>
      <w:r w:rsidR="00C133C0">
        <w:t xml:space="preserve">de ontwikkeling van </w:t>
      </w:r>
      <w:r w:rsidR="00145F99">
        <w:t xml:space="preserve">een eventuele </w:t>
      </w:r>
      <w:r>
        <w:t xml:space="preserve">nieuwe </w:t>
      </w:r>
      <w:r w:rsidR="00145F99">
        <w:t xml:space="preserve">opvolger. </w:t>
      </w:r>
    </w:p>
    <w:p w:rsidR="009E2CEC" w:rsidP="00226FFA" w:rsidRDefault="009E2CEC" w14:paraId="23C807D0" w14:textId="478B127D">
      <w:pPr>
        <w:spacing w:line="276" w:lineRule="auto"/>
      </w:pPr>
      <w:r>
        <w:t xml:space="preserve"> </w:t>
      </w:r>
    </w:p>
    <w:p w:rsidR="009E2CEC" w:rsidP="00226FFA" w:rsidRDefault="00944315" w14:paraId="00F5AC2D" w14:textId="16979F6A">
      <w:pPr>
        <w:spacing w:line="276" w:lineRule="auto"/>
      </w:pPr>
      <w:r>
        <w:t>In algemene termen geeft de studie een positief beeld van de resultaten van EFSD</w:t>
      </w:r>
      <w:r w:rsidR="001D050A">
        <w:t xml:space="preserve"> en EFSD</w:t>
      </w:r>
      <w:r w:rsidR="00713AFE">
        <w:t>+</w:t>
      </w:r>
      <w:r>
        <w:t xml:space="preserve">. Nederlandse spelers, </w:t>
      </w:r>
      <w:r w:rsidR="00FA28EC">
        <w:t>zo</w:t>
      </w:r>
      <w:r>
        <w:t xml:space="preserve">als FMO en CFM, hebben goed gebruik kunnen maken van de mogelijkheden van EFSD+ en bijgedragen aan dit positieve resultaat. </w:t>
      </w:r>
      <w:r w:rsidRPr="001D050A" w:rsidR="001D050A">
        <w:t xml:space="preserve">FMO wordt </w:t>
      </w:r>
      <w:r w:rsidR="00A27D83">
        <w:t xml:space="preserve">bijvoorbeeld </w:t>
      </w:r>
      <w:r w:rsidRPr="001D050A" w:rsidR="001D050A">
        <w:t xml:space="preserve">op meerdere plaatsen in het rapport positief aangehaald. De EUR 660 miljoen aan garanties voor FMO gemeld in het BHO jaarverslag komen uit EFSD+ en dragen bij aan </w:t>
      </w:r>
      <w:r w:rsidR="00FA28EC">
        <w:t xml:space="preserve">het meer </w:t>
      </w:r>
      <w:r w:rsidR="009E3F64">
        <w:t>gebruik k</w:t>
      </w:r>
      <w:r w:rsidR="00FA28EC">
        <w:t>unnen</w:t>
      </w:r>
      <w:r w:rsidR="009E3F64">
        <w:t xml:space="preserve"> maken van </w:t>
      </w:r>
      <w:proofErr w:type="spellStart"/>
      <w:r w:rsidR="009E3F64">
        <w:t>Delegated</w:t>
      </w:r>
      <w:proofErr w:type="spellEnd"/>
      <w:r w:rsidR="009E3F64">
        <w:t xml:space="preserve"> Cooperation</w:t>
      </w:r>
      <w:r w:rsidR="00FA28EC">
        <w:t xml:space="preserve">, zoals verzocht door uw Kamer middels de </w:t>
      </w:r>
      <w:r w:rsidRPr="001D050A" w:rsidR="00FA28EC">
        <w:t>Motie Kamminga (36550-XVII nr. 16</w:t>
      </w:r>
      <w:r w:rsidRPr="001D050A" w:rsidR="001D050A">
        <w:t xml:space="preserve">). </w:t>
      </w:r>
      <w:r w:rsidRPr="0093505A" w:rsidR="0093505A">
        <w:t>De in de evaluatie genoemde uitdagingen zijn vooral van technische aard.</w:t>
      </w:r>
    </w:p>
    <w:p w:rsidR="0093505A" w:rsidP="00226FFA" w:rsidRDefault="0093505A" w14:paraId="5328BE18" w14:textId="77777777">
      <w:pPr>
        <w:spacing w:line="276" w:lineRule="auto"/>
      </w:pPr>
    </w:p>
    <w:p w:rsidR="00677852" w:rsidP="00226FFA" w:rsidRDefault="002F51F8" w14:paraId="7810A0EA" w14:textId="034377B1">
      <w:pPr>
        <w:spacing w:line="276" w:lineRule="auto"/>
      </w:pPr>
      <w:r>
        <w:t xml:space="preserve">Het </w:t>
      </w:r>
      <w:r w:rsidR="00EA07B5">
        <w:t xml:space="preserve">is </w:t>
      </w:r>
      <w:r>
        <w:t>belangrijk op te merken dat de studie al liep toen het European Court of Auditors (ECA) rapport uitkwam en dus niet kon in</w:t>
      </w:r>
      <w:r w:rsidR="006F6820">
        <w:t>gaan</w:t>
      </w:r>
      <w:r>
        <w:t xml:space="preserve"> op de zorgen geuit in dat rapport. De focus</w:t>
      </w:r>
      <w:r w:rsidR="006F6820">
        <w:t xml:space="preserve"> van de evaluatie</w:t>
      </w:r>
      <w:r>
        <w:t xml:space="preserve"> lag op de effectiviteit en niet op </w:t>
      </w:r>
      <w:r w:rsidRPr="002F51F8">
        <w:t>verslagleggings- en transparantievereisten</w:t>
      </w:r>
      <w:r>
        <w:t xml:space="preserve"> van EFSD en EFSD+. </w:t>
      </w:r>
      <w:r w:rsidR="00502D39">
        <w:t xml:space="preserve">Zoals aangegeven zal het kabinet in de relevante raadsgremia erop aandringen dat deze zorgen geadresseerd worden. </w:t>
      </w:r>
    </w:p>
    <w:p w:rsidR="00821CCA" w:rsidP="00226FFA" w:rsidRDefault="00821CCA" w14:paraId="1DB1DE54" w14:textId="77777777">
      <w:pPr>
        <w:spacing w:line="276" w:lineRule="auto"/>
      </w:pPr>
    </w:p>
    <w:p w:rsidR="00887670" w:rsidP="00226FFA" w:rsidRDefault="00887670" w14:paraId="348B36CA" w14:textId="77777777">
      <w:pPr>
        <w:spacing w:line="276" w:lineRule="auto"/>
      </w:pPr>
      <w:r>
        <w:t>De minister voor Buitenlandse Handel</w:t>
      </w:r>
    </w:p>
    <w:p w:rsidR="00887670" w:rsidP="00226FFA" w:rsidRDefault="00887670" w14:paraId="5BC1A3F8" w14:textId="77777777">
      <w:pPr>
        <w:spacing w:line="276" w:lineRule="auto"/>
      </w:pPr>
      <w:r>
        <w:t>en Ontwikkelingshulp,</w:t>
      </w:r>
    </w:p>
    <w:p w:rsidR="00887670" w:rsidP="00226FFA" w:rsidRDefault="00887670" w14:paraId="474FE162" w14:textId="77777777">
      <w:pPr>
        <w:spacing w:line="276" w:lineRule="auto"/>
      </w:pPr>
    </w:p>
    <w:p w:rsidR="00887670" w:rsidP="00226FFA" w:rsidRDefault="00887670" w14:paraId="5E8635E1" w14:textId="77777777">
      <w:pPr>
        <w:spacing w:line="276" w:lineRule="auto"/>
      </w:pPr>
    </w:p>
    <w:p w:rsidR="00226FFA" w:rsidP="00226FFA" w:rsidRDefault="00226FFA" w14:paraId="168C45F8" w14:textId="77777777">
      <w:pPr>
        <w:spacing w:line="276" w:lineRule="auto"/>
      </w:pPr>
    </w:p>
    <w:p w:rsidR="00887670" w:rsidP="00226FFA" w:rsidRDefault="00887670" w14:paraId="5DCDEB4D" w14:textId="77777777">
      <w:pPr>
        <w:spacing w:line="276" w:lineRule="auto"/>
      </w:pPr>
    </w:p>
    <w:p w:rsidR="00677852" w:rsidP="00226FFA" w:rsidRDefault="00887670" w14:paraId="7810A0EE" w14:textId="3FC8DEC3">
      <w:pPr>
        <w:spacing w:line="276" w:lineRule="auto"/>
      </w:pPr>
      <w:r>
        <w:t>Reinette Klever</w:t>
      </w:r>
    </w:p>
    <w:sectPr w:rsidR="00677852" w:rsidSect="001842E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2722" w:right="2778" w:bottom="1077" w:left="158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0A0F7" w14:textId="77777777" w:rsidR="000A680A" w:rsidRDefault="000A680A">
      <w:pPr>
        <w:spacing w:line="240" w:lineRule="auto"/>
      </w:pPr>
      <w:r>
        <w:separator/>
      </w:r>
    </w:p>
  </w:endnote>
  <w:endnote w:type="continuationSeparator" w:id="0">
    <w:p w14:paraId="7810A0F9" w14:textId="77777777" w:rsidR="000A680A" w:rsidRDefault="000A6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C25C" w14:textId="77777777" w:rsidR="00724640" w:rsidRDefault="00724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C558" w14:textId="77777777" w:rsidR="00724640" w:rsidRDefault="00724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EA38" w14:textId="77777777" w:rsidR="00724640" w:rsidRDefault="00724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A0F3" w14:textId="77777777" w:rsidR="000A680A" w:rsidRDefault="000A680A">
      <w:pPr>
        <w:spacing w:line="240" w:lineRule="auto"/>
      </w:pPr>
      <w:r>
        <w:separator/>
      </w:r>
    </w:p>
  </w:footnote>
  <w:footnote w:type="continuationSeparator" w:id="0">
    <w:p w14:paraId="7810A0F5" w14:textId="77777777" w:rsidR="000A680A" w:rsidRDefault="000A68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18BC" w14:textId="77777777" w:rsidR="00724640" w:rsidRDefault="00724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A0EF" w14:textId="715F42CB" w:rsidR="00677852" w:rsidRDefault="000A680A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810A0F3" wp14:editId="4802D697">
              <wp:simplePos x="0" y="0"/>
              <wp:positionH relativeFrom="page">
                <wp:posOffset>5922010</wp:posOffset>
              </wp:positionH>
              <wp:positionV relativeFrom="page">
                <wp:posOffset>1962150</wp:posOffset>
              </wp:positionV>
              <wp:extent cx="1356995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9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0A122" w14:textId="77777777" w:rsidR="00677852" w:rsidRDefault="000A680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810A123" w14:textId="77777777" w:rsidR="00677852" w:rsidRDefault="00677852">
                          <w:pPr>
                            <w:pStyle w:val="WitregelW2"/>
                          </w:pPr>
                        </w:p>
                        <w:p w14:paraId="7810A124" w14:textId="77777777" w:rsidR="00677852" w:rsidRDefault="000A680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10A125" w14:textId="77777777" w:rsidR="00677852" w:rsidRDefault="000A680A">
                          <w:pPr>
                            <w:pStyle w:val="Referentiegegevens"/>
                          </w:pPr>
                          <w:r>
                            <w:t>BZ2515079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10A0F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3pt;margin-top:154.5pt;width:106.85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" filled="f" stroked="f">
              <v:textbox inset="0,0,0,0">
                <w:txbxContent>
                  <w:p w14:paraId="7810A122" w14:textId="77777777" w:rsidR="00677852" w:rsidRDefault="000A680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810A123" w14:textId="77777777" w:rsidR="00677852" w:rsidRDefault="00677852">
                    <w:pPr>
                      <w:pStyle w:val="WitregelW2"/>
                    </w:pPr>
                  </w:p>
                  <w:p w14:paraId="7810A124" w14:textId="77777777" w:rsidR="00677852" w:rsidRDefault="000A680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10A125" w14:textId="77777777" w:rsidR="00677852" w:rsidRDefault="000A680A">
                    <w:pPr>
                      <w:pStyle w:val="Referentiegegevens"/>
                    </w:pPr>
                    <w:r>
                      <w:t>BZ2515079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810A0F7" wp14:editId="6E9263F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0A127" w14:textId="3CB45C28" w:rsidR="00677852" w:rsidRDefault="000A68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F51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F51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0A0F7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7810A127" w14:textId="3CB45C28" w:rsidR="00677852" w:rsidRDefault="000A68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F51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F51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A0F1" w14:textId="3B0C9C09" w:rsidR="00677852" w:rsidRDefault="000A680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10A0F9" wp14:editId="7810A0F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0A128" w14:textId="77777777" w:rsidR="000A680A" w:rsidRDefault="000A68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10A0F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810A128" w14:textId="77777777" w:rsidR="000A680A" w:rsidRDefault="000A68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10A0FB" wp14:editId="7810A0F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0A10A" w14:textId="77777777" w:rsidR="00677852" w:rsidRDefault="000A680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0A0FB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810A10A" w14:textId="77777777" w:rsidR="00677852" w:rsidRDefault="000A680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810A0FD" wp14:editId="74D388A7">
              <wp:simplePos x="0" y="0"/>
              <wp:positionH relativeFrom="page">
                <wp:posOffset>1007110</wp:posOffset>
              </wp:positionH>
              <wp:positionV relativeFrom="page">
                <wp:posOffset>3631565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77852" w14:paraId="7810A10D" w14:textId="77777777">
                            <w:tc>
                              <w:tcPr>
                                <w:tcW w:w="678" w:type="dxa"/>
                              </w:tcPr>
                              <w:p w14:paraId="7810A10B" w14:textId="77777777" w:rsidR="00677852" w:rsidRDefault="000A680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810A10C" w14:textId="460081A7" w:rsidR="00677852" w:rsidRDefault="00724640">
                                <w:r>
                                  <w:t>13</w:t>
                                </w:r>
                                <w:r w:rsidR="00E62798">
                                  <w:t xml:space="preserve"> </w:t>
                                </w:r>
                                <w:r w:rsidR="00887670">
                                  <w:t>mei</w:t>
                                </w:r>
                                <w:r w:rsidR="000A680A">
                                  <w:t xml:space="preserve"> 2025</w:t>
                                </w:r>
                              </w:p>
                            </w:tc>
                          </w:tr>
                          <w:tr w:rsidR="00677852" w14:paraId="7810A112" w14:textId="77777777">
                            <w:tc>
                              <w:tcPr>
                                <w:tcW w:w="678" w:type="dxa"/>
                              </w:tcPr>
                              <w:p w14:paraId="7810A10E" w14:textId="77777777" w:rsidR="00677852" w:rsidRDefault="000A680A">
                                <w:r>
                                  <w:t>Betreft</w:t>
                                </w:r>
                              </w:p>
                              <w:p w14:paraId="7810A10F" w14:textId="77777777" w:rsidR="00677852" w:rsidRDefault="00677852"/>
                            </w:tc>
                            <w:tc>
                              <w:tcPr>
                                <w:tcW w:w="6851" w:type="dxa"/>
                              </w:tcPr>
                              <w:p w14:paraId="7810A110" w14:textId="77777777" w:rsidR="00677852" w:rsidRDefault="000A680A">
                                <w:r>
                                  <w:t>EFSD+ Evaluatie Appreciatie</w:t>
                                </w:r>
                              </w:p>
                              <w:p w14:paraId="7810A111" w14:textId="77777777" w:rsidR="00677852" w:rsidRDefault="00677852"/>
                            </w:tc>
                          </w:tr>
                        </w:tbl>
                        <w:p w14:paraId="7810A113" w14:textId="77777777" w:rsidR="00677852" w:rsidRDefault="00677852"/>
                        <w:p w14:paraId="7810A114" w14:textId="77777777" w:rsidR="00677852" w:rsidRDefault="0067785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0A0FD" id="41b10c7e-80a4-11ea-b356-6230a4311406" o:spid="_x0000_s1030" type="#_x0000_t202" style="position:absolute;margin-left:79.3pt;margin-top:285.9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77852" w14:paraId="7810A10D" w14:textId="77777777">
                      <w:tc>
                        <w:tcPr>
                          <w:tcW w:w="678" w:type="dxa"/>
                        </w:tcPr>
                        <w:p w14:paraId="7810A10B" w14:textId="77777777" w:rsidR="00677852" w:rsidRDefault="000A680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810A10C" w14:textId="460081A7" w:rsidR="00677852" w:rsidRDefault="00724640">
                          <w:r>
                            <w:t>13</w:t>
                          </w:r>
                          <w:r w:rsidR="00E62798">
                            <w:t xml:space="preserve"> </w:t>
                          </w:r>
                          <w:r w:rsidR="00887670">
                            <w:t>mei</w:t>
                          </w:r>
                          <w:r w:rsidR="000A680A">
                            <w:t xml:space="preserve"> 2025</w:t>
                          </w:r>
                        </w:p>
                      </w:tc>
                    </w:tr>
                    <w:tr w:rsidR="00677852" w14:paraId="7810A112" w14:textId="77777777">
                      <w:tc>
                        <w:tcPr>
                          <w:tcW w:w="678" w:type="dxa"/>
                        </w:tcPr>
                        <w:p w14:paraId="7810A10E" w14:textId="77777777" w:rsidR="00677852" w:rsidRDefault="000A680A">
                          <w:r>
                            <w:t>Betreft</w:t>
                          </w:r>
                        </w:p>
                        <w:p w14:paraId="7810A10F" w14:textId="77777777" w:rsidR="00677852" w:rsidRDefault="00677852"/>
                      </w:tc>
                      <w:tc>
                        <w:tcPr>
                          <w:tcW w:w="6851" w:type="dxa"/>
                        </w:tcPr>
                        <w:p w14:paraId="7810A110" w14:textId="77777777" w:rsidR="00677852" w:rsidRDefault="000A680A">
                          <w:r>
                            <w:t>EFSD+ Evaluatie Appreciatie</w:t>
                          </w:r>
                        </w:p>
                        <w:p w14:paraId="7810A111" w14:textId="77777777" w:rsidR="00677852" w:rsidRDefault="00677852"/>
                      </w:tc>
                    </w:tr>
                  </w:tbl>
                  <w:p w14:paraId="7810A113" w14:textId="77777777" w:rsidR="00677852" w:rsidRDefault="00677852"/>
                  <w:p w14:paraId="7810A114" w14:textId="77777777" w:rsidR="00677852" w:rsidRDefault="0067785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10A0FF" wp14:editId="5529A073">
              <wp:simplePos x="0" y="0"/>
              <wp:positionH relativeFrom="page">
                <wp:posOffset>5922010</wp:posOffset>
              </wp:positionH>
              <wp:positionV relativeFrom="page">
                <wp:posOffset>1962150</wp:posOffset>
              </wp:positionV>
              <wp:extent cx="139255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255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0A116" w14:textId="4B5527DA" w:rsidR="00677852" w:rsidRDefault="000A680A" w:rsidP="0088767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05488E" w14:textId="77777777" w:rsidR="00887670" w:rsidRPr="00EE5E5D" w:rsidRDefault="00887670" w:rsidP="0088767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7BD216A" w14:textId="77777777" w:rsidR="00887670" w:rsidRPr="00887670" w:rsidRDefault="00887670" w:rsidP="0088767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87670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0DB7B155" w14:textId="77777777" w:rsidR="00887670" w:rsidRPr="00887670" w:rsidRDefault="00887670" w:rsidP="0088767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87670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B1ACAD7" w14:textId="77777777" w:rsidR="00887670" w:rsidRPr="0059764A" w:rsidRDefault="00887670" w:rsidP="0088767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DE48674" w14:textId="77777777" w:rsidR="00887670" w:rsidRPr="0059764A" w:rsidRDefault="00887670" w:rsidP="0088767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7810A119" w14:textId="77777777" w:rsidR="00677852" w:rsidRDefault="00677852">
                          <w:pPr>
                            <w:pStyle w:val="WitregelW2"/>
                          </w:pPr>
                        </w:p>
                        <w:p w14:paraId="7810A11A" w14:textId="77777777" w:rsidR="00677852" w:rsidRDefault="000A680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810A11B" w14:textId="77777777" w:rsidR="00677852" w:rsidRDefault="000A680A">
                          <w:pPr>
                            <w:pStyle w:val="Referentiegegevens"/>
                          </w:pPr>
                          <w:r>
                            <w:t>BZ2515079</w:t>
                          </w:r>
                        </w:p>
                        <w:p w14:paraId="7810A11C" w14:textId="77777777" w:rsidR="00677852" w:rsidRDefault="00677852">
                          <w:pPr>
                            <w:pStyle w:val="WitregelW1"/>
                          </w:pPr>
                        </w:p>
                        <w:p w14:paraId="7810A11D" w14:textId="77777777" w:rsidR="00677852" w:rsidRDefault="000A680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810A11E" w14:textId="5E91E670" w:rsidR="00677852" w:rsidRDefault="00677852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10A0FF" id="41b10cd4-80a4-11ea-b356-6230a4311406" o:spid="_x0000_s1031" type="#_x0000_t202" style="position:absolute;margin-left:466.3pt;margin-top:154.5pt;width:109.6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" filled="f" stroked="f">
              <v:textbox inset="0,0,0,0">
                <w:txbxContent>
                  <w:p w14:paraId="7810A116" w14:textId="4B5527DA" w:rsidR="00677852" w:rsidRDefault="000A680A" w:rsidP="0088767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05488E" w14:textId="77777777" w:rsidR="00887670" w:rsidRPr="00EE5E5D" w:rsidRDefault="00887670" w:rsidP="0088767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7BD216A" w14:textId="77777777" w:rsidR="00887670" w:rsidRPr="00887670" w:rsidRDefault="00887670" w:rsidP="00887670">
                    <w:pPr>
                      <w:rPr>
                        <w:sz w:val="13"/>
                        <w:szCs w:val="13"/>
                      </w:rPr>
                    </w:pPr>
                    <w:r w:rsidRPr="00887670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0DB7B155" w14:textId="77777777" w:rsidR="00887670" w:rsidRPr="00887670" w:rsidRDefault="00887670" w:rsidP="00887670">
                    <w:pPr>
                      <w:rPr>
                        <w:sz w:val="13"/>
                        <w:szCs w:val="13"/>
                      </w:rPr>
                    </w:pPr>
                    <w:r w:rsidRPr="00887670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B1ACAD7" w14:textId="77777777" w:rsidR="00887670" w:rsidRPr="0059764A" w:rsidRDefault="00887670" w:rsidP="0088767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DE48674" w14:textId="77777777" w:rsidR="00887670" w:rsidRPr="0059764A" w:rsidRDefault="00887670" w:rsidP="0088767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7810A119" w14:textId="77777777" w:rsidR="00677852" w:rsidRDefault="00677852">
                    <w:pPr>
                      <w:pStyle w:val="WitregelW2"/>
                    </w:pPr>
                  </w:p>
                  <w:p w14:paraId="7810A11A" w14:textId="77777777" w:rsidR="00677852" w:rsidRDefault="000A680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810A11B" w14:textId="77777777" w:rsidR="00677852" w:rsidRDefault="000A680A">
                    <w:pPr>
                      <w:pStyle w:val="Referentiegegevens"/>
                    </w:pPr>
                    <w:r>
                      <w:t>BZ2515079</w:t>
                    </w:r>
                  </w:p>
                  <w:p w14:paraId="7810A11C" w14:textId="77777777" w:rsidR="00677852" w:rsidRDefault="00677852">
                    <w:pPr>
                      <w:pStyle w:val="WitregelW1"/>
                    </w:pPr>
                  </w:p>
                  <w:p w14:paraId="7810A11D" w14:textId="77777777" w:rsidR="00677852" w:rsidRDefault="000A680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810A11E" w14:textId="5E91E670" w:rsidR="00677852" w:rsidRDefault="00677852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10A103" wp14:editId="6DCAE95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0A120" w14:textId="3B0BBB3D" w:rsidR="00677852" w:rsidRDefault="000A680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0A103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810A120" w14:textId="3B0BBB3D" w:rsidR="00677852" w:rsidRDefault="000A680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10A105" wp14:editId="7810A10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0A12F" w14:textId="77777777" w:rsidR="000A680A" w:rsidRDefault="000A68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0A105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810A12F" w14:textId="77777777" w:rsidR="000A680A" w:rsidRDefault="000A68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810A107" wp14:editId="7810A10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0A121" w14:textId="77777777" w:rsidR="00677852" w:rsidRDefault="000A680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10A128" wp14:editId="7810A129">
                                <wp:extent cx="2339975" cy="1582834"/>
                                <wp:effectExtent l="0" t="0" r="0" b="0"/>
                                <wp:docPr id="43053194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0A107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810A121" w14:textId="77777777" w:rsidR="00677852" w:rsidRDefault="000A680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10A128" wp14:editId="7810A129">
                          <wp:extent cx="2339975" cy="1582834"/>
                          <wp:effectExtent l="0" t="0" r="0" b="0"/>
                          <wp:docPr id="43053194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D138A1"/>
    <w:multiLevelType w:val="multilevel"/>
    <w:tmpl w:val="DCDDA7C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95122E10"/>
    <w:multiLevelType w:val="multilevel"/>
    <w:tmpl w:val="FA6AF9F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4D7DF6B"/>
    <w:multiLevelType w:val="multilevel"/>
    <w:tmpl w:val="2EDFFD9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C6489037"/>
    <w:multiLevelType w:val="multilevel"/>
    <w:tmpl w:val="3207786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6981C01"/>
    <w:multiLevelType w:val="hybridMultilevel"/>
    <w:tmpl w:val="FEC0CB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7457"/>
    <w:multiLevelType w:val="hybridMultilevel"/>
    <w:tmpl w:val="500C325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8FF72"/>
    <w:multiLevelType w:val="multilevel"/>
    <w:tmpl w:val="1F546B5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EC7AC8"/>
    <w:multiLevelType w:val="hybridMultilevel"/>
    <w:tmpl w:val="78CE10B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A37E1"/>
    <w:multiLevelType w:val="hybridMultilevel"/>
    <w:tmpl w:val="9A70319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F653D"/>
    <w:multiLevelType w:val="hybridMultilevel"/>
    <w:tmpl w:val="24D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26192">
    <w:abstractNumId w:val="0"/>
  </w:num>
  <w:num w:numId="2" w16cid:durableId="756560902">
    <w:abstractNumId w:val="3"/>
  </w:num>
  <w:num w:numId="3" w16cid:durableId="1986011245">
    <w:abstractNumId w:val="1"/>
  </w:num>
  <w:num w:numId="4" w16cid:durableId="195238023">
    <w:abstractNumId w:val="2"/>
  </w:num>
  <w:num w:numId="5" w16cid:durableId="42949929">
    <w:abstractNumId w:val="6"/>
  </w:num>
  <w:num w:numId="6" w16cid:durableId="1093817599">
    <w:abstractNumId w:val="9"/>
  </w:num>
  <w:num w:numId="7" w16cid:durableId="616377044">
    <w:abstractNumId w:val="8"/>
  </w:num>
  <w:num w:numId="8" w16cid:durableId="1995645170">
    <w:abstractNumId w:val="5"/>
  </w:num>
  <w:num w:numId="9" w16cid:durableId="570122461">
    <w:abstractNumId w:val="7"/>
  </w:num>
  <w:num w:numId="10" w16cid:durableId="15059766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52"/>
    <w:rsid w:val="00061A8E"/>
    <w:rsid w:val="000A680A"/>
    <w:rsid w:val="000E2F2D"/>
    <w:rsid w:val="00145F99"/>
    <w:rsid w:val="001842E0"/>
    <w:rsid w:val="001D050A"/>
    <w:rsid w:val="001E13FC"/>
    <w:rsid w:val="00226FFA"/>
    <w:rsid w:val="00272474"/>
    <w:rsid w:val="002F51F8"/>
    <w:rsid w:val="00305CF7"/>
    <w:rsid w:val="003120DA"/>
    <w:rsid w:val="00317AB6"/>
    <w:rsid w:val="0038183E"/>
    <w:rsid w:val="00384CDB"/>
    <w:rsid w:val="00411F4B"/>
    <w:rsid w:val="00452E4D"/>
    <w:rsid w:val="00502D39"/>
    <w:rsid w:val="005557E7"/>
    <w:rsid w:val="005C4D96"/>
    <w:rsid w:val="005F74EB"/>
    <w:rsid w:val="0064510C"/>
    <w:rsid w:val="00677852"/>
    <w:rsid w:val="00682EFC"/>
    <w:rsid w:val="006D71A4"/>
    <w:rsid w:val="006F3503"/>
    <w:rsid w:val="006F6820"/>
    <w:rsid w:val="00713AFE"/>
    <w:rsid w:val="00724640"/>
    <w:rsid w:val="007362FE"/>
    <w:rsid w:val="007A5A56"/>
    <w:rsid w:val="00804696"/>
    <w:rsid w:val="00806DCD"/>
    <w:rsid w:val="00821CCA"/>
    <w:rsid w:val="00834899"/>
    <w:rsid w:val="00866F6A"/>
    <w:rsid w:val="00867D68"/>
    <w:rsid w:val="00881C49"/>
    <w:rsid w:val="00887670"/>
    <w:rsid w:val="008B66F2"/>
    <w:rsid w:val="008F690C"/>
    <w:rsid w:val="0093505A"/>
    <w:rsid w:val="00944315"/>
    <w:rsid w:val="00964A09"/>
    <w:rsid w:val="009E2CEC"/>
    <w:rsid w:val="009E3F64"/>
    <w:rsid w:val="00A27D83"/>
    <w:rsid w:val="00A920FC"/>
    <w:rsid w:val="00AD2495"/>
    <w:rsid w:val="00B422F8"/>
    <w:rsid w:val="00B85F71"/>
    <w:rsid w:val="00B90B2D"/>
    <w:rsid w:val="00BC2FA7"/>
    <w:rsid w:val="00BF16E8"/>
    <w:rsid w:val="00C133C0"/>
    <w:rsid w:val="00C57A85"/>
    <w:rsid w:val="00C72198"/>
    <w:rsid w:val="00CE0F67"/>
    <w:rsid w:val="00CE6F1F"/>
    <w:rsid w:val="00D23588"/>
    <w:rsid w:val="00DE1534"/>
    <w:rsid w:val="00E04867"/>
    <w:rsid w:val="00E3729A"/>
    <w:rsid w:val="00E62798"/>
    <w:rsid w:val="00E6507D"/>
    <w:rsid w:val="00EA07B5"/>
    <w:rsid w:val="00ED31C2"/>
    <w:rsid w:val="00F0285C"/>
    <w:rsid w:val="00F92ED4"/>
    <w:rsid w:val="00FA28EC"/>
    <w:rsid w:val="00F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810A0E7"/>
  <w15:docId w15:val="{B6D4D59E-86B3-435F-B04F-26AD272F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A680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0A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0A680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0A"/>
    <w:rPr>
      <w:rFonts w:ascii="Verdana" w:hAnsi="Verdana"/>
      <w:color w:val="000000"/>
      <w:sz w:val="18"/>
      <w:szCs w:val="18"/>
      <w:lang w:val="nl-NL"/>
    </w:rPr>
  </w:style>
  <w:style w:type="paragraph" w:styleId="ListParagraph">
    <w:name w:val="List Paragraph"/>
    <w:basedOn w:val="Normal"/>
    <w:uiPriority w:val="34"/>
    <w:semiHidden/>
    <w:rsid w:val="002F51F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431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4315"/>
    <w:rPr>
      <w:rFonts w:ascii="Verdana" w:hAnsi="Verdana"/>
      <w:color w:val="00000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944315"/>
    <w:rPr>
      <w:vertAlign w:val="superscript"/>
    </w:rPr>
  </w:style>
  <w:style w:type="paragraph" w:styleId="Revision">
    <w:name w:val="Revision"/>
    <w:hidden/>
    <w:uiPriority w:val="99"/>
    <w:semiHidden/>
    <w:rsid w:val="00EA07B5"/>
    <w:pPr>
      <w:autoSpaceDN/>
      <w:textAlignment w:val="auto"/>
    </w:pPr>
    <w:rPr>
      <w:rFonts w:ascii="Verdana" w:hAnsi="Verdana"/>
      <w:color w:val="000000"/>
      <w:sz w:val="18"/>
      <w:szCs w:val="18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834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899"/>
    <w:rPr>
      <w:rFonts w:ascii="Verdana" w:hAnsi="Verdana"/>
      <w:color w:val="00000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899"/>
    <w:rPr>
      <w:rFonts w:ascii="Verdana" w:hAnsi="Verdana"/>
      <w:b/>
      <w:bCs/>
      <w:color w:val="000000"/>
      <w:lang w:val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834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7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703</ap:Words>
  <ap:Characters>3870</ap:Characters>
  <ap:DocSecurity>0</ap:DocSecurity>
  <ap:Lines>32</ap:Lines>
  <ap:Paragraphs>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EFSD+ Evaluatie Appreciatie</vt:lpstr>
    </vt:vector>
  </ap:TitlesOfParts>
  <ap:LinksUpToDate>false</ap:LinksUpToDate>
  <ap:CharactersWithSpaces>4564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2025-05-09T10:01:00.0000000Z</lastPrinted>
  <dcterms:created xsi:type="dcterms:W3CDTF">2025-05-13T13:52:00.0000000Z</dcterms:created>
  <dcterms:modified xsi:type="dcterms:W3CDTF">2025-05-13T13:52:00.0000000Z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0x0101009C7CE436063D44E9BE7DC0259EF7C32F006EB9F9836A634AE58B6169785FD3936F0020DE36E7D482344899CE4B81D0DADEE1</vt:lpwstr>
  </property>
  <property fmtid="{D5CDD505-2E9C-101B-9397-08002B2CF9AE}" pid="3" name="BZForumOrganisation">
    <vt:lpwstr>2;#EU|4d8f9873-61b3-4ee5-b6f7-0bb00c6df5e8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1;#Development cooperation general|380d0ef2-9ec9-4294-9181-2e77a680c18c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3;#The Netherlands|7f69a7bb-478c-499d-a6cf-5869916dfee4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ocset_NoMedatataSyncRequired">
    <vt:lpwstr>False</vt:lpwstr>
  </property>
</Properties>
</file>