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394" w:rsidRDefault="001856D0" w14:paraId="3A4A1262" w14:textId="77777777">
      <w:pPr>
        <w:autoSpaceDE w:val="0"/>
        <w:autoSpaceDN w:val="0"/>
        <w:adjustRightInd w:val="0"/>
        <w:spacing w:before="0" w:after="0"/>
        <w:ind w:left="1416" w:hanging="1371"/>
        <w:rPr>
          <w:b/>
          <w:bCs/>
          <w:sz w:val="23"/>
          <w:szCs w:val="23"/>
        </w:rPr>
      </w:pPr>
      <w:r>
        <w:rPr>
          <w:b/>
          <w:bCs/>
          <w:sz w:val="23"/>
          <w:szCs w:val="23"/>
        </w:rPr>
        <w:t>36479</w:t>
      </w:r>
      <w:r>
        <w:rPr>
          <w:b/>
          <w:bCs/>
          <w:sz w:val="23"/>
          <w:szCs w:val="23"/>
        </w:rPr>
        <w:tab/>
        <w:t>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w:t>
      </w:r>
    </w:p>
    <w:p w:rsidR="00673394" w:rsidRDefault="00673394" w14:paraId="46B017DC" w14:textId="77777777">
      <w:pPr>
        <w:autoSpaceDE w:val="0"/>
        <w:autoSpaceDN w:val="0"/>
        <w:adjustRightInd w:val="0"/>
        <w:spacing w:before="0" w:after="0"/>
        <w:ind w:left="1416" w:hanging="1371"/>
        <w:rPr>
          <w:b/>
        </w:rPr>
      </w:pPr>
    </w:p>
    <w:p w:rsidR="00673394" w:rsidRDefault="001856D0" w14:paraId="6C904017" w14:textId="77777777">
      <w:pPr>
        <w:rPr>
          <w:b/>
        </w:rPr>
      </w:pPr>
      <w:r>
        <w:rPr>
          <w:b/>
        </w:rPr>
        <w:t xml:space="preserve">nr. </w:t>
      </w:r>
      <w:r>
        <w:rPr>
          <w:b/>
        </w:rPr>
        <w:tab/>
      </w:r>
      <w:r>
        <w:rPr>
          <w:b/>
        </w:rPr>
        <w:tab/>
        <w:t>Lijst van vragen en antwoorden</w:t>
      </w:r>
    </w:p>
    <w:p w:rsidR="00673394" w:rsidRDefault="001856D0" w14:paraId="74F7A525" w14:textId="77777777">
      <w:r>
        <w:tab/>
      </w:r>
      <w:r>
        <w:tab/>
      </w:r>
    </w:p>
    <w:p w:rsidR="00673394" w:rsidRDefault="001856D0" w14:paraId="5B8760C5" w14:textId="77777777">
      <w:pPr>
        <w:ind w:left="702" w:firstLine="708"/>
        <w:rPr>
          <w:i/>
        </w:rPr>
      </w:pPr>
      <w:r>
        <w:t xml:space="preserve">Vastgesteld </w:t>
      </w:r>
      <w:r>
        <w:rPr>
          <w:i/>
        </w:rPr>
        <w:t>(wordt door griffie ingevuld als antwoorden er zijn)</w:t>
      </w:r>
    </w:p>
    <w:p w:rsidR="00673394" w:rsidRDefault="001856D0" w14:paraId="739847CB" w14:textId="4E3CB8A3">
      <w:pPr>
        <w:ind w:left="1410"/>
      </w:pPr>
      <w:r>
        <w:t>De vaste commissie voor</w:t>
      </w:r>
      <w:r w:rsidR="00AE58C7">
        <w:t xml:space="preserve"> Onderwijs, Cultuur en Wetenschap</w:t>
      </w:r>
      <w:r>
        <w:t xml:space="preserve"> heeft een aantal vragen voorgelegd aan de</w:t>
      </w:r>
      <w:r w:rsidR="00AE58C7">
        <w:t xml:space="preserve"> staatssecretaris</w:t>
      </w:r>
      <w:r w:rsidR="00884CC0">
        <w:t xml:space="preserve"> van Onderwijs, Cultuur en Wetenschap</w:t>
      </w:r>
      <w:r>
        <w:t xml:space="preserve"> over d</w:t>
      </w:r>
      <w:r w:rsidR="00DC0F0A">
        <w:t>e</w:t>
      </w:r>
      <w:r w:rsidR="00884CC0">
        <w:t xml:space="preserve"> brief </w:t>
      </w:r>
      <w:r>
        <w:t>van</w:t>
      </w:r>
      <w:r w:rsidR="00DC0F0A">
        <w:t xml:space="preserve"> 21 maart 2025</w:t>
      </w:r>
      <w:r>
        <w:t xml:space="preserve"> inzake de </w:t>
      </w:r>
      <w:r>
        <w:rPr>
          <w:b/>
        </w:rPr>
        <w:t>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w:t>
      </w:r>
      <w:r>
        <w:t xml:space="preserve"> (</w:t>
      </w:r>
      <w:r>
        <w:rPr>
          <w:b/>
        </w:rPr>
        <w:t>36479</w:t>
      </w:r>
      <w:r>
        <w:t xml:space="preserve">, nr. </w:t>
      </w:r>
      <w:r>
        <w:rPr>
          <w:b/>
        </w:rPr>
        <w:t>16</w:t>
      </w:r>
      <w:r>
        <w:t>).</w:t>
      </w:r>
    </w:p>
    <w:p w:rsidR="00673394" w:rsidRDefault="001856D0" w14:paraId="34073BF8" w14:textId="5AC24D8C">
      <w:pPr>
        <w:ind w:left="1410"/>
      </w:pPr>
      <w:r>
        <w:t>De daarop door de</w:t>
      </w:r>
      <w:r w:rsidR="00DC0F0A">
        <w:t xml:space="preserve"> staatssecretaris</w:t>
      </w:r>
      <w:r>
        <w:t xml:space="preserve"> gegeven antwoorden zijn hierbij afgedrukt.</w:t>
      </w:r>
    </w:p>
    <w:p w:rsidR="00673394" w:rsidRDefault="00673394" w14:paraId="14947170" w14:textId="77777777">
      <w:pPr>
        <w:spacing w:before="0" w:after="0"/>
      </w:pPr>
    </w:p>
    <w:p w:rsidR="00673394" w:rsidRDefault="001856D0" w14:paraId="1DD08F16" w14:textId="77777777">
      <w:pPr>
        <w:spacing w:before="0" w:after="0"/>
        <w:ind w:left="703" w:firstLine="709"/>
      </w:pPr>
      <w:r>
        <w:t xml:space="preserve">Voorzitter van de commissie, </w:t>
      </w:r>
    </w:p>
    <w:p w:rsidR="00673394" w:rsidRDefault="001856D0" w14:paraId="650DF7B6" w14:textId="75E85907">
      <w:pPr>
        <w:spacing w:before="0" w:after="0"/>
      </w:pPr>
      <w:r>
        <w:tab/>
      </w:r>
      <w:r>
        <w:tab/>
      </w:r>
      <w:r w:rsidR="00DC0F0A">
        <w:t>Bromet</w:t>
      </w:r>
    </w:p>
    <w:p w:rsidR="00673394" w:rsidRDefault="001856D0" w14:paraId="63E4EE36" w14:textId="77777777">
      <w:pPr>
        <w:spacing w:before="0" w:after="0"/>
      </w:pPr>
      <w:r>
        <w:tab/>
      </w:r>
      <w:r>
        <w:tab/>
      </w:r>
    </w:p>
    <w:p w:rsidR="00673394" w:rsidRDefault="001856D0" w14:paraId="60937970" w14:textId="0A0DC58D">
      <w:pPr>
        <w:spacing w:before="0" w:after="0"/>
      </w:pPr>
      <w:r>
        <w:tab/>
      </w:r>
      <w:r>
        <w:tab/>
      </w:r>
      <w:r w:rsidR="00DC0F0A">
        <w:t>Adjunct-g</w:t>
      </w:r>
      <w:r>
        <w:t>riffier van de commissie,</w:t>
      </w:r>
    </w:p>
    <w:p w:rsidR="00673394" w:rsidRDefault="001856D0" w14:paraId="14A6A624" w14:textId="3844ED37">
      <w:pPr>
        <w:spacing w:before="0" w:after="0"/>
      </w:pPr>
      <w:r>
        <w:tab/>
      </w:r>
      <w:r>
        <w:tab/>
      </w:r>
      <w:r w:rsidR="00DC0F0A">
        <w:t>Huls</w:t>
      </w:r>
    </w:p>
    <w:p w:rsidR="00673394" w:rsidRDefault="00673394" w14:paraId="58406E7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73394" w:rsidTr="00E7153D" w14:paraId="03D0DC5C" w14:textId="77777777">
        <w:trPr>
          <w:cantSplit/>
        </w:trPr>
        <w:tc>
          <w:tcPr>
            <w:tcW w:w="567" w:type="dxa"/>
          </w:tcPr>
          <w:p w:rsidR="00673394" w:rsidRDefault="001856D0" w14:paraId="3ADBD98D" w14:textId="77777777">
            <w:bookmarkStart w:name="bmkStartTabel" w:id="0"/>
            <w:bookmarkEnd w:id="0"/>
            <w:r>
              <w:t>Nr</w:t>
            </w:r>
          </w:p>
        </w:tc>
        <w:tc>
          <w:tcPr>
            <w:tcW w:w="6521" w:type="dxa"/>
          </w:tcPr>
          <w:p w:rsidR="00673394" w:rsidRDefault="001856D0" w14:paraId="1F35C0C7" w14:textId="77777777">
            <w:r>
              <w:t>Vraag</w:t>
            </w:r>
          </w:p>
        </w:tc>
        <w:tc>
          <w:tcPr>
            <w:tcW w:w="850" w:type="dxa"/>
          </w:tcPr>
          <w:p w:rsidR="00673394" w:rsidRDefault="001856D0" w14:paraId="6C3161DD" w14:textId="77777777">
            <w:pPr>
              <w:jc w:val="right"/>
            </w:pPr>
            <w:r>
              <w:t>Bijlage</w:t>
            </w:r>
          </w:p>
        </w:tc>
        <w:tc>
          <w:tcPr>
            <w:tcW w:w="992" w:type="dxa"/>
          </w:tcPr>
          <w:p w:rsidR="00673394" w:rsidP="00E7153D" w:rsidRDefault="001856D0" w14:paraId="3D8457BE" w14:textId="77777777">
            <w:pPr>
              <w:jc w:val="right"/>
            </w:pPr>
            <w:r>
              <w:t>Blz. (van)</w:t>
            </w:r>
          </w:p>
        </w:tc>
        <w:tc>
          <w:tcPr>
            <w:tcW w:w="567" w:type="dxa"/>
          </w:tcPr>
          <w:p w:rsidR="00673394" w:rsidP="00E7153D" w:rsidRDefault="001856D0" w14:paraId="1926E2A0" w14:textId="77777777">
            <w:pPr>
              <w:jc w:val="center"/>
            </w:pPr>
            <w:r>
              <w:t>t/m</w:t>
            </w:r>
          </w:p>
        </w:tc>
      </w:tr>
      <w:tr w:rsidR="00673394" w:rsidTr="00E7153D" w14:paraId="4C723179" w14:textId="77777777">
        <w:tc>
          <w:tcPr>
            <w:tcW w:w="567" w:type="dxa"/>
          </w:tcPr>
          <w:p w:rsidR="00673394" w:rsidRDefault="001856D0" w14:paraId="7EA26CCA" w14:textId="77777777">
            <w:r>
              <w:t>1</w:t>
            </w:r>
          </w:p>
        </w:tc>
        <w:tc>
          <w:tcPr>
            <w:tcW w:w="6521" w:type="dxa"/>
          </w:tcPr>
          <w:p w:rsidR="00673394" w:rsidRDefault="001856D0" w14:paraId="38348A81" w14:textId="4D0EFBBB">
            <w:r>
              <w:t>Welke concrete resultaten worden er inmiddels zichtbaar van de richtlijnen die u samen met de sectorraden heeft opgesteld en waarop u de schoolbesturen meermaals heeft gewezen, dat extra begeleiding naast de reguliere lessen gratis toegankelijk is voor leerlingen en plaatsvindt onder regie van scholen</w:t>
            </w:r>
            <w:r w:rsidR="00904F3F">
              <w:t>?</w:t>
            </w:r>
            <w:r w:rsidR="00DC0F0A">
              <w:rPr>
                <w:rStyle w:val="Voetnootmarkering"/>
              </w:rPr>
              <w:footnoteReference w:id="1"/>
            </w:r>
          </w:p>
        </w:tc>
        <w:tc>
          <w:tcPr>
            <w:tcW w:w="850" w:type="dxa"/>
          </w:tcPr>
          <w:p w:rsidR="00673394" w:rsidRDefault="00673394" w14:paraId="52B239EC" w14:textId="77777777">
            <w:pPr>
              <w:jc w:val="right"/>
            </w:pPr>
          </w:p>
        </w:tc>
        <w:tc>
          <w:tcPr>
            <w:tcW w:w="992" w:type="dxa"/>
          </w:tcPr>
          <w:p w:rsidR="00673394" w:rsidRDefault="00673394" w14:paraId="1A650261" w14:textId="77777777">
            <w:pPr>
              <w:jc w:val="right"/>
            </w:pPr>
          </w:p>
        </w:tc>
        <w:tc>
          <w:tcPr>
            <w:tcW w:w="567" w:type="dxa"/>
            <w:tcBorders>
              <w:left w:val="nil"/>
            </w:tcBorders>
          </w:tcPr>
          <w:p w:rsidR="00673394" w:rsidRDefault="001856D0" w14:paraId="30190F71" w14:textId="77777777">
            <w:pPr>
              <w:jc w:val="right"/>
            </w:pPr>
            <w:r>
              <w:t xml:space="preserve"> </w:t>
            </w:r>
          </w:p>
        </w:tc>
      </w:tr>
      <w:tr w:rsidR="00673394" w:rsidTr="00E7153D" w14:paraId="5B1A35EE" w14:textId="77777777">
        <w:tc>
          <w:tcPr>
            <w:tcW w:w="567" w:type="dxa"/>
          </w:tcPr>
          <w:p w:rsidR="00673394" w:rsidRDefault="001856D0" w14:paraId="53E0DD7A" w14:textId="77777777">
            <w:r>
              <w:t>2</w:t>
            </w:r>
          </w:p>
        </w:tc>
        <w:tc>
          <w:tcPr>
            <w:tcW w:w="6521" w:type="dxa"/>
          </w:tcPr>
          <w:p w:rsidR="00673394" w:rsidRDefault="001856D0" w14:paraId="749D6816" w14:textId="0321C2E7">
            <w:r>
              <w:t>Hoe reflecteert u op het feit dat een ondernemer in de onderwijssector géén omzetbelasting hoeft te betalen, maar een ondernemer in een andere sector, zoals bijvoorbeeld retail</w:t>
            </w:r>
            <w:r w:rsidR="003F09DF">
              <w:t>,</w:t>
            </w:r>
            <w:r>
              <w:t xml:space="preserve"> dit </w:t>
            </w:r>
            <w:r w:rsidR="002F7D62">
              <w:t xml:space="preserve">wel </w:t>
            </w:r>
            <w:r w:rsidR="003F09DF">
              <w:t>moet</w:t>
            </w:r>
            <w:r>
              <w:t xml:space="preserve"> betalen?</w:t>
            </w:r>
          </w:p>
        </w:tc>
        <w:tc>
          <w:tcPr>
            <w:tcW w:w="850" w:type="dxa"/>
          </w:tcPr>
          <w:p w:rsidR="00673394" w:rsidRDefault="00673394" w14:paraId="55AEFADE" w14:textId="77777777">
            <w:pPr>
              <w:jc w:val="right"/>
            </w:pPr>
          </w:p>
        </w:tc>
        <w:tc>
          <w:tcPr>
            <w:tcW w:w="992" w:type="dxa"/>
          </w:tcPr>
          <w:p w:rsidR="00673394" w:rsidRDefault="00673394" w14:paraId="34DAFFA0" w14:textId="77777777">
            <w:pPr>
              <w:jc w:val="right"/>
            </w:pPr>
          </w:p>
        </w:tc>
        <w:tc>
          <w:tcPr>
            <w:tcW w:w="567" w:type="dxa"/>
            <w:tcBorders>
              <w:left w:val="nil"/>
            </w:tcBorders>
          </w:tcPr>
          <w:p w:rsidR="00673394" w:rsidRDefault="001856D0" w14:paraId="508D62F5" w14:textId="77777777">
            <w:pPr>
              <w:jc w:val="right"/>
            </w:pPr>
            <w:r>
              <w:t xml:space="preserve"> </w:t>
            </w:r>
          </w:p>
        </w:tc>
      </w:tr>
      <w:tr w:rsidR="00673394" w:rsidTr="00E7153D" w14:paraId="5E67CE33" w14:textId="77777777">
        <w:tc>
          <w:tcPr>
            <w:tcW w:w="567" w:type="dxa"/>
          </w:tcPr>
          <w:p w:rsidR="00673394" w:rsidRDefault="001856D0" w14:paraId="1793DF01" w14:textId="77777777">
            <w:r>
              <w:t>3</w:t>
            </w:r>
          </w:p>
        </w:tc>
        <w:tc>
          <w:tcPr>
            <w:tcW w:w="6521" w:type="dxa"/>
          </w:tcPr>
          <w:p w:rsidR="00673394" w:rsidRDefault="001856D0" w14:paraId="1EDEE04A" w14:textId="77777777">
            <w:r>
              <w:t>Hoe reflecteert u op het feit dat het aantal huiswerkbegeleidingsbedrijven in Nederland sinds 2013 bijna is verdrievoudigd en vindt u dit een zorgelijke ontwikkeling?</w:t>
            </w:r>
          </w:p>
        </w:tc>
        <w:tc>
          <w:tcPr>
            <w:tcW w:w="850" w:type="dxa"/>
          </w:tcPr>
          <w:p w:rsidR="00673394" w:rsidRDefault="00673394" w14:paraId="674F2FD4" w14:textId="77777777">
            <w:pPr>
              <w:jc w:val="right"/>
            </w:pPr>
          </w:p>
        </w:tc>
        <w:tc>
          <w:tcPr>
            <w:tcW w:w="992" w:type="dxa"/>
          </w:tcPr>
          <w:p w:rsidR="00673394" w:rsidRDefault="00673394" w14:paraId="63EAB3A7" w14:textId="77777777">
            <w:pPr>
              <w:jc w:val="right"/>
            </w:pPr>
          </w:p>
        </w:tc>
        <w:tc>
          <w:tcPr>
            <w:tcW w:w="567" w:type="dxa"/>
            <w:tcBorders>
              <w:left w:val="nil"/>
            </w:tcBorders>
          </w:tcPr>
          <w:p w:rsidR="00673394" w:rsidRDefault="001856D0" w14:paraId="3DFAED21" w14:textId="77777777">
            <w:pPr>
              <w:jc w:val="right"/>
            </w:pPr>
            <w:r>
              <w:t xml:space="preserve"> </w:t>
            </w:r>
          </w:p>
        </w:tc>
      </w:tr>
      <w:tr w:rsidR="00673394" w:rsidTr="00E7153D" w14:paraId="4A1DA5F4" w14:textId="77777777">
        <w:tc>
          <w:tcPr>
            <w:tcW w:w="567" w:type="dxa"/>
          </w:tcPr>
          <w:p w:rsidR="00673394" w:rsidRDefault="001856D0" w14:paraId="4F5E51BE" w14:textId="77777777">
            <w:r>
              <w:t>4</w:t>
            </w:r>
          </w:p>
        </w:tc>
        <w:tc>
          <w:tcPr>
            <w:tcW w:w="6521" w:type="dxa"/>
          </w:tcPr>
          <w:p w:rsidR="00673394" w:rsidRDefault="001856D0" w14:paraId="7072D058" w14:textId="77777777">
            <w:r>
              <w:t>Vindt u het groeiende aantal private onderwijsaanbieders passen binnen het principe dat onderwijs een maatschappelijke voorziening moet zijn met een publiek karakter?</w:t>
            </w:r>
          </w:p>
        </w:tc>
        <w:tc>
          <w:tcPr>
            <w:tcW w:w="850" w:type="dxa"/>
          </w:tcPr>
          <w:p w:rsidR="00673394" w:rsidRDefault="00673394" w14:paraId="7FAFB680" w14:textId="77777777">
            <w:pPr>
              <w:jc w:val="right"/>
            </w:pPr>
          </w:p>
        </w:tc>
        <w:tc>
          <w:tcPr>
            <w:tcW w:w="992" w:type="dxa"/>
          </w:tcPr>
          <w:p w:rsidR="00673394" w:rsidRDefault="00673394" w14:paraId="12F95A7E" w14:textId="77777777">
            <w:pPr>
              <w:jc w:val="right"/>
            </w:pPr>
          </w:p>
        </w:tc>
        <w:tc>
          <w:tcPr>
            <w:tcW w:w="567" w:type="dxa"/>
            <w:tcBorders>
              <w:left w:val="nil"/>
            </w:tcBorders>
          </w:tcPr>
          <w:p w:rsidR="00673394" w:rsidRDefault="001856D0" w14:paraId="03114F58" w14:textId="77777777">
            <w:pPr>
              <w:jc w:val="right"/>
            </w:pPr>
            <w:r>
              <w:t xml:space="preserve"> </w:t>
            </w:r>
          </w:p>
        </w:tc>
      </w:tr>
      <w:tr w:rsidR="00673394" w:rsidTr="00E7153D" w14:paraId="7398A800" w14:textId="77777777">
        <w:tc>
          <w:tcPr>
            <w:tcW w:w="567" w:type="dxa"/>
          </w:tcPr>
          <w:p w:rsidR="00673394" w:rsidRDefault="001856D0" w14:paraId="6E746A51" w14:textId="77777777">
            <w:r>
              <w:t>5</w:t>
            </w:r>
          </w:p>
        </w:tc>
        <w:tc>
          <w:tcPr>
            <w:tcW w:w="6521" w:type="dxa"/>
          </w:tcPr>
          <w:p w:rsidR="00673394" w:rsidRDefault="001856D0" w14:paraId="031F8CC2" w14:textId="77777777">
            <w:r>
              <w:t>Welke overeenkomsten maken dienstverlening van winstbeogende commerciële bijlesbureaus zózeer 'hetzelfde' als van niet-winstbeogende scholen in het openbaar en bijzonder onderwijs dat het onderscheid een ongewenste concurrentieverstoring zou betekenen?</w:t>
            </w:r>
          </w:p>
        </w:tc>
        <w:tc>
          <w:tcPr>
            <w:tcW w:w="850" w:type="dxa"/>
          </w:tcPr>
          <w:p w:rsidR="00673394" w:rsidRDefault="00673394" w14:paraId="6C678E2B" w14:textId="77777777">
            <w:pPr>
              <w:jc w:val="right"/>
            </w:pPr>
          </w:p>
        </w:tc>
        <w:tc>
          <w:tcPr>
            <w:tcW w:w="992" w:type="dxa"/>
          </w:tcPr>
          <w:p w:rsidR="00673394" w:rsidRDefault="001856D0" w14:paraId="5BC60175" w14:textId="77777777">
            <w:pPr>
              <w:jc w:val="right"/>
            </w:pPr>
            <w:r>
              <w:t>1</w:t>
            </w:r>
          </w:p>
        </w:tc>
        <w:tc>
          <w:tcPr>
            <w:tcW w:w="567" w:type="dxa"/>
            <w:tcBorders>
              <w:left w:val="nil"/>
            </w:tcBorders>
          </w:tcPr>
          <w:p w:rsidR="00673394" w:rsidRDefault="001856D0" w14:paraId="5632BD65" w14:textId="77777777">
            <w:pPr>
              <w:jc w:val="right"/>
            </w:pPr>
            <w:r>
              <w:t xml:space="preserve"> </w:t>
            </w:r>
          </w:p>
        </w:tc>
      </w:tr>
      <w:tr w:rsidR="00673394" w:rsidTr="00E7153D" w14:paraId="402F4EFE" w14:textId="77777777">
        <w:tc>
          <w:tcPr>
            <w:tcW w:w="567" w:type="dxa"/>
          </w:tcPr>
          <w:p w:rsidR="00673394" w:rsidRDefault="001856D0" w14:paraId="4271FFCF" w14:textId="77777777">
            <w:r>
              <w:t>6</w:t>
            </w:r>
          </w:p>
        </w:tc>
        <w:tc>
          <w:tcPr>
            <w:tcW w:w="6521" w:type="dxa"/>
          </w:tcPr>
          <w:p w:rsidR="00673394" w:rsidRDefault="001856D0" w14:paraId="2A6F9320" w14:textId="0E0A6D8A">
            <w:r>
              <w:t xml:space="preserve">Is er sinds 1993 helemaal niets veranderd door alle ontwikkelingen rond het schaduwonderwijs die </w:t>
            </w:r>
            <w:r w:rsidR="00AD344D">
              <w:t xml:space="preserve">Oberon </w:t>
            </w:r>
            <w:r w:rsidR="00462362">
              <w:t xml:space="preserve">in </w:t>
            </w:r>
            <w:r>
              <w:t>het rapport 'Licht op schaduwonderwijs. Onderzoek naar deelname aan en uitgaven voor schaduwonderwijs' in 2017 signaleerde, wat rechtvaardigt om de zogenoemde 'concurrentieverstoring' juist wenselijk te achten?</w:t>
            </w:r>
            <w:r w:rsidR="00496122">
              <w:rPr>
                <w:rStyle w:val="Voetnootmarkering"/>
              </w:rPr>
              <w:footnoteReference w:id="2"/>
            </w:r>
          </w:p>
        </w:tc>
        <w:tc>
          <w:tcPr>
            <w:tcW w:w="850" w:type="dxa"/>
          </w:tcPr>
          <w:p w:rsidR="00673394" w:rsidRDefault="00673394" w14:paraId="156BEDD2" w14:textId="77777777">
            <w:pPr>
              <w:jc w:val="right"/>
            </w:pPr>
          </w:p>
        </w:tc>
        <w:tc>
          <w:tcPr>
            <w:tcW w:w="992" w:type="dxa"/>
          </w:tcPr>
          <w:p w:rsidR="00673394" w:rsidRDefault="001856D0" w14:paraId="688F57CB" w14:textId="77777777">
            <w:pPr>
              <w:jc w:val="right"/>
            </w:pPr>
            <w:r>
              <w:t>1</w:t>
            </w:r>
          </w:p>
        </w:tc>
        <w:tc>
          <w:tcPr>
            <w:tcW w:w="567" w:type="dxa"/>
            <w:tcBorders>
              <w:left w:val="nil"/>
            </w:tcBorders>
          </w:tcPr>
          <w:p w:rsidR="00673394" w:rsidRDefault="001856D0" w14:paraId="5E280406" w14:textId="77777777">
            <w:pPr>
              <w:jc w:val="right"/>
            </w:pPr>
            <w:r>
              <w:t xml:space="preserve"> </w:t>
            </w:r>
          </w:p>
        </w:tc>
      </w:tr>
      <w:tr w:rsidR="00673394" w:rsidTr="00E7153D" w14:paraId="65C6B48A" w14:textId="77777777">
        <w:tc>
          <w:tcPr>
            <w:tcW w:w="567" w:type="dxa"/>
          </w:tcPr>
          <w:p w:rsidR="00673394" w:rsidRDefault="001856D0" w14:paraId="71F646EE" w14:textId="77777777">
            <w:r>
              <w:lastRenderedPageBreak/>
              <w:t>7</w:t>
            </w:r>
          </w:p>
        </w:tc>
        <w:tc>
          <w:tcPr>
            <w:tcW w:w="6521" w:type="dxa"/>
          </w:tcPr>
          <w:p w:rsidR="00673394" w:rsidRDefault="001856D0" w14:paraId="100BFE71" w14:textId="77777777">
            <w:r>
              <w:t>Wat zou er precies voor nodig zijn om de begrotingsregels zó te wijzigen dat inkomsten uit een heffing voor commerciële bijlesbureaus wél kunnen terugvloeien naar het publiek bekostigde onderwijs?</w:t>
            </w:r>
          </w:p>
        </w:tc>
        <w:tc>
          <w:tcPr>
            <w:tcW w:w="850" w:type="dxa"/>
          </w:tcPr>
          <w:p w:rsidR="00673394" w:rsidRDefault="00673394" w14:paraId="372CF0C5" w14:textId="77777777">
            <w:pPr>
              <w:jc w:val="right"/>
            </w:pPr>
          </w:p>
        </w:tc>
        <w:tc>
          <w:tcPr>
            <w:tcW w:w="992" w:type="dxa"/>
          </w:tcPr>
          <w:p w:rsidR="00673394" w:rsidRDefault="001856D0" w14:paraId="521D867D" w14:textId="77777777">
            <w:pPr>
              <w:jc w:val="right"/>
            </w:pPr>
            <w:r>
              <w:t>1</w:t>
            </w:r>
          </w:p>
        </w:tc>
        <w:tc>
          <w:tcPr>
            <w:tcW w:w="567" w:type="dxa"/>
            <w:tcBorders>
              <w:left w:val="nil"/>
            </w:tcBorders>
          </w:tcPr>
          <w:p w:rsidR="00673394" w:rsidRDefault="001856D0" w14:paraId="51BD49D8" w14:textId="77777777">
            <w:pPr>
              <w:jc w:val="right"/>
            </w:pPr>
            <w:r>
              <w:t xml:space="preserve"> </w:t>
            </w:r>
          </w:p>
        </w:tc>
      </w:tr>
      <w:tr w:rsidR="00673394" w:rsidTr="00E7153D" w14:paraId="239AE2E4" w14:textId="77777777">
        <w:tc>
          <w:tcPr>
            <w:tcW w:w="567" w:type="dxa"/>
          </w:tcPr>
          <w:p w:rsidR="00673394" w:rsidRDefault="001856D0" w14:paraId="13090081" w14:textId="77777777">
            <w:r>
              <w:t>8</w:t>
            </w:r>
          </w:p>
        </w:tc>
        <w:tc>
          <w:tcPr>
            <w:tcW w:w="6521" w:type="dxa"/>
          </w:tcPr>
          <w:p w:rsidR="00673394" w:rsidRDefault="001856D0" w14:paraId="5B651DB1" w14:textId="77777777">
            <w:r>
              <w:t>Vindt u scholen in het openbaar en bijzonder onderwijs echt precies dezelfde dienstverlening verlenen als commerciële aanbieders?</w:t>
            </w:r>
          </w:p>
        </w:tc>
        <w:tc>
          <w:tcPr>
            <w:tcW w:w="850" w:type="dxa"/>
          </w:tcPr>
          <w:p w:rsidR="00673394" w:rsidRDefault="00673394" w14:paraId="5130FE6B" w14:textId="77777777">
            <w:pPr>
              <w:jc w:val="right"/>
            </w:pPr>
          </w:p>
        </w:tc>
        <w:tc>
          <w:tcPr>
            <w:tcW w:w="992" w:type="dxa"/>
          </w:tcPr>
          <w:p w:rsidR="00673394" w:rsidRDefault="001856D0" w14:paraId="5F9D3705" w14:textId="77777777">
            <w:pPr>
              <w:jc w:val="right"/>
            </w:pPr>
            <w:r>
              <w:t>1</w:t>
            </w:r>
          </w:p>
        </w:tc>
        <w:tc>
          <w:tcPr>
            <w:tcW w:w="567" w:type="dxa"/>
            <w:tcBorders>
              <w:left w:val="nil"/>
            </w:tcBorders>
          </w:tcPr>
          <w:p w:rsidR="00673394" w:rsidRDefault="001856D0" w14:paraId="2D54A717" w14:textId="77777777">
            <w:pPr>
              <w:jc w:val="right"/>
            </w:pPr>
            <w:r>
              <w:t xml:space="preserve"> </w:t>
            </w:r>
          </w:p>
        </w:tc>
      </w:tr>
      <w:tr w:rsidR="00673394" w:rsidTr="00E7153D" w14:paraId="08D06246" w14:textId="77777777">
        <w:tc>
          <w:tcPr>
            <w:tcW w:w="567" w:type="dxa"/>
          </w:tcPr>
          <w:p w:rsidR="00673394" w:rsidRDefault="001856D0" w14:paraId="07FF0DE3" w14:textId="77777777">
            <w:r>
              <w:t>9</w:t>
            </w:r>
          </w:p>
        </w:tc>
        <w:tc>
          <w:tcPr>
            <w:tcW w:w="6521" w:type="dxa"/>
          </w:tcPr>
          <w:p w:rsidR="00673394" w:rsidRDefault="001856D0" w14:paraId="5EC474C3" w14:textId="77777777">
            <w:r>
              <w:t>Hoe reflecteert u op het feit dat er bij niet-winstbeogende bedrijven wordt voldaan aan de leerplicht en bij winstbeogende bedrijven niet?</w:t>
            </w:r>
          </w:p>
        </w:tc>
        <w:tc>
          <w:tcPr>
            <w:tcW w:w="850" w:type="dxa"/>
          </w:tcPr>
          <w:p w:rsidR="00673394" w:rsidRDefault="00673394" w14:paraId="31C038A1" w14:textId="77777777">
            <w:pPr>
              <w:jc w:val="right"/>
            </w:pPr>
          </w:p>
        </w:tc>
        <w:tc>
          <w:tcPr>
            <w:tcW w:w="992" w:type="dxa"/>
          </w:tcPr>
          <w:p w:rsidR="00673394" w:rsidRDefault="001856D0" w14:paraId="36493F85" w14:textId="77777777">
            <w:pPr>
              <w:jc w:val="right"/>
            </w:pPr>
            <w:r>
              <w:t>1</w:t>
            </w:r>
          </w:p>
        </w:tc>
        <w:tc>
          <w:tcPr>
            <w:tcW w:w="567" w:type="dxa"/>
            <w:tcBorders>
              <w:left w:val="nil"/>
            </w:tcBorders>
          </w:tcPr>
          <w:p w:rsidR="00673394" w:rsidRDefault="001856D0" w14:paraId="3316B2A6" w14:textId="77777777">
            <w:pPr>
              <w:jc w:val="right"/>
            </w:pPr>
            <w:r>
              <w:t xml:space="preserve"> </w:t>
            </w:r>
          </w:p>
        </w:tc>
      </w:tr>
      <w:tr w:rsidR="00673394" w:rsidTr="00E7153D" w14:paraId="57BD1BFF" w14:textId="77777777">
        <w:tc>
          <w:tcPr>
            <w:tcW w:w="567" w:type="dxa"/>
          </w:tcPr>
          <w:p w:rsidR="00673394" w:rsidRDefault="001856D0" w14:paraId="3D56D459" w14:textId="77777777">
            <w:r>
              <w:t>10</w:t>
            </w:r>
          </w:p>
        </w:tc>
        <w:tc>
          <w:tcPr>
            <w:tcW w:w="6521" w:type="dxa"/>
          </w:tcPr>
          <w:p w:rsidR="00673394" w:rsidRDefault="001856D0" w14:paraId="471D27A8" w14:textId="77777777">
            <w:r>
              <w:t>Wat zou het effect zijn voor de kansengelijkheid van scholieren als commerciële bijlesbureaus wel omzetbelasting moeten gaan betalen, zonder dat de inkomsten daaruit terugvloeien naar het publiek-bekostigde onderwijs?</w:t>
            </w:r>
          </w:p>
        </w:tc>
        <w:tc>
          <w:tcPr>
            <w:tcW w:w="850" w:type="dxa"/>
          </w:tcPr>
          <w:p w:rsidR="00673394" w:rsidRDefault="00673394" w14:paraId="44874341" w14:textId="77777777">
            <w:pPr>
              <w:jc w:val="right"/>
            </w:pPr>
          </w:p>
        </w:tc>
        <w:tc>
          <w:tcPr>
            <w:tcW w:w="992" w:type="dxa"/>
          </w:tcPr>
          <w:p w:rsidR="00673394" w:rsidRDefault="001856D0" w14:paraId="142BEBAF" w14:textId="77777777">
            <w:pPr>
              <w:jc w:val="right"/>
            </w:pPr>
            <w:r>
              <w:t>2</w:t>
            </w:r>
          </w:p>
        </w:tc>
        <w:tc>
          <w:tcPr>
            <w:tcW w:w="567" w:type="dxa"/>
            <w:tcBorders>
              <w:left w:val="nil"/>
            </w:tcBorders>
          </w:tcPr>
          <w:p w:rsidR="00673394" w:rsidRDefault="001856D0" w14:paraId="73FD4E98" w14:textId="77777777">
            <w:pPr>
              <w:jc w:val="right"/>
            </w:pPr>
            <w:r>
              <w:t xml:space="preserve"> </w:t>
            </w:r>
          </w:p>
        </w:tc>
      </w:tr>
      <w:tr w:rsidR="00673394" w:rsidTr="00E7153D" w14:paraId="1BC464DC" w14:textId="77777777">
        <w:tc>
          <w:tcPr>
            <w:tcW w:w="567" w:type="dxa"/>
          </w:tcPr>
          <w:p w:rsidR="00673394" w:rsidRDefault="001856D0" w14:paraId="0CE7EC5E" w14:textId="77777777">
            <w:r>
              <w:t>11</w:t>
            </w:r>
          </w:p>
        </w:tc>
        <w:tc>
          <w:tcPr>
            <w:tcW w:w="6521" w:type="dxa"/>
          </w:tcPr>
          <w:p w:rsidR="00673394" w:rsidRDefault="001856D0" w14:paraId="386386C0" w14:textId="77777777">
            <w:r>
              <w:t>Welke concrete gevallen kunt u noemen waarbij bij het wegwerken van corona-achterstanden is gebleken dat "het hanteren van een voorwaarde van niet beogen van winst in de praktijk juist averechts zou werken, aangezien onderwijsinstellingen in sommige gevallen ook (commerciële) aanbieders inhuren voor het verzorgen van bijlessen en huiswerkbegeleiding op school"?</w:t>
            </w:r>
          </w:p>
        </w:tc>
        <w:tc>
          <w:tcPr>
            <w:tcW w:w="850" w:type="dxa"/>
          </w:tcPr>
          <w:p w:rsidR="00673394" w:rsidRDefault="001856D0" w14:paraId="5D353ADB" w14:textId="77777777">
            <w:pPr>
              <w:jc w:val="right"/>
            </w:pPr>
            <w:r>
              <w:t>2025D12387</w:t>
            </w:r>
          </w:p>
        </w:tc>
        <w:tc>
          <w:tcPr>
            <w:tcW w:w="992" w:type="dxa"/>
          </w:tcPr>
          <w:p w:rsidR="00673394" w:rsidRDefault="001856D0" w14:paraId="5E1FCBDB" w14:textId="77777777">
            <w:pPr>
              <w:jc w:val="right"/>
            </w:pPr>
            <w:r>
              <w:t>1</w:t>
            </w:r>
          </w:p>
        </w:tc>
        <w:tc>
          <w:tcPr>
            <w:tcW w:w="567" w:type="dxa"/>
            <w:tcBorders>
              <w:left w:val="nil"/>
            </w:tcBorders>
          </w:tcPr>
          <w:p w:rsidR="00673394" w:rsidRDefault="001856D0" w14:paraId="04DC8AC5" w14:textId="77777777">
            <w:pPr>
              <w:jc w:val="right"/>
            </w:pPr>
            <w:r>
              <w:t xml:space="preserve"> </w:t>
            </w:r>
          </w:p>
        </w:tc>
      </w:tr>
      <w:tr w:rsidR="00673394" w:rsidTr="00E7153D" w14:paraId="784E308D" w14:textId="77777777">
        <w:tc>
          <w:tcPr>
            <w:tcW w:w="567" w:type="dxa"/>
          </w:tcPr>
          <w:p w:rsidR="00673394" w:rsidRDefault="001856D0" w14:paraId="585E15BA" w14:textId="77777777">
            <w:r>
              <w:t>12</w:t>
            </w:r>
          </w:p>
        </w:tc>
        <w:tc>
          <w:tcPr>
            <w:tcW w:w="6521" w:type="dxa"/>
          </w:tcPr>
          <w:p w:rsidR="00673394" w:rsidRDefault="001856D0" w14:paraId="2C745730" w14:textId="77777777">
            <w:r>
              <w:t>Hoe legt u een verband tussen de kennelijke keuze om de inzet op aanvullend onderwijs af te bouwen en de prioriteiten voor basisvaardigheden en het oplossen van het lerarentekort?</w:t>
            </w:r>
          </w:p>
        </w:tc>
        <w:tc>
          <w:tcPr>
            <w:tcW w:w="850" w:type="dxa"/>
          </w:tcPr>
          <w:p w:rsidR="00673394" w:rsidRDefault="001856D0" w14:paraId="0641A562" w14:textId="77777777">
            <w:pPr>
              <w:jc w:val="right"/>
            </w:pPr>
            <w:r>
              <w:t>2025D12387</w:t>
            </w:r>
          </w:p>
        </w:tc>
        <w:tc>
          <w:tcPr>
            <w:tcW w:w="992" w:type="dxa"/>
          </w:tcPr>
          <w:p w:rsidR="00673394" w:rsidRDefault="001856D0" w14:paraId="1F724505" w14:textId="77777777">
            <w:pPr>
              <w:jc w:val="right"/>
            </w:pPr>
            <w:r>
              <w:t>2</w:t>
            </w:r>
          </w:p>
        </w:tc>
        <w:tc>
          <w:tcPr>
            <w:tcW w:w="567" w:type="dxa"/>
            <w:tcBorders>
              <w:left w:val="nil"/>
            </w:tcBorders>
          </w:tcPr>
          <w:p w:rsidR="00673394" w:rsidRDefault="001856D0" w14:paraId="7DCE8EEE" w14:textId="77777777">
            <w:pPr>
              <w:jc w:val="right"/>
            </w:pPr>
            <w:r>
              <w:t xml:space="preserve"> </w:t>
            </w:r>
          </w:p>
        </w:tc>
      </w:tr>
    </w:tbl>
    <w:p w:rsidR="00673394" w:rsidRDefault="00673394" w14:paraId="6AA9873C" w14:textId="77777777"/>
    <w:sectPr w:rsidR="00673394"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DD13" w14:textId="77777777" w:rsidR="00AF6FCA" w:rsidRDefault="00AF6FCA">
      <w:pPr>
        <w:spacing w:before="0" w:after="0"/>
      </w:pPr>
      <w:r>
        <w:separator/>
      </w:r>
    </w:p>
  </w:endnote>
  <w:endnote w:type="continuationSeparator" w:id="0">
    <w:p w14:paraId="1E728743" w14:textId="77777777" w:rsidR="00AF6FCA" w:rsidRDefault="00AF6F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60D4" w14:textId="4C035DF2" w:rsidR="00673394" w:rsidRDefault="004150C5">
    <w:pPr>
      <w:pStyle w:val="Voettekst"/>
    </w:pPr>
    <w:r>
      <w:t xml:space="preserve">Lijst van </w:t>
    </w:r>
    <w:r w:rsidR="001856D0">
      <w:t xml:space="preserve">vragen 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(36479-16) </w:t>
    </w:r>
    <w:r w:rsidR="001856D0">
      <w:tab/>
    </w:r>
    <w:sdt>
      <w:sdtPr>
        <w:id w:val="1325549269"/>
        <w:docPartObj>
          <w:docPartGallery w:val="Page Numbers (Bottom of Page)"/>
          <w:docPartUnique/>
        </w:docPartObj>
      </w:sdtPr>
      <w:sdtContent>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DAA2" w14:textId="77777777" w:rsidR="00AF6FCA" w:rsidRDefault="00AF6FCA">
      <w:pPr>
        <w:spacing w:before="0" w:after="0"/>
      </w:pPr>
      <w:r>
        <w:separator/>
      </w:r>
    </w:p>
  </w:footnote>
  <w:footnote w:type="continuationSeparator" w:id="0">
    <w:p w14:paraId="016DFBB2" w14:textId="77777777" w:rsidR="00AF6FCA" w:rsidRDefault="00AF6FCA">
      <w:pPr>
        <w:spacing w:before="0" w:after="0"/>
      </w:pPr>
      <w:r>
        <w:continuationSeparator/>
      </w:r>
    </w:p>
  </w:footnote>
  <w:footnote w:id="1">
    <w:p w14:paraId="53EEB2D6" w14:textId="63F2CB25" w:rsidR="00DC0F0A" w:rsidRDefault="00DC0F0A">
      <w:pPr>
        <w:pStyle w:val="Voetnoottekst"/>
      </w:pPr>
      <w:r>
        <w:rPr>
          <w:rStyle w:val="Voetnootmarkering"/>
        </w:rPr>
        <w:footnoteRef/>
      </w:r>
      <w:r>
        <w:t xml:space="preserve"> </w:t>
      </w:r>
      <w:r w:rsidR="003E32BA">
        <w:t xml:space="preserve">Handelingen II, </w:t>
      </w:r>
      <w:r w:rsidR="00D354E5">
        <w:t xml:space="preserve">2024/25, nr. 94, </w:t>
      </w:r>
      <w:r w:rsidR="00F775C1">
        <w:t xml:space="preserve">item </w:t>
      </w:r>
      <w:r w:rsidR="0018474A">
        <w:t>7, p.1-11.</w:t>
      </w:r>
    </w:p>
  </w:footnote>
  <w:footnote w:id="2">
    <w:p w14:paraId="19725D0E" w14:textId="09B6844C" w:rsidR="002E5B7E" w:rsidRPr="002E5B7E" w:rsidRDefault="00496122" w:rsidP="002E5B7E">
      <w:pPr>
        <w:pStyle w:val="Voetnoottekst"/>
        <w:rPr>
          <w:i/>
          <w:iCs/>
        </w:rPr>
      </w:pPr>
      <w:r>
        <w:rPr>
          <w:rStyle w:val="Voetnootmarkering"/>
        </w:rPr>
        <w:footnoteRef/>
      </w:r>
      <w:r>
        <w:t xml:space="preserve"> </w:t>
      </w:r>
      <w:r w:rsidR="0050215C">
        <w:t>Oberon</w:t>
      </w:r>
      <w:r w:rsidR="00DE780B">
        <w:t>.</w:t>
      </w:r>
      <w:r w:rsidR="00A65EB4">
        <w:t xml:space="preserve"> (2017). </w:t>
      </w:r>
      <w:r w:rsidR="002E5B7E" w:rsidRPr="002E5B7E">
        <w:rPr>
          <w:i/>
          <w:iCs/>
        </w:rPr>
        <w:t xml:space="preserve">Licht op schaduwonderwijs. Onderzoek naar deelname aan en </w:t>
      </w:r>
    </w:p>
    <w:p w14:paraId="4118FF7B" w14:textId="167ACC3F" w:rsidR="00496122" w:rsidRDefault="002E5B7E" w:rsidP="002E5B7E">
      <w:pPr>
        <w:pStyle w:val="Voetnoottekst"/>
      </w:pPr>
      <w:r w:rsidRPr="002E5B7E">
        <w:rPr>
          <w:i/>
          <w:iCs/>
        </w:rPr>
        <w:t>uitgaven voor schaduwonderwijs</w:t>
      </w:r>
      <w:r w:rsidR="007B5B5F">
        <w:rPr>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474A"/>
    <w:rsid w:val="001856D0"/>
    <w:rsid w:val="001A47AF"/>
    <w:rsid w:val="001A56AB"/>
    <w:rsid w:val="002E5B7E"/>
    <w:rsid w:val="002F7D62"/>
    <w:rsid w:val="003D44DD"/>
    <w:rsid w:val="003E32BA"/>
    <w:rsid w:val="003F09DF"/>
    <w:rsid w:val="004150C5"/>
    <w:rsid w:val="00462362"/>
    <w:rsid w:val="00496122"/>
    <w:rsid w:val="0050215C"/>
    <w:rsid w:val="005543A7"/>
    <w:rsid w:val="00673394"/>
    <w:rsid w:val="006856FD"/>
    <w:rsid w:val="007671DF"/>
    <w:rsid w:val="007B5B5F"/>
    <w:rsid w:val="007D2912"/>
    <w:rsid w:val="007D3BAD"/>
    <w:rsid w:val="008820EF"/>
    <w:rsid w:val="00884CC0"/>
    <w:rsid w:val="00894624"/>
    <w:rsid w:val="00904F3F"/>
    <w:rsid w:val="009523D3"/>
    <w:rsid w:val="00A65EB4"/>
    <w:rsid w:val="00A77C3E"/>
    <w:rsid w:val="00AD344D"/>
    <w:rsid w:val="00AE58C7"/>
    <w:rsid w:val="00AF6FCA"/>
    <w:rsid w:val="00B47FC7"/>
    <w:rsid w:val="00B915EC"/>
    <w:rsid w:val="00D354E5"/>
    <w:rsid w:val="00DC0F0A"/>
    <w:rsid w:val="00DE780B"/>
    <w:rsid w:val="00E7153D"/>
    <w:rsid w:val="00F7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8A8025"/>
  <w15:docId w15:val="{7DA406F1-0F8C-4C01-B264-EDDB73C9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DC0F0A"/>
    <w:pPr>
      <w:spacing w:before="0" w:after="0"/>
    </w:pPr>
  </w:style>
  <w:style w:type="character" w:customStyle="1" w:styleId="VoetnoottekstChar">
    <w:name w:val="Voetnoottekst Char"/>
    <w:basedOn w:val="Standaardalinea-lettertype"/>
    <w:link w:val="Voetnoottekst"/>
    <w:uiPriority w:val="99"/>
    <w:semiHidden/>
    <w:rsid w:val="00DC0F0A"/>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DC0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610</ap:Words>
  <ap:Characters>3358</ap:Characters>
  <ap:DocSecurity>0</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2025-05-13T14:14:00.0000000Z</dcterms:created>
  <dcterms:modified xsi:type="dcterms:W3CDTF">2025-05-13T14:14:00.0000000Z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66eff991-ecf5-4a7a-89df-77a22b34a73a</vt:lpwstr>
  </property>
</Properties>
</file>