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C5E1E" w:rsidR="00963DAE" w:rsidP="00586AE9" w:rsidRDefault="00AD7699" w14:paraId="711911D4" w14:textId="58B2F094">
      <w:pPr>
        <w:tabs>
          <w:tab w:val="left" w:pos="1843"/>
        </w:tabs>
        <w:spacing w:line="276" w:lineRule="auto"/>
        <w:rPr>
          <w:rFonts w:ascii="Verdana" w:hAnsi="Verdana"/>
          <w:b/>
          <w:bCs/>
          <w:sz w:val="18"/>
          <w:szCs w:val="18"/>
        </w:rPr>
      </w:pPr>
      <w:r>
        <w:rPr>
          <w:rFonts w:ascii="Verdana" w:hAnsi="Verdana"/>
          <w:b/>
          <w:bCs/>
          <w:sz w:val="18"/>
          <w:szCs w:val="18"/>
        </w:rPr>
        <w:t>Overzicht lastenluwe implementatiekeuzes AML-pakket</w:t>
      </w:r>
    </w:p>
    <w:tbl>
      <w:tblPr>
        <w:tblStyle w:val="Onopgemaaktetabel1"/>
        <w:tblW w:w="8926" w:type="dxa"/>
        <w:tblLook w:val="04A0" w:firstRow="1" w:lastRow="0" w:firstColumn="1" w:lastColumn="0" w:noHBand="0" w:noVBand="1"/>
      </w:tblPr>
      <w:tblGrid>
        <w:gridCol w:w="2348"/>
        <w:gridCol w:w="6578"/>
      </w:tblGrid>
      <w:tr w:rsidRPr="00AD7699" w:rsidR="00963DAE" w:rsidTr="00586AE9" w14:paraId="76417BE1" w14:textId="777777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0" w:type="dxa"/>
          </w:tcPr>
          <w:p w:rsidRPr="000C5E1E" w:rsidR="00963DAE" w:rsidP="00586AE9" w:rsidRDefault="00963DAE" w14:paraId="4B86925B" w14:textId="1AFC8C23">
            <w:pPr>
              <w:spacing w:after="160" w:line="276" w:lineRule="auto"/>
              <w:rPr>
                <w:rFonts w:ascii="Verdana" w:hAnsi="Verdana"/>
                <w:sz w:val="18"/>
                <w:szCs w:val="18"/>
              </w:rPr>
            </w:pPr>
            <w:r w:rsidRPr="000C5E1E">
              <w:rPr>
                <w:rFonts w:ascii="Verdana" w:hAnsi="Verdana"/>
                <w:sz w:val="18"/>
                <w:szCs w:val="18"/>
              </w:rPr>
              <w:t>Bepaling</w:t>
            </w:r>
          </w:p>
        </w:tc>
        <w:tc>
          <w:tcPr>
            <w:tcW w:w="6946" w:type="dxa"/>
          </w:tcPr>
          <w:p w:rsidRPr="000C5E1E" w:rsidR="00963DAE" w:rsidP="00586AE9" w:rsidRDefault="00963DAE" w14:paraId="04A98434" w14:textId="77777777">
            <w:pPr>
              <w:spacing w:after="160"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0C5E1E">
              <w:rPr>
                <w:rFonts w:ascii="Verdana" w:hAnsi="Verdana"/>
                <w:sz w:val="18"/>
                <w:szCs w:val="18"/>
              </w:rPr>
              <w:t>Lastenluwe implementatie/lasten besparing</w:t>
            </w:r>
          </w:p>
        </w:tc>
      </w:tr>
      <w:tr w:rsidRPr="00AD7699" w:rsidR="00963DAE" w:rsidTr="00D5062E" w14:paraId="6D17774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926" w:type="dxa"/>
            <w:gridSpan w:val="2"/>
          </w:tcPr>
          <w:p w:rsidRPr="000C5E1E" w:rsidR="00963DAE" w:rsidP="00586AE9" w:rsidRDefault="00963DAE" w14:paraId="190EEFF0" w14:textId="0D61E767">
            <w:pPr>
              <w:spacing w:line="276" w:lineRule="auto"/>
              <w:rPr>
                <w:rFonts w:ascii="Verdana" w:hAnsi="Verdana"/>
                <w:sz w:val="18"/>
                <w:szCs w:val="18"/>
              </w:rPr>
            </w:pPr>
            <w:r w:rsidRPr="000C5E1E">
              <w:rPr>
                <w:rFonts w:ascii="Verdana" w:hAnsi="Verdana"/>
                <w:sz w:val="18"/>
                <w:szCs w:val="18"/>
              </w:rPr>
              <w:t>Reikwijdte bepalingen</w:t>
            </w:r>
          </w:p>
        </w:tc>
      </w:tr>
      <w:tr w:rsidRPr="00AD7699" w:rsidR="00963DAE" w:rsidTr="00586AE9" w14:paraId="0397C132" w14:textId="77777777">
        <w:trPr>
          <w:trHeight w:val="724"/>
        </w:trPr>
        <w:tc>
          <w:tcPr>
            <w:cnfStyle w:val="001000000000" w:firstRow="0" w:lastRow="0" w:firstColumn="1" w:lastColumn="0" w:oddVBand="0" w:evenVBand="0" w:oddHBand="0" w:evenHBand="0" w:firstRowFirstColumn="0" w:firstRowLastColumn="0" w:lastRowFirstColumn="0" w:lastRowLastColumn="0"/>
            <w:tcW w:w="1980" w:type="dxa"/>
          </w:tcPr>
          <w:p w:rsidRPr="000C5E1E" w:rsidR="00963DAE" w:rsidP="00586AE9" w:rsidRDefault="00963DAE" w14:paraId="493A6165" w14:textId="1D75346E">
            <w:pPr>
              <w:spacing w:after="160" w:line="276" w:lineRule="auto"/>
              <w:rPr>
                <w:rFonts w:ascii="Verdana" w:hAnsi="Verdana"/>
                <w:sz w:val="18"/>
                <w:szCs w:val="18"/>
                <w:lang w:val="de-DE"/>
              </w:rPr>
            </w:pPr>
            <w:r w:rsidRPr="000C5E1E">
              <w:rPr>
                <w:rFonts w:ascii="Verdana" w:hAnsi="Verdana"/>
                <w:sz w:val="18"/>
                <w:szCs w:val="18"/>
                <w:lang w:val="de-DE"/>
              </w:rPr>
              <w:t>Reikwijdte (art. 3</w:t>
            </w:r>
            <w:r w:rsidRPr="000C5E1E" w:rsidR="009A7E93">
              <w:rPr>
                <w:rFonts w:ascii="Verdana" w:hAnsi="Verdana"/>
                <w:sz w:val="18"/>
                <w:szCs w:val="18"/>
                <w:lang w:val="de-DE"/>
              </w:rPr>
              <w:t xml:space="preserve"> AMLR</w:t>
            </w:r>
            <w:r w:rsidRPr="000C5E1E">
              <w:rPr>
                <w:rFonts w:ascii="Verdana" w:hAnsi="Verdana"/>
                <w:sz w:val="18"/>
                <w:szCs w:val="18"/>
                <w:lang w:val="de-DE"/>
              </w:rPr>
              <w:t>)</w:t>
            </w:r>
          </w:p>
        </w:tc>
        <w:tc>
          <w:tcPr>
            <w:tcW w:w="6946" w:type="dxa"/>
          </w:tcPr>
          <w:p w:rsidRPr="000C5E1E" w:rsidR="00766EB4" w:rsidP="00586AE9" w:rsidRDefault="00766EB4" w14:paraId="7706C844" w14:textId="6157EC19">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C5E1E">
              <w:rPr>
                <w:rFonts w:ascii="Verdana" w:hAnsi="Verdana"/>
                <w:sz w:val="18"/>
                <w:szCs w:val="18"/>
              </w:rPr>
              <w:t>De reikwijdte van sommige nieuwe categorieën instellingen is nog niet duidelijk afgebakend omdat deze nog niet gereguleerd zijn</w:t>
            </w:r>
            <w:r w:rsidR="00893250">
              <w:rPr>
                <w:rFonts w:ascii="Verdana" w:hAnsi="Verdana"/>
                <w:sz w:val="18"/>
                <w:szCs w:val="18"/>
              </w:rPr>
              <w:t>.</w:t>
            </w:r>
          </w:p>
          <w:p w:rsidRPr="000C5E1E" w:rsidR="00963DAE" w:rsidP="00586AE9" w:rsidRDefault="00766EB4" w14:paraId="15269110" w14:textId="437E0687">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C5E1E">
              <w:rPr>
                <w:rFonts w:ascii="Verdana" w:hAnsi="Verdana"/>
                <w:sz w:val="18"/>
                <w:szCs w:val="18"/>
              </w:rPr>
              <w:t xml:space="preserve">Om te voorkomen dat de groep onder het motto ‘better safe than sorry’ te breed wordt gedefinieerd, </w:t>
            </w:r>
            <w:r w:rsidR="00AD7699">
              <w:rPr>
                <w:rFonts w:ascii="Verdana" w:hAnsi="Verdana"/>
                <w:sz w:val="18"/>
                <w:szCs w:val="18"/>
              </w:rPr>
              <w:t>wordt gekoze</w:t>
            </w:r>
            <w:r w:rsidRPr="000C5E1E">
              <w:rPr>
                <w:rFonts w:ascii="Verdana" w:hAnsi="Verdana"/>
                <w:sz w:val="18"/>
                <w:szCs w:val="18"/>
              </w:rPr>
              <w:t xml:space="preserve">n voor een nauwe definitie, </w:t>
            </w:r>
            <w:r w:rsidR="00AD7699">
              <w:rPr>
                <w:rFonts w:ascii="Verdana" w:hAnsi="Verdana"/>
                <w:sz w:val="18"/>
                <w:szCs w:val="18"/>
              </w:rPr>
              <w:t xml:space="preserve">uiteraard </w:t>
            </w:r>
            <w:r w:rsidRPr="000C5E1E">
              <w:rPr>
                <w:rFonts w:ascii="Verdana" w:hAnsi="Verdana"/>
                <w:sz w:val="18"/>
                <w:szCs w:val="18"/>
              </w:rPr>
              <w:t xml:space="preserve">rekening houdend met witwasrisico’s. </w:t>
            </w:r>
          </w:p>
        </w:tc>
      </w:tr>
      <w:tr w:rsidRPr="00AD7699" w:rsidR="00963DAE" w:rsidTr="00586AE9" w14:paraId="24FCE22D" w14:textId="77777777">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980" w:type="dxa"/>
          </w:tcPr>
          <w:p w:rsidRPr="000C5E1E" w:rsidR="00963DAE" w:rsidP="00586AE9" w:rsidRDefault="00963DAE" w14:paraId="6FDB5F59" w14:textId="77777777">
            <w:pPr>
              <w:spacing w:line="276" w:lineRule="auto"/>
              <w:rPr>
                <w:rFonts w:ascii="Verdana" w:hAnsi="Verdana"/>
                <w:sz w:val="18"/>
                <w:szCs w:val="18"/>
                <w:lang w:val="de-DE"/>
              </w:rPr>
            </w:pPr>
            <w:r w:rsidRPr="000C5E1E">
              <w:rPr>
                <w:rFonts w:ascii="Verdana" w:hAnsi="Verdana"/>
                <w:sz w:val="18"/>
                <w:szCs w:val="18"/>
                <w:lang w:val="de-DE"/>
              </w:rPr>
              <w:t>Reikwijdte (art. 3 AMLR) i.c.m. hoofdzaakcriterium (art. 6, 7 AMLR)</w:t>
            </w:r>
          </w:p>
        </w:tc>
        <w:tc>
          <w:tcPr>
            <w:tcW w:w="6946" w:type="dxa"/>
          </w:tcPr>
          <w:p w:rsidRPr="000C5E1E" w:rsidR="00766EB4" w:rsidP="00586AE9" w:rsidRDefault="00766EB4" w14:paraId="5522EABC" w14:textId="0509784B">
            <w:pPr>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sz w:val="18"/>
                <w:szCs w:val="18"/>
              </w:rPr>
            </w:pPr>
            <w:r w:rsidRPr="000C5E1E">
              <w:rPr>
                <w:rFonts w:ascii="Verdana" w:hAnsi="Verdana" w:eastAsia="Times New Roman"/>
                <w:color w:val="000000"/>
                <w:sz w:val="18"/>
                <w:szCs w:val="18"/>
              </w:rPr>
              <w:t xml:space="preserve">Overige financiële instellingen (OFI’s), zoals bijvoorbeeld kluisverhuurders, maar ook reguliere diensten als vermogensbeheer, vallen alleen onder de Wwft als zij ‘in hoofdzaak’ onder de Wwft vallende diensten verrichten. </w:t>
            </w:r>
          </w:p>
          <w:p w:rsidRPr="000C5E1E" w:rsidR="00766EB4" w:rsidP="00586AE9" w:rsidRDefault="00766EB4" w14:paraId="379421D6" w14:textId="77777777">
            <w:pPr>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sz w:val="18"/>
                <w:szCs w:val="18"/>
              </w:rPr>
            </w:pPr>
            <w:r w:rsidRPr="000C5E1E">
              <w:rPr>
                <w:rFonts w:ascii="Verdana" w:hAnsi="Verdana" w:eastAsia="Times New Roman"/>
                <w:color w:val="000000"/>
                <w:sz w:val="18"/>
                <w:szCs w:val="18"/>
              </w:rPr>
              <w:t xml:space="preserve">De AMLR verplicht nu om dit hoofdzaakcriterium uit te werken per type instelling door voorgeschreven indicatoren zoals omzet en aantal transacties. </w:t>
            </w:r>
          </w:p>
          <w:p w:rsidRPr="000C5E1E" w:rsidR="00766EB4" w:rsidP="00586AE9" w:rsidRDefault="00766EB4" w14:paraId="48E2EC07" w14:textId="4330FACB">
            <w:pPr>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sz w:val="18"/>
                <w:szCs w:val="18"/>
              </w:rPr>
            </w:pPr>
            <w:r w:rsidRPr="000C5E1E">
              <w:rPr>
                <w:rFonts w:ascii="Verdana" w:hAnsi="Verdana" w:eastAsia="Times New Roman"/>
                <w:color w:val="000000"/>
                <w:sz w:val="18"/>
                <w:szCs w:val="18"/>
              </w:rPr>
              <w:t xml:space="preserve">Door de criteria zo nauw mogelijk te formuleren </w:t>
            </w:r>
            <w:r w:rsidR="00AD7699">
              <w:rPr>
                <w:rFonts w:ascii="Verdana" w:hAnsi="Verdana" w:eastAsia="Times New Roman"/>
                <w:color w:val="000000"/>
                <w:sz w:val="18"/>
                <w:szCs w:val="18"/>
              </w:rPr>
              <w:t xml:space="preserve">binnen de vereisten van de AMLR </w:t>
            </w:r>
            <w:r w:rsidRPr="000C5E1E">
              <w:rPr>
                <w:rFonts w:ascii="Verdana" w:hAnsi="Verdana" w:eastAsia="Times New Roman"/>
                <w:color w:val="000000"/>
                <w:sz w:val="18"/>
                <w:szCs w:val="18"/>
              </w:rPr>
              <w:t xml:space="preserve">is de groep instellingen die er onder valt kleiner. </w:t>
            </w:r>
          </w:p>
          <w:p w:rsidRPr="000C5E1E" w:rsidR="00963DAE" w:rsidP="00586AE9" w:rsidRDefault="00766EB4" w14:paraId="69E583C4" w14:textId="5CEC23EA">
            <w:pPr>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C5E1E">
              <w:rPr>
                <w:rFonts w:ascii="Verdana" w:hAnsi="Verdana" w:eastAsia="Times New Roman"/>
                <w:color w:val="000000"/>
                <w:sz w:val="18"/>
                <w:szCs w:val="18"/>
              </w:rPr>
              <w:t>Dit sluit aan bij bestaande praktijk en betreft over het algemeen laagrisico</w:t>
            </w:r>
            <w:r w:rsidR="00A6073F">
              <w:rPr>
                <w:rFonts w:ascii="Verdana" w:hAnsi="Verdana" w:eastAsia="Times New Roman"/>
                <w:color w:val="000000"/>
                <w:sz w:val="18"/>
                <w:szCs w:val="18"/>
              </w:rPr>
              <w:t>-</w:t>
            </w:r>
            <w:r w:rsidRPr="000C5E1E">
              <w:rPr>
                <w:rFonts w:ascii="Verdana" w:hAnsi="Verdana" w:eastAsia="Times New Roman"/>
                <w:color w:val="000000"/>
                <w:sz w:val="18"/>
                <w:szCs w:val="18"/>
              </w:rPr>
              <w:t>entiteiten.</w:t>
            </w:r>
          </w:p>
        </w:tc>
      </w:tr>
      <w:tr w:rsidRPr="00AD7699" w:rsidR="00963DAE" w:rsidTr="00586AE9" w14:paraId="64E0EEB2" w14:textId="77777777">
        <w:trPr>
          <w:trHeight w:val="724"/>
        </w:trPr>
        <w:tc>
          <w:tcPr>
            <w:cnfStyle w:val="001000000000" w:firstRow="0" w:lastRow="0" w:firstColumn="1" w:lastColumn="0" w:oddVBand="0" w:evenVBand="0" w:oddHBand="0" w:evenHBand="0" w:firstRowFirstColumn="0" w:firstRowLastColumn="0" w:lastRowFirstColumn="0" w:lastRowLastColumn="0"/>
            <w:tcW w:w="1980" w:type="dxa"/>
          </w:tcPr>
          <w:p w:rsidRPr="000C5E1E" w:rsidR="00963DAE" w:rsidP="00586AE9" w:rsidRDefault="00963DAE" w14:paraId="147DA860" w14:textId="77777777">
            <w:pPr>
              <w:spacing w:after="160" w:line="276" w:lineRule="auto"/>
              <w:rPr>
                <w:rFonts w:ascii="Verdana" w:hAnsi="Verdana"/>
                <w:sz w:val="18"/>
                <w:szCs w:val="18"/>
              </w:rPr>
            </w:pPr>
            <w:r w:rsidRPr="000C5E1E">
              <w:rPr>
                <w:rFonts w:ascii="Verdana" w:hAnsi="Verdana"/>
                <w:sz w:val="18"/>
                <w:szCs w:val="18"/>
              </w:rPr>
              <w:t>Reikwijdte trust (art. 3 i.c.m. definitie AMLR)</w:t>
            </w:r>
          </w:p>
        </w:tc>
        <w:tc>
          <w:tcPr>
            <w:tcW w:w="6946" w:type="dxa"/>
          </w:tcPr>
          <w:p w:rsidRPr="000C5E1E" w:rsidR="00766EB4" w:rsidP="00586AE9" w:rsidRDefault="00766EB4" w14:paraId="36CBF097" w14:textId="31F0649A">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sz w:val="18"/>
                <w:szCs w:val="18"/>
              </w:rPr>
            </w:pPr>
            <w:r w:rsidRPr="000C5E1E">
              <w:rPr>
                <w:rFonts w:ascii="Verdana" w:hAnsi="Verdana" w:eastAsia="Times New Roman"/>
                <w:sz w:val="18"/>
                <w:szCs w:val="18"/>
              </w:rPr>
              <w:t>De huidige nationale trustregelgeving kent verschillende vrijstellingen voor diensten die juridisch voldoen aan trustdienstverlening. De vrijstellingen bestaan omdat deze diensten op een andere manier gedekt worden</w:t>
            </w:r>
            <w:r w:rsidR="00A6073F">
              <w:rPr>
                <w:rFonts w:ascii="Verdana" w:hAnsi="Verdana" w:eastAsia="Times New Roman"/>
                <w:sz w:val="18"/>
                <w:szCs w:val="18"/>
              </w:rPr>
              <w:t xml:space="preserve"> </w:t>
            </w:r>
            <w:r w:rsidRPr="000C5E1E">
              <w:rPr>
                <w:rFonts w:ascii="Verdana" w:hAnsi="Verdana" w:eastAsia="Times New Roman"/>
                <w:sz w:val="18"/>
                <w:szCs w:val="18"/>
              </w:rPr>
              <w:t xml:space="preserve">of </w:t>
            </w:r>
            <w:r w:rsidR="00A6073F">
              <w:rPr>
                <w:rFonts w:ascii="Verdana" w:hAnsi="Verdana" w:eastAsia="Times New Roman"/>
                <w:sz w:val="18"/>
                <w:szCs w:val="18"/>
              </w:rPr>
              <w:t>om</w:t>
            </w:r>
            <w:r w:rsidRPr="000C5E1E">
              <w:rPr>
                <w:rFonts w:ascii="Verdana" w:hAnsi="Verdana" w:eastAsia="Times New Roman"/>
                <w:sz w:val="18"/>
                <w:szCs w:val="18"/>
              </w:rPr>
              <w:t>dat ze niet onder trustregelgeving moeten vallen.</w:t>
            </w:r>
          </w:p>
          <w:p w:rsidRPr="000C5E1E" w:rsidR="00B365ED" w:rsidP="00586AE9" w:rsidRDefault="00766EB4" w14:paraId="6755E28B" w14:textId="2C5620A4">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C5E1E">
              <w:rPr>
                <w:rFonts w:ascii="Verdana" w:hAnsi="Verdana" w:eastAsia="Times New Roman"/>
                <w:sz w:val="18"/>
                <w:szCs w:val="18"/>
              </w:rPr>
              <w:t xml:space="preserve">Bij de implementatie wordt onderzocht hoe </w:t>
            </w:r>
            <w:r w:rsidR="00AD7699">
              <w:rPr>
                <w:rFonts w:ascii="Verdana" w:hAnsi="Verdana" w:eastAsia="Times New Roman"/>
                <w:sz w:val="18"/>
                <w:szCs w:val="18"/>
              </w:rPr>
              <w:t xml:space="preserve">voorkomen wordt dat </w:t>
            </w:r>
            <w:r w:rsidRPr="000C5E1E">
              <w:rPr>
                <w:rFonts w:ascii="Verdana" w:hAnsi="Verdana" w:eastAsia="Times New Roman"/>
                <w:sz w:val="18"/>
                <w:szCs w:val="18"/>
              </w:rPr>
              <w:t>laa</w:t>
            </w:r>
            <w:r w:rsidR="00A6073F">
              <w:rPr>
                <w:rFonts w:ascii="Verdana" w:hAnsi="Verdana" w:eastAsia="Times New Roman"/>
                <w:sz w:val="18"/>
                <w:szCs w:val="18"/>
              </w:rPr>
              <w:t>g</w:t>
            </w:r>
            <w:r w:rsidRPr="000C5E1E">
              <w:rPr>
                <w:rFonts w:ascii="Verdana" w:hAnsi="Verdana" w:eastAsia="Times New Roman"/>
                <w:sz w:val="18"/>
                <w:szCs w:val="18"/>
              </w:rPr>
              <w:t>risico</w:t>
            </w:r>
            <w:r w:rsidR="00A6073F">
              <w:rPr>
                <w:rFonts w:ascii="Verdana" w:hAnsi="Verdana" w:eastAsia="Times New Roman"/>
                <w:sz w:val="18"/>
                <w:szCs w:val="18"/>
              </w:rPr>
              <w:t>-i</w:t>
            </w:r>
            <w:r w:rsidRPr="000C5E1E">
              <w:rPr>
                <w:rFonts w:ascii="Verdana" w:hAnsi="Verdana" w:eastAsia="Times New Roman"/>
                <w:sz w:val="18"/>
                <w:szCs w:val="18"/>
              </w:rPr>
              <w:t>nstellingen zoals VvE-beheerders, stichting administratiekantoren en andere vennootschappen die een laag of geen risico vormen met onnodige lasten worden geconfronteerd</w:t>
            </w:r>
            <w:r w:rsidR="002F37BE">
              <w:rPr>
                <w:rFonts w:ascii="Verdana" w:hAnsi="Verdana" w:eastAsia="Times New Roman"/>
                <w:sz w:val="18"/>
                <w:szCs w:val="18"/>
              </w:rPr>
              <w:t xml:space="preserve"> door als trustdienst te worden gekwalificeerd</w:t>
            </w:r>
            <w:r w:rsidRPr="000C5E1E">
              <w:rPr>
                <w:rFonts w:ascii="Verdana" w:hAnsi="Verdana" w:eastAsia="Times New Roman"/>
                <w:sz w:val="18"/>
                <w:szCs w:val="18"/>
              </w:rPr>
              <w:t>.</w:t>
            </w:r>
          </w:p>
        </w:tc>
      </w:tr>
      <w:tr w:rsidRPr="00AD7699" w:rsidR="00963DAE" w:rsidTr="00963DAE" w14:paraId="2A96BD19" w14:textId="77777777">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8926" w:type="dxa"/>
            <w:gridSpan w:val="2"/>
          </w:tcPr>
          <w:p w:rsidRPr="000C5E1E" w:rsidR="00963DAE" w:rsidP="00586AE9" w:rsidRDefault="00963DAE" w14:paraId="31371E6B" w14:textId="400E9F8E">
            <w:pPr>
              <w:spacing w:after="160" w:line="276" w:lineRule="auto"/>
              <w:rPr>
                <w:rFonts w:ascii="Verdana" w:hAnsi="Verdana"/>
                <w:sz w:val="18"/>
                <w:szCs w:val="18"/>
              </w:rPr>
            </w:pPr>
            <w:r w:rsidRPr="000C5E1E">
              <w:rPr>
                <w:rFonts w:ascii="Verdana" w:hAnsi="Verdana"/>
                <w:sz w:val="18"/>
                <w:szCs w:val="18"/>
              </w:rPr>
              <w:t>Nieuwe verplichtingen die zo lastenluw mogelijk kunnen worden geïmplementeerd</w:t>
            </w:r>
          </w:p>
        </w:tc>
      </w:tr>
      <w:tr w:rsidRPr="00AD7699" w:rsidR="00963DAE" w:rsidTr="00586AE9" w14:paraId="588F9DC6" w14:textId="77777777">
        <w:trPr>
          <w:trHeight w:val="676"/>
        </w:trPr>
        <w:tc>
          <w:tcPr>
            <w:cnfStyle w:val="001000000000" w:firstRow="0" w:lastRow="0" w:firstColumn="1" w:lastColumn="0" w:oddVBand="0" w:evenVBand="0" w:oddHBand="0" w:evenHBand="0" w:firstRowFirstColumn="0" w:firstRowLastColumn="0" w:lastRowFirstColumn="0" w:lastRowLastColumn="0"/>
            <w:tcW w:w="1980" w:type="dxa"/>
          </w:tcPr>
          <w:p w:rsidRPr="000C5E1E" w:rsidR="00963DAE" w:rsidP="00586AE9" w:rsidRDefault="00963DAE" w14:paraId="73E133D5" w14:textId="77777777">
            <w:pPr>
              <w:spacing w:line="276" w:lineRule="auto"/>
              <w:rPr>
                <w:rFonts w:ascii="Verdana" w:hAnsi="Verdana"/>
                <w:sz w:val="18"/>
                <w:szCs w:val="18"/>
              </w:rPr>
            </w:pPr>
            <w:r w:rsidRPr="000C5E1E">
              <w:rPr>
                <w:rFonts w:ascii="Verdana" w:hAnsi="Verdana"/>
                <w:sz w:val="18"/>
                <w:szCs w:val="18"/>
              </w:rPr>
              <w:t>Registratieplicht overige</w:t>
            </w:r>
          </w:p>
          <w:p w:rsidRPr="000C5E1E" w:rsidR="00963DAE" w:rsidP="00586AE9" w:rsidRDefault="00963DAE" w14:paraId="218E64B9" w14:textId="77777777">
            <w:pPr>
              <w:spacing w:line="276" w:lineRule="auto"/>
              <w:rPr>
                <w:rFonts w:ascii="Verdana" w:hAnsi="Verdana"/>
                <w:sz w:val="18"/>
                <w:szCs w:val="18"/>
              </w:rPr>
            </w:pPr>
            <w:r w:rsidRPr="000C5E1E">
              <w:rPr>
                <w:rFonts w:ascii="Verdana" w:hAnsi="Verdana"/>
                <w:sz w:val="18"/>
                <w:szCs w:val="18"/>
              </w:rPr>
              <w:t>instellingen (art. 4 lid 3 AMLD en overweging 8)</w:t>
            </w:r>
          </w:p>
        </w:tc>
        <w:tc>
          <w:tcPr>
            <w:tcW w:w="6946" w:type="dxa"/>
          </w:tcPr>
          <w:p w:rsidRPr="000C5E1E" w:rsidR="00766EB4" w:rsidP="00586AE9" w:rsidRDefault="00766EB4" w14:paraId="5193C74E" w14:textId="7AA7AA91">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sz w:val="18"/>
                <w:szCs w:val="18"/>
              </w:rPr>
            </w:pPr>
            <w:r w:rsidRPr="000C5E1E">
              <w:rPr>
                <w:rFonts w:ascii="Verdana" w:hAnsi="Verdana" w:eastAsia="Times New Roman"/>
                <w:sz w:val="18"/>
                <w:szCs w:val="18"/>
              </w:rPr>
              <w:t>AMLD6 verplicht dat poortwachters op een manier geregistreerd moeten zijn zodat toezichthouders zicht hebben om de totale omvang van de populatie (d</w:t>
            </w:r>
            <w:r w:rsidR="00AD7699">
              <w:rPr>
                <w:rFonts w:ascii="Verdana" w:hAnsi="Verdana" w:eastAsia="Times New Roman"/>
                <w:sz w:val="18"/>
                <w:szCs w:val="18"/>
              </w:rPr>
              <w:t>it is een d</w:t>
            </w:r>
            <w:r w:rsidRPr="000C5E1E">
              <w:rPr>
                <w:rFonts w:ascii="Verdana" w:hAnsi="Verdana" w:eastAsia="Times New Roman"/>
                <w:sz w:val="18"/>
                <w:szCs w:val="18"/>
              </w:rPr>
              <w:t>oelbepaling).</w:t>
            </w:r>
          </w:p>
          <w:p w:rsidRPr="000C5E1E" w:rsidR="00766EB4" w:rsidP="00586AE9" w:rsidRDefault="00766EB4" w14:paraId="2D51CE6F" w14:textId="36744709">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sz w:val="18"/>
                <w:szCs w:val="18"/>
              </w:rPr>
            </w:pPr>
            <w:r w:rsidRPr="000C5E1E">
              <w:rPr>
                <w:rFonts w:ascii="Verdana" w:hAnsi="Verdana" w:eastAsia="Times New Roman"/>
                <w:sz w:val="18"/>
                <w:szCs w:val="18"/>
              </w:rPr>
              <w:t>Een registratie</w:t>
            </w:r>
            <w:r w:rsidR="00A6073F">
              <w:rPr>
                <w:rFonts w:ascii="Verdana" w:hAnsi="Verdana" w:eastAsia="Times New Roman"/>
                <w:sz w:val="18"/>
                <w:szCs w:val="18"/>
              </w:rPr>
              <w:t xml:space="preserve">- </w:t>
            </w:r>
            <w:r w:rsidRPr="000C5E1E">
              <w:rPr>
                <w:rFonts w:ascii="Verdana" w:hAnsi="Verdana" w:eastAsia="Times New Roman"/>
                <w:sz w:val="18"/>
                <w:szCs w:val="18"/>
              </w:rPr>
              <w:t>of meldingsplicht zou dit het meest effectief adresseren</w:t>
            </w:r>
            <w:r w:rsidR="00AD7699">
              <w:rPr>
                <w:rFonts w:ascii="Verdana" w:hAnsi="Verdana" w:eastAsia="Times New Roman"/>
                <w:sz w:val="18"/>
                <w:szCs w:val="18"/>
              </w:rPr>
              <w:t>. Voor toezichthouders zou dit ook praktisch zijn.</w:t>
            </w:r>
            <w:r w:rsidRPr="000C5E1E">
              <w:rPr>
                <w:rFonts w:ascii="Verdana" w:hAnsi="Verdana" w:eastAsia="Times New Roman"/>
                <w:sz w:val="18"/>
                <w:szCs w:val="18"/>
              </w:rPr>
              <w:t xml:space="preserve"> </w:t>
            </w:r>
          </w:p>
          <w:p w:rsidRPr="000C5E1E" w:rsidR="00766EB4" w:rsidP="00586AE9" w:rsidRDefault="00766EB4" w14:paraId="36693CA9" w14:textId="77777777">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sz w:val="18"/>
                <w:szCs w:val="18"/>
              </w:rPr>
            </w:pPr>
            <w:r w:rsidRPr="000C5E1E">
              <w:rPr>
                <w:rFonts w:ascii="Verdana" w:hAnsi="Verdana" w:eastAsia="Times New Roman"/>
                <w:sz w:val="18"/>
                <w:szCs w:val="18"/>
              </w:rPr>
              <w:t>Nieuwe registers zouden een aanzienlijke lastenverzwaring voor ongereguleerde en veelal kleine, onprofessionele poortwachters inhouden.</w:t>
            </w:r>
          </w:p>
          <w:p w:rsidRPr="000C5E1E" w:rsidR="00963DAE" w:rsidP="00586AE9" w:rsidRDefault="00586AE9" w14:paraId="273C8A3A" w14:textId="4C60B5E9">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eastAsia="Times New Roman"/>
                <w:sz w:val="18"/>
                <w:szCs w:val="18"/>
              </w:rPr>
              <w:t>Het kabinet</w:t>
            </w:r>
            <w:r w:rsidR="00293DB7">
              <w:rPr>
                <w:rFonts w:ascii="Verdana" w:hAnsi="Verdana" w:eastAsia="Times New Roman"/>
                <w:sz w:val="18"/>
                <w:szCs w:val="18"/>
              </w:rPr>
              <w:t xml:space="preserve"> zet in</w:t>
            </w:r>
            <w:r w:rsidRPr="000C5E1E" w:rsidR="00766EB4">
              <w:rPr>
                <w:rFonts w:ascii="Verdana" w:hAnsi="Verdana" w:eastAsia="Times New Roman"/>
                <w:sz w:val="18"/>
                <w:szCs w:val="18"/>
              </w:rPr>
              <w:t xml:space="preserve"> op het beter bruikbaar maken van </w:t>
            </w:r>
            <w:r w:rsidRPr="00893250" w:rsidR="00766EB4">
              <w:rPr>
                <w:rFonts w:ascii="Verdana" w:hAnsi="Verdana" w:eastAsia="Times New Roman"/>
                <w:sz w:val="18"/>
                <w:szCs w:val="18"/>
              </w:rPr>
              <w:t>SBI</w:t>
            </w:r>
            <w:r w:rsidRPr="00893250" w:rsidR="00893250">
              <w:rPr>
                <w:rFonts w:ascii="Verdana" w:hAnsi="Verdana" w:eastAsia="Times New Roman"/>
                <w:sz w:val="18"/>
                <w:szCs w:val="18"/>
              </w:rPr>
              <w:t>-</w:t>
            </w:r>
            <w:r w:rsidRPr="00893250" w:rsidR="00766EB4">
              <w:rPr>
                <w:rFonts w:ascii="Verdana" w:hAnsi="Verdana" w:eastAsia="Times New Roman"/>
                <w:sz w:val="18"/>
                <w:szCs w:val="18"/>
              </w:rPr>
              <w:t>codes</w:t>
            </w:r>
            <w:r w:rsidRPr="000C5E1E" w:rsidR="00766EB4">
              <w:rPr>
                <w:rFonts w:ascii="Verdana" w:hAnsi="Verdana" w:eastAsia="Times New Roman"/>
                <w:sz w:val="18"/>
                <w:szCs w:val="18"/>
              </w:rPr>
              <w:t xml:space="preserve"> van de KvK, als invulling van deze verplichting.</w:t>
            </w:r>
          </w:p>
        </w:tc>
      </w:tr>
      <w:tr w:rsidRPr="00AD7699" w:rsidR="00963DAE" w:rsidTr="00586AE9" w14:paraId="6AE84788" w14:textId="77777777">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1980" w:type="dxa"/>
          </w:tcPr>
          <w:p w:rsidRPr="000C5E1E" w:rsidR="00963DAE" w:rsidP="00586AE9" w:rsidRDefault="00963DAE" w14:paraId="18A49271" w14:textId="77777777">
            <w:pPr>
              <w:spacing w:after="160" w:line="276" w:lineRule="auto"/>
              <w:rPr>
                <w:rFonts w:ascii="Verdana" w:hAnsi="Verdana"/>
                <w:sz w:val="18"/>
                <w:szCs w:val="18"/>
              </w:rPr>
            </w:pPr>
            <w:r w:rsidRPr="000C5E1E">
              <w:rPr>
                <w:rFonts w:ascii="Verdana" w:hAnsi="Verdana"/>
                <w:sz w:val="18"/>
                <w:szCs w:val="18"/>
              </w:rPr>
              <w:t>Controles hoger leidinggevend personeel (art. 6 AMLD)</w:t>
            </w:r>
          </w:p>
        </w:tc>
        <w:tc>
          <w:tcPr>
            <w:tcW w:w="6946" w:type="dxa"/>
          </w:tcPr>
          <w:p w:rsidRPr="000C5E1E" w:rsidR="00766EB4" w:rsidP="00586AE9" w:rsidRDefault="00766EB4" w14:paraId="00B6DB34" w14:textId="3798D807">
            <w:pPr>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sz w:val="18"/>
                <w:szCs w:val="18"/>
              </w:rPr>
            </w:pPr>
            <w:r w:rsidRPr="000C5E1E">
              <w:rPr>
                <w:rFonts w:ascii="Verdana" w:hAnsi="Verdana" w:eastAsia="Times New Roman"/>
                <w:color w:val="000000"/>
                <w:sz w:val="18"/>
                <w:szCs w:val="18"/>
              </w:rPr>
              <w:t xml:space="preserve">AMLD schrijft een vorm van </w:t>
            </w:r>
            <w:r w:rsidR="00AD7699">
              <w:rPr>
                <w:rFonts w:ascii="Verdana" w:hAnsi="Verdana" w:eastAsia="Times New Roman"/>
                <w:color w:val="000000"/>
                <w:sz w:val="18"/>
                <w:szCs w:val="18"/>
              </w:rPr>
              <w:t>betrouwbaarheid</w:t>
            </w:r>
            <w:r w:rsidR="00A6073F">
              <w:rPr>
                <w:rFonts w:ascii="Verdana" w:hAnsi="Verdana" w:eastAsia="Times New Roman"/>
                <w:color w:val="000000"/>
                <w:sz w:val="18"/>
                <w:szCs w:val="18"/>
              </w:rPr>
              <w:t>s-</w:t>
            </w:r>
            <w:r w:rsidR="00AD7699">
              <w:rPr>
                <w:rFonts w:ascii="Verdana" w:hAnsi="Verdana" w:eastAsia="Times New Roman"/>
                <w:color w:val="000000"/>
                <w:sz w:val="18"/>
                <w:szCs w:val="18"/>
              </w:rPr>
              <w:t xml:space="preserve"> en geschiktheid</w:t>
            </w:r>
            <w:r w:rsidR="00A6073F">
              <w:rPr>
                <w:rFonts w:ascii="Verdana" w:hAnsi="Verdana" w:eastAsia="Times New Roman"/>
                <w:color w:val="000000"/>
                <w:sz w:val="18"/>
                <w:szCs w:val="18"/>
              </w:rPr>
              <w:t>s</w:t>
            </w:r>
            <w:r w:rsidRPr="000C5E1E">
              <w:rPr>
                <w:rFonts w:ascii="Verdana" w:hAnsi="Verdana" w:eastAsia="Times New Roman"/>
                <w:color w:val="000000"/>
                <w:sz w:val="18"/>
                <w:szCs w:val="18"/>
              </w:rPr>
              <w:t xml:space="preserve">toetsing van hoger leidinggevend personeel voor. Dit is voor veel niet-financiële instellingen nieuw en dus een lastenverzwaring. </w:t>
            </w:r>
          </w:p>
          <w:p w:rsidRPr="000C5E1E" w:rsidR="00963DAE" w:rsidP="00586AE9" w:rsidRDefault="00766EB4" w14:paraId="25E55B32" w14:textId="73081503">
            <w:pPr>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C5E1E">
              <w:rPr>
                <w:rFonts w:ascii="Verdana" w:hAnsi="Verdana" w:eastAsia="Times New Roman"/>
                <w:color w:val="000000"/>
                <w:sz w:val="18"/>
                <w:szCs w:val="18"/>
              </w:rPr>
              <w:t xml:space="preserve">Voor hen </w:t>
            </w:r>
            <w:r w:rsidR="00293DB7">
              <w:rPr>
                <w:rFonts w:ascii="Verdana" w:hAnsi="Verdana" w:eastAsia="Times New Roman"/>
                <w:color w:val="000000"/>
                <w:sz w:val="18"/>
                <w:szCs w:val="18"/>
              </w:rPr>
              <w:t>wordt ingezet</w:t>
            </w:r>
            <w:r w:rsidRPr="000C5E1E">
              <w:rPr>
                <w:rFonts w:ascii="Verdana" w:hAnsi="Verdana" w:eastAsia="Times New Roman"/>
                <w:color w:val="000000"/>
                <w:sz w:val="18"/>
                <w:szCs w:val="18"/>
              </w:rPr>
              <w:t xml:space="preserve"> op toetsing</w:t>
            </w:r>
            <w:r w:rsidR="00AD7699">
              <w:rPr>
                <w:rFonts w:ascii="Verdana" w:hAnsi="Verdana" w:eastAsia="Times New Roman"/>
                <w:color w:val="000000"/>
                <w:sz w:val="18"/>
                <w:szCs w:val="18"/>
              </w:rPr>
              <w:t xml:space="preserve"> achteraf</w:t>
            </w:r>
            <w:r w:rsidRPr="000C5E1E">
              <w:rPr>
                <w:rFonts w:ascii="Verdana" w:hAnsi="Verdana" w:eastAsia="Times New Roman"/>
                <w:color w:val="000000"/>
                <w:sz w:val="18"/>
                <w:szCs w:val="18"/>
              </w:rPr>
              <w:t>, waarbij toezichthouders voornamelijk signaalgestuurd gaan werken en niet elke leidinggevende van elke poortwachter</w:t>
            </w:r>
            <w:r w:rsidR="00AD7699">
              <w:rPr>
                <w:rFonts w:ascii="Verdana" w:hAnsi="Verdana" w:eastAsia="Times New Roman"/>
                <w:color w:val="000000"/>
                <w:sz w:val="18"/>
                <w:szCs w:val="18"/>
              </w:rPr>
              <w:t xml:space="preserve"> vooraf</w:t>
            </w:r>
            <w:r w:rsidRPr="000C5E1E">
              <w:rPr>
                <w:rFonts w:ascii="Verdana" w:hAnsi="Verdana" w:eastAsia="Times New Roman"/>
                <w:color w:val="000000"/>
                <w:sz w:val="18"/>
                <w:szCs w:val="18"/>
              </w:rPr>
              <w:t xml:space="preserve"> getoetst hoeft te worden.</w:t>
            </w:r>
          </w:p>
        </w:tc>
      </w:tr>
      <w:tr w:rsidRPr="00AD7699" w:rsidR="00963DAE" w:rsidTr="00586AE9" w14:paraId="5ED02A30" w14:textId="77777777">
        <w:trPr>
          <w:trHeight w:val="676"/>
        </w:trPr>
        <w:tc>
          <w:tcPr>
            <w:cnfStyle w:val="001000000000" w:firstRow="0" w:lastRow="0" w:firstColumn="1" w:lastColumn="0" w:oddVBand="0" w:evenVBand="0" w:oddHBand="0" w:evenHBand="0" w:firstRowFirstColumn="0" w:firstRowLastColumn="0" w:lastRowFirstColumn="0" w:lastRowLastColumn="0"/>
            <w:tcW w:w="1980" w:type="dxa"/>
          </w:tcPr>
          <w:p w:rsidRPr="000C5E1E" w:rsidR="00963DAE" w:rsidP="00586AE9" w:rsidRDefault="00963DAE" w14:paraId="6C0D195A" w14:textId="77777777">
            <w:pPr>
              <w:spacing w:after="160" w:line="276" w:lineRule="auto"/>
              <w:rPr>
                <w:rFonts w:ascii="Verdana" w:hAnsi="Verdana"/>
                <w:sz w:val="18"/>
                <w:szCs w:val="18"/>
              </w:rPr>
            </w:pPr>
            <w:r w:rsidRPr="000C5E1E">
              <w:rPr>
                <w:rFonts w:ascii="Verdana" w:hAnsi="Verdana"/>
                <w:sz w:val="18"/>
                <w:szCs w:val="18"/>
              </w:rPr>
              <w:t>Centraal contactpunt (art. 41 AMLD)</w:t>
            </w:r>
          </w:p>
        </w:tc>
        <w:tc>
          <w:tcPr>
            <w:tcW w:w="6946" w:type="dxa"/>
          </w:tcPr>
          <w:p w:rsidRPr="000C5E1E" w:rsidR="00766EB4" w:rsidP="00586AE9" w:rsidRDefault="00766EB4" w14:paraId="5D08C3AF" w14:textId="77777777">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sz w:val="18"/>
                <w:szCs w:val="18"/>
              </w:rPr>
            </w:pPr>
            <w:r w:rsidRPr="000C5E1E">
              <w:rPr>
                <w:rFonts w:ascii="Verdana" w:hAnsi="Verdana" w:eastAsia="Times New Roman"/>
                <w:sz w:val="18"/>
                <w:szCs w:val="18"/>
              </w:rPr>
              <w:t xml:space="preserve">Lidstaten kunnen bepaalde dienstverleners die o.g.v. vrij verkeer van diensten actief zijn in NL (en dus geen fysieke aanwezigheid hebben) verplichten een centraal contactpunt in NL aan te stellen. </w:t>
            </w:r>
          </w:p>
          <w:p w:rsidRPr="000C5E1E" w:rsidR="00963DAE" w:rsidP="00586AE9" w:rsidRDefault="00766EB4" w14:paraId="05D53147" w14:textId="69DC47DA">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C5E1E">
              <w:rPr>
                <w:rFonts w:ascii="Verdana" w:hAnsi="Verdana" w:eastAsia="Times New Roman"/>
                <w:sz w:val="18"/>
                <w:szCs w:val="18"/>
              </w:rPr>
              <w:lastRenderedPageBreak/>
              <w:t xml:space="preserve">In lijn met huidige implementatie Wwft </w:t>
            </w:r>
            <w:r w:rsidR="00CD43A1">
              <w:rPr>
                <w:rFonts w:ascii="Verdana" w:hAnsi="Verdana" w:eastAsia="Times New Roman"/>
                <w:sz w:val="18"/>
                <w:szCs w:val="18"/>
              </w:rPr>
              <w:t>willen</w:t>
            </w:r>
            <w:r w:rsidRPr="000C5E1E">
              <w:rPr>
                <w:rFonts w:ascii="Verdana" w:hAnsi="Verdana" w:eastAsia="Times New Roman"/>
                <w:sz w:val="18"/>
                <w:szCs w:val="18"/>
              </w:rPr>
              <w:t xml:space="preserve"> we deze lidstaatoptie implementeren als bevoegdheid voor de toezichthouders, om te voorkomen dat elke instelling ex ante een dergelijk contactpunt moet aanstellen. Een toezichthouder kan dit dan wel eisen per instelling</w:t>
            </w:r>
            <w:r w:rsidR="00AD7699">
              <w:rPr>
                <w:rFonts w:ascii="Verdana" w:hAnsi="Verdana" w:eastAsia="Times New Roman"/>
                <w:sz w:val="18"/>
                <w:szCs w:val="18"/>
              </w:rPr>
              <w:t xml:space="preserve">, als er sprake is van risico’s waardoor een dergelijke eis wenselijk is. </w:t>
            </w:r>
          </w:p>
        </w:tc>
      </w:tr>
      <w:tr w:rsidRPr="00AD7699" w:rsidR="00B365ED" w:rsidTr="00B365ED" w14:paraId="71FF98F7" w14:textId="7777777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8926" w:type="dxa"/>
            <w:gridSpan w:val="2"/>
          </w:tcPr>
          <w:p w:rsidRPr="000C5E1E" w:rsidR="00B365ED" w:rsidP="00586AE9" w:rsidRDefault="00B365ED" w14:paraId="623DA569" w14:textId="794B99F7">
            <w:pPr>
              <w:spacing w:after="160" w:line="276" w:lineRule="auto"/>
              <w:rPr>
                <w:rFonts w:ascii="Verdana" w:hAnsi="Verdana"/>
                <w:sz w:val="18"/>
                <w:szCs w:val="18"/>
              </w:rPr>
            </w:pPr>
            <w:r w:rsidRPr="000C5E1E">
              <w:rPr>
                <w:rFonts w:ascii="Verdana" w:hAnsi="Verdana"/>
                <w:sz w:val="18"/>
                <w:szCs w:val="18"/>
              </w:rPr>
              <w:lastRenderedPageBreak/>
              <w:t>Keuzes om ruimte van het AML-pakket beleidsmatig te benutten</w:t>
            </w:r>
          </w:p>
        </w:tc>
      </w:tr>
      <w:tr w:rsidRPr="00AD7699" w:rsidR="00963DAE" w:rsidTr="00586AE9" w14:paraId="1E12D726" w14:textId="77777777">
        <w:trPr>
          <w:trHeight w:val="676"/>
        </w:trPr>
        <w:tc>
          <w:tcPr>
            <w:cnfStyle w:val="001000000000" w:firstRow="0" w:lastRow="0" w:firstColumn="1" w:lastColumn="0" w:oddVBand="0" w:evenVBand="0" w:oddHBand="0" w:evenHBand="0" w:firstRowFirstColumn="0" w:firstRowLastColumn="0" w:lastRowFirstColumn="0" w:lastRowLastColumn="0"/>
            <w:tcW w:w="1980" w:type="dxa"/>
          </w:tcPr>
          <w:p w:rsidRPr="000C5E1E" w:rsidR="00963DAE" w:rsidP="00586AE9" w:rsidRDefault="00963DAE" w14:paraId="759C242D" w14:textId="5848C986">
            <w:pPr>
              <w:spacing w:after="160" w:line="276" w:lineRule="auto"/>
              <w:rPr>
                <w:rFonts w:ascii="Verdana" w:hAnsi="Verdana"/>
                <w:sz w:val="18"/>
                <w:szCs w:val="18"/>
              </w:rPr>
            </w:pPr>
            <w:r w:rsidRPr="000C5E1E">
              <w:rPr>
                <w:rFonts w:ascii="Verdana" w:hAnsi="Verdana"/>
                <w:sz w:val="18"/>
                <w:szCs w:val="18"/>
              </w:rPr>
              <w:t>Overgang melding ongebruikelijke</w:t>
            </w:r>
            <w:r w:rsidRPr="000C5E1E" w:rsidR="005D0BBA">
              <w:rPr>
                <w:rFonts w:ascii="Verdana" w:hAnsi="Verdana"/>
                <w:sz w:val="18"/>
                <w:szCs w:val="18"/>
              </w:rPr>
              <w:t xml:space="preserve"> (OT)</w:t>
            </w:r>
            <w:r w:rsidRPr="000C5E1E">
              <w:rPr>
                <w:rFonts w:ascii="Verdana" w:hAnsi="Verdana"/>
                <w:sz w:val="18"/>
                <w:szCs w:val="18"/>
              </w:rPr>
              <w:t xml:space="preserve"> naar Verdachte transacties</w:t>
            </w:r>
            <w:r w:rsidRPr="000C5E1E" w:rsidR="005D0BBA">
              <w:rPr>
                <w:rFonts w:ascii="Verdana" w:hAnsi="Verdana"/>
                <w:sz w:val="18"/>
                <w:szCs w:val="18"/>
              </w:rPr>
              <w:t xml:space="preserve"> (VT)</w:t>
            </w:r>
          </w:p>
        </w:tc>
        <w:tc>
          <w:tcPr>
            <w:tcW w:w="6946" w:type="dxa"/>
          </w:tcPr>
          <w:p w:rsidRPr="000C5E1E" w:rsidR="009A7E93" w:rsidP="00586AE9" w:rsidRDefault="009A7E93" w14:paraId="0A65A678" w14:textId="657719A3">
            <w:pPr>
              <w:pStyle w:val="Lijstalinea"/>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sz w:val="18"/>
                <w:szCs w:val="18"/>
              </w:rPr>
            </w:pPr>
            <w:r w:rsidRPr="000C5E1E">
              <w:rPr>
                <w:rFonts w:ascii="Verdana" w:hAnsi="Verdana" w:eastAsia="Times New Roman"/>
                <w:sz w:val="18"/>
                <w:szCs w:val="18"/>
              </w:rPr>
              <w:t xml:space="preserve">De impact van de wijziging van de meldsystematiek op de lastendruk kan nog niet met zekerheid worden </w:t>
            </w:r>
            <w:r w:rsidR="00CD43A1">
              <w:rPr>
                <w:rFonts w:ascii="Verdana" w:hAnsi="Verdana" w:eastAsia="Times New Roman"/>
                <w:sz w:val="18"/>
                <w:szCs w:val="18"/>
              </w:rPr>
              <w:t>vast</w:t>
            </w:r>
            <w:r w:rsidRPr="000C5E1E">
              <w:rPr>
                <w:rFonts w:ascii="Verdana" w:hAnsi="Verdana" w:eastAsia="Times New Roman"/>
                <w:sz w:val="18"/>
                <w:szCs w:val="18"/>
              </w:rPr>
              <w:t>gesteld.</w:t>
            </w:r>
          </w:p>
          <w:p w:rsidRPr="000C5E1E" w:rsidR="009A7E93" w:rsidP="00586AE9" w:rsidRDefault="009A7E93" w14:paraId="12C02AE3" w14:textId="2A2F0BA3">
            <w:pPr>
              <w:pStyle w:val="Lijstalinea"/>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sz w:val="18"/>
                <w:szCs w:val="18"/>
              </w:rPr>
            </w:pPr>
            <w:r w:rsidRPr="000C5E1E">
              <w:rPr>
                <w:rFonts w:ascii="Verdana" w:hAnsi="Verdana" w:eastAsia="Times New Roman"/>
                <w:sz w:val="18"/>
                <w:szCs w:val="18"/>
              </w:rPr>
              <w:t>Dit zal onder meer afhangen van de nog door AMLA te verstrekken richtsnoeren met indicatoren voor verdachte transacties.</w:t>
            </w:r>
          </w:p>
          <w:p w:rsidRPr="000C5E1E" w:rsidR="00963DAE" w:rsidP="00586AE9" w:rsidRDefault="00CD43A1" w14:paraId="121A82A6" w14:textId="1904FC32">
            <w:pPr>
              <w:pStyle w:val="Lijstalinea"/>
              <w:numPr>
                <w:ilvl w:val="0"/>
                <w:numId w:val="2"/>
              </w:numPr>
              <w:autoSpaceDN w:val="0"/>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Pr>
                <w:rFonts w:ascii="Verdana" w:hAnsi="Verdana" w:eastAsia="Calibri"/>
                <w:sz w:val="18"/>
                <w:szCs w:val="18"/>
              </w:rPr>
              <w:t>We zetten</w:t>
            </w:r>
            <w:r w:rsidR="00586AE9">
              <w:rPr>
                <w:rFonts w:ascii="Verdana" w:hAnsi="Verdana" w:eastAsia="Calibri"/>
                <w:sz w:val="18"/>
                <w:szCs w:val="18"/>
              </w:rPr>
              <w:t xml:space="preserve"> in op</w:t>
            </w:r>
            <w:r w:rsidRPr="000C5E1E" w:rsidR="009A7E93">
              <w:rPr>
                <w:rFonts w:ascii="Verdana" w:hAnsi="Verdana" w:eastAsia="Calibri"/>
                <w:sz w:val="18"/>
                <w:szCs w:val="18"/>
              </w:rPr>
              <w:t xml:space="preserve"> bekendheid bij poortwachters en toezichthouders over wat de verandering van het melden van </w:t>
            </w:r>
            <w:r w:rsidRPr="000C5E1E" w:rsidR="005D0BBA">
              <w:rPr>
                <w:rFonts w:ascii="Verdana" w:hAnsi="Verdana" w:eastAsia="Calibri"/>
                <w:sz w:val="18"/>
                <w:szCs w:val="18"/>
              </w:rPr>
              <w:t xml:space="preserve">OT naar VT </w:t>
            </w:r>
            <w:r w:rsidRPr="000C5E1E" w:rsidR="009A7E93">
              <w:rPr>
                <w:rFonts w:ascii="Verdana" w:hAnsi="Verdana" w:eastAsia="Calibri"/>
                <w:sz w:val="18"/>
                <w:szCs w:val="18"/>
              </w:rPr>
              <w:t xml:space="preserve">betekent, en </w:t>
            </w:r>
            <w:r>
              <w:rPr>
                <w:rFonts w:ascii="Verdana" w:hAnsi="Verdana" w:eastAsia="Calibri"/>
                <w:sz w:val="18"/>
                <w:szCs w:val="18"/>
              </w:rPr>
              <w:t xml:space="preserve">op </w:t>
            </w:r>
            <w:r w:rsidRPr="000C5E1E" w:rsidR="009A7E93">
              <w:rPr>
                <w:rFonts w:ascii="Verdana" w:hAnsi="Verdana" w:eastAsia="Calibri"/>
                <w:sz w:val="18"/>
                <w:szCs w:val="18"/>
              </w:rPr>
              <w:t xml:space="preserve">de nog komende richtsnoeren van de Europese anti-witwasautoriteit. </w:t>
            </w:r>
          </w:p>
        </w:tc>
      </w:tr>
      <w:tr w:rsidRPr="00AD7699" w:rsidR="00963DAE" w:rsidTr="00586AE9" w14:paraId="5802F01A" w14:textId="77777777">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980" w:type="dxa"/>
          </w:tcPr>
          <w:p w:rsidRPr="000C5E1E" w:rsidR="00963DAE" w:rsidP="00586AE9" w:rsidRDefault="00963DAE" w14:paraId="53D49329" w14:textId="77777777">
            <w:pPr>
              <w:spacing w:after="160" w:line="276" w:lineRule="auto"/>
              <w:rPr>
                <w:rFonts w:ascii="Verdana" w:hAnsi="Verdana"/>
                <w:sz w:val="18"/>
                <w:szCs w:val="18"/>
              </w:rPr>
            </w:pPr>
            <w:r w:rsidRPr="000C5E1E">
              <w:rPr>
                <w:rFonts w:ascii="Verdana" w:hAnsi="Verdana"/>
                <w:sz w:val="18"/>
                <w:szCs w:val="18"/>
              </w:rPr>
              <w:t>Verscherpt cliëntenonderzoek en versimpeld cliëntenonderzoek beter benutten</w:t>
            </w:r>
          </w:p>
        </w:tc>
        <w:tc>
          <w:tcPr>
            <w:tcW w:w="6946" w:type="dxa"/>
          </w:tcPr>
          <w:p w:rsidRPr="000C5E1E" w:rsidR="00766EB4" w:rsidP="00586AE9" w:rsidRDefault="00766EB4" w14:paraId="152B0A6C" w14:textId="77777777">
            <w:pPr>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sz w:val="18"/>
                <w:szCs w:val="18"/>
              </w:rPr>
            </w:pPr>
            <w:r w:rsidRPr="000C5E1E">
              <w:rPr>
                <w:rFonts w:ascii="Verdana" w:hAnsi="Verdana" w:eastAsia="Times New Roman"/>
                <w:color w:val="000000"/>
                <w:sz w:val="18"/>
                <w:szCs w:val="18"/>
              </w:rPr>
              <w:t xml:space="preserve">Instellingen hebben meer ruimte om versimpeld cliëntenonderzoek bij lage risico’s toe te passen. Daarnaast kan het verscherpt cliëntenonderzoek bij hoge risico’s flexibeler wordt uitgevoerd. </w:t>
            </w:r>
          </w:p>
          <w:p w:rsidRPr="000C5E1E" w:rsidR="00766EB4" w:rsidP="00586AE9" w:rsidRDefault="00766EB4" w14:paraId="2F3B90DA" w14:textId="1A956160">
            <w:pPr>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sz w:val="18"/>
                <w:szCs w:val="18"/>
              </w:rPr>
            </w:pPr>
            <w:r w:rsidRPr="000C5E1E">
              <w:rPr>
                <w:rFonts w:ascii="Verdana" w:hAnsi="Verdana" w:eastAsia="Times New Roman"/>
                <w:color w:val="000000"/>
                <w:sz w:val="18"/>
                <w:szCs w:val="18"/>
              </w:rPr>
              <w:t>Theoretisch is er dus meer ruimte</w:t>
            </w:r>
            <w:r w:rsidR="00CD43A1">
              <w:rPr>
                <w:rFonts w:ascii="Verdana" w:hAnsi="Verdana" w:eastAsia="Times New Roman"/>
                <w:color w:val="000000"/>
                <w:sz w:val="18"/>
                <w:szCs w:val="18"/>
              </w:rPr>
              <w:t>. D</w:t>
            </w:r>
            <w:r w:rsidRPr="000C5E1E">
              <w:rPr>
                <w:rFonts w:ascii="Verdana" w:hAnsi="Verdana" w:eastAsia="Times New Roman"/>
                <w:color w:val="000000"/>
                <w:sz w:val="18"/>
                <w:szCs w:val="18"/>
              </w:rPr>
              <w:t>e vraag is of instellingen die durven te nemen en of toezichthouders toezeggingen willen doen.</w:t>
            </w:r>
          </w:p>
          <w:p w:rsidRPr="000C5E1E" w:rsidR="00963DAE" w:rsidP="00586AE9" w:rsidRDefault="00766EB4" w14:paraId="356AA9DA" w14:textId="51B24479">
            <w:pPr>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C5E1E">
              <w:rPr>
                <w:rFonts w:ascii="Verdana" w:hAnsi="Verdana" w:eastAsia="Times New Roman"/>
                <w:color w:val="000000"/>
                <w:sz w:val="18"/>
                <w:szCs w:val="18"/>
              </w:rPr>
              <w:t>Hierover afspraken maken met sector en toezichthouders is waarschijnlijk nodig</w:t>
            </w:r>
            <w:r w:rsidR="00AD7699">
              <w:rPr>
                <w:rFonts w:ascii="Verdana" w:hAnsi="Verdana" w:eastAsia="Times New Roman"/>
                <w:color w:val="000000"/>
                <w:sz w:val="18"/>
                <w:szCs w:val="18"/>
              </w:rPr>
              <w:t>.</w:t>
            </w:r>
            <w:r w:rsidRPr="000C5E1E">
              <w:rPr>
                <w:rFonts w:ascii="Verdana" w:hAnsi="Verdana" w:eastAsia="Times New Roman"/>
                <w:color w:val="000000"/>
                <w:sz w:val="18"/>
                <w:szCs w:val="18"/>
              </w:rPr>
              <w:t xml:space="preserve"> </w:t>
            </w:r>
            <w:r w:rsidR="00CD43A1">
              <w:rPr>
                <w:rFonts w:ascii="Verdana" w:hAnsi="Verdana" w:eastAsia="Times New Roman"/>
                <w:color w:val="000000"/>
                <w:sz w:val="18"/>
                <w:szCs w:val="18"/>
              </w:rPr>
              <w:t>We bespreken</w:t>
            </w:r>
            <w:r w:rsidRPr="000C5E1E">
              <w:rPr>
                <w:rFonts w:ascii="Verdana" w:hAnsi="Verdana" w:eastAsia="Times New Roman"/>
                <w:color w:val="000000"/>
                <w:sz w:val="18"/>
                <w:szCs w:val="18"/>
              </w:rPr>
              <w:t xml:space="preserve"> dit in de maandelijkse sessies.</w:t>
            </w:r>
          </w:p>
        </w:tc>
      </w:tr>
      <w:tr w:rsidRPr="00AD7699" w:rsidR="00963DAE" w:rsidTr="00586AE9" w14:paraId="3F6666C2" w14:textId="77777777">
        <w:trPr>
          <w:trHeight w:val="606"/>
        </w:trPr>
        <w:tc>
          <w:tcPr>
            <w:cnfStyle w:val="001000000000" w:firstRow="0" w:lastRow="0" w:firstColumn="1" w:lastColumn="0" w:oddVBand="0" w:evenVBand="0" w:oddHBand="0" w:evenHBand="0" w:firstRowFirstColumn="0" w:firstRowLastColumn="0" w:lastRowFirstColumn="0" w:lastRowLastColumn="0"/>
            <w:tcW w:w="1980" w:type="dxa"/>
          </w:tcPr>
          <w:p w:rsidRPr="000C5E1E" w:rsidR="00963DAE" w:rsidP="00586AE9" w:rsidRDefault="00963DAE" w14:paraId="03C20278" w14:textId="77777777">
            <w:pPr>
              <w:spacing w:line="276" w:lineRule="auto"/>
              <w:rPr>
                <w:rFonts w:ascii="Verdana" w:hAnsi="Verdana"/>
                <w:sz w:val="18"/>
                <w:szCs w:val="18"/>
              </w:rPr>
            </w:pPr>
            <w:r w:rsidRPr="000C5E1E">
              <w:rPr>
                <w:rFonts w:ascii="Verdana" w:hAnsi="Verdana"/>
                <w:sz w:val="18"/>
                <w:szCs w:val="18"/>
              </w:rPr>
              <w:t>Gegevensdeling</w:t>
            </w:r>
          </w:p>
        </w:tc>
        <w:tc>
          <w:tcPr>
            <w:tcW w:w="6946" w:type="dxa"/>
          </w:tcPr>
          <w:p w:rsidRPr="000C5E1E" w:rsidR="00766EB4" w:rsidP="00586AE9" w:rsidRDefault="00766EB4" w14:paraId="52F894CD" w14:textId="77777777">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C5E1E">
              <w:rPr>
                <w:rFonts w:ascii="Verdana" w:hAnsi="Verdana"/>
                <w:sz w:val="18"/>
                <w:szCs w:val="18"/>
              </w:rPr>
              <w:t>De sector wijst vaak op gegevensdeling als manier om naleving efficiënter en met minder gevolgen voor burgers te maken.</w:t>
            </w:r>
          </w:p>
          <w:p w:rsidRPr="000C5E1E" w:rsidR="00766EB4" w:rsidP="00586AE9" w:rsidRDefault="00766EB4" w14:paraId="2571678C" w14:textId="69DE3D23">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C5E1E">
              <w:rPr>
                <w:rFonts w:ascii="Verdana" w:hAnsi="Verdana"/>
                <w:sz w:val="18"/>
                <w:szCs w:val="18"/>
              </w:rPr>
              <w:t>De juridische kaders voor gegevensuitwisseling liggen grotendeels vast in de verordening</w:t>
            </w:r>
          </w:p>
          <w:p w:rsidRPr="000C5E1E" w:rsidR="00963DAE" w:rsidP="00586AE9" w:rsidRDefault="00766EB4" w14:paraId="5D6323EF" w14:textId="756BC6D1">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C5E1E">
              <w:rPr>
                <w:rFonts w:ascii="Verdana" w:hAnsi="Verdana"/>
                <w:sz w:val="18"/>
                <w:szCs w:val="18"/>
              </w:rPr>
              <w:t xml:space="preserve">Nederland wil een voortrekkersrol in deze gegevensdeling nemen en een pilot starten om ervoor te zorgen dat vanaf half 2027 we hiermee voortvarend aan de gang kunnen.   </w:t>
            </w:r>
          </w:p>
        </w:tc>
      </w:tr>
      <w:tr w:rsidRPr="00AD7699" w:rsidR="00B365ED" w:rsidTr="00B86469" w14:paraId="66DD41B5" w14:textId="77777777">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8926" w:type="dxa"/>
            <w:gridSpan w:val="2"/>
          </w:tcPr>
          <w:p w:rsidRPr="000C5E1E" w:rsidR="00B365ED" w:rsidP="00586AE9" w:rsidRDefault="00B365ED" w14:paraId="2DDBDDEB" w14:textId="17D634B2">
            <w:pPr>
              <w:spacing w:after="160" w:line="276" w:lineRule="auto"/>
              <w:rPr>
                <w:rFonts w:ascii="Verdana" w:hAnsi="Verdana"/>
                <w:sz w:val="18"/>
                <w:szCs w:val="18"/>
              </w:rPr>
            </w:pPr>
            <w:r w:rsidRPr="000C5E1E">
              <w:rPr>
                <w:rFonts w:ascii="Verdana" w:hAnsi="Verdana"/>
                <w:sz w:val="18"/>
                <w:szCs w:val="18"/>
              </w:rPr>
              <w:t xml:space="preserve">Overgangsrecht </w:t>
            </w:r>
          </w:p>
        </w:tc>
      </w:tr>
      <w:tr w:rsidRPr="00AD7699" w:rsidR="00963DAE" w:rsidTr="00586AE9" w14:paraId="329CAA98" w14:textId="77777777">
        <w:trPr>
          <w:trHeight w:val="676"/>
        </w:trPr>
        <w:tc>
          <w:tcPr>
            <w:cnfStyle w:val="001000000000" w:firstRow="0" w:lastRow="0" w:firstColumn="1" w:lastColumn="0" w:oddVBand="0" w:evenVBand="0" w:oddHBand="0" w:evenHBand="0" w:firstRowFirstColumn="0" w:firstRowLastColumn="0" w:lastRowFirstColumn="0" w:lastRowLastColumn="0"/>
            <w:tcW w:w="1980" w:type="dxa"/>
          </w:tcPr>
          <w:p w:rsidRPr="000C5E1E" w:rsidR="00963DAE" w:rsidP="00586AE9" w:rsidRDefault="002F37BE" w14:paraId="512EA594" w14:textId="1F9B81E9">
            <w:pPr>
              <w:spacing w:line="276" w:lineRule="auto"/>
              <w:rPr>
                <w:rFonts w:ascii="Verdana" w:hAnsi="Verdana"/>
                <w:sz w:val="18"/>
                <w:szCs w:val="18"/>
              </w:rPr>
            </w:pPr>
            <w:r>
              <w:rPr>
                <w:rFonts w:ascii="Verdana" w:hAnsi="Verdana"/>
                <w:sz w:val="18"/>
                <w:szCs w:val="18"/>
              </w:rPr>
              <w:t>Aanvullen cliëntendossiers</w:t>
            </w:r>
          </w:p>
        </w:tc>
        <w:tc>
          <w:tcPr>
            <w:tcW w:w="6946" w:type="dxa"/>
          </w:tcPr>
          <w:p w:rsidRPr="000C5E1E" w:rsidR="00766EB4" w:rsidP="00586AE9" w:rsidRDefault="00766EB4" w14:paraId="7995FBEA" w14:textId="717189D2">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C5E1E">
              <w:rPr>
                <w:rFonts w:ascii="Verdana" w:hAnsi="Verdana"/>
                <w:sz w:val="18"/>
                <w:szCs w:val="18"/>
              </w:rPr>
              <w:t>AMLR biedt geen overgangsrecht, maar het is onmogelijk te verwachten dat instellingen alle cliëntendossiers direct op orde hebben conform AMLR op 10 juli 2027. Bovendien ontbreken grondslagen voor verwerking</w:t>
            </w:r>
            <w:r w:rsidRPr="000C5E1E" w:rsidR="009A7E93">
              <w:rPr>
                <w:rFonts w:ascii="Verdana" w:hAnsi="Verdana"/>
                <w:sz w:val="18"/>
                <w:szCs w:val="18"/>
              </w:rPr>
              <w:t xml:space="preserve"> van die gegevens voorafgaand aan de inwerkingtreding</w:t>
            </w:r>
            <w:r w:rsidRPr="000C5E1E">
              <w:rPr>
                <w:rFonts w:ascii="Verdana" w:hAnsi="Verdana"/>
                <w:sz w:val="18"/>
                <w:szCs w:val="18"/>
              </w:rPr>
              <w:t>.</w:t>
            </w:r>
          </w:p>
          <w:p w:rsidRPr="000C5E1E" w:rsidR="00766EB4" w:rsidP="00586AE9" w:rsidRDefault="00766EB4" w14:paraId="09EE410A" w14:textId="3F243860">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C5E1E">
              <w:rPr>
                <w:rFonts w:ascii="Verdana" w:hAnsi="Verdana"/>
                <w:sz w:val="18"/>
                <w:szCs w:val="18"/>
              </w:rPr>
              <w:t xml:space="preserve">Lidstaten hebben geen bevoegdheid om dit via nationale regelgeving te adresseren. Wel hebben de toezichthouders en </w:t>
            </w:r>
            <w:r w:rsidR="00CD43A1">
              <w:rPr>
                <w:rFonts w:ascii="Verdana" w:hAnsi="Verdana"/>
                <w:sz w:val="18"/>
                <w:szCs w:val="18"/>
              </w:rPr>
              <w:t>de minister van Financiën</w:t>
            </w:r>
            <w:r w:rsidRPr="000C5E1E">
              <w:rPr>
                <w:rFonts w:ascii="Verdana" w:hAnsi="Verdana"/>
                <w:sz w:val="18"/>
                <w:szCs w:val="18"/>
              </w:rPr>
              <w:t xml:space="preserve"> in nationaal en EU</w:t>
            </w:r>
            <w:r w:rsidR="00CD43A1">
              <w:rPr>
                <w:rFonts w:ascii="Verdana" w:hAnsi="Verdana"/>
                <w:sz w:val="18"/>
                <w:szCs w:val="18"/>
              </w:rPr>
              <w:t>-v</w:t>
            </w:r>
            <w:r w:rsidRPr="000C5E1E">
              <w:rPr>
                <w:rFonts w:ascii="Verdana" w:hAnsi="Verdana"/>
                <w:sz w:val="18"/>
                <w:szCs w:val="18"/>
              </w:rPr>
              <w:t xml:space="preserve">erband en </w:t>
            </w:r>
            <w:r w:rsidR="00CD43A1">
              <w:rPr>
                <w:rFonts w:ascii="Verdana" w:hAnsi="Verdana"/>
                <w:sz w:val="18"/>
                <w:szCs w:val="18"/>
              </w:rPr>
              <w:t>bij</w:t>
            </w:r>
            <w:r w:rsidRPr="000C5E1E">
              <w:rPr>
                <w:rFonts w:ascii="Verdana" w:hAnsi="Verdana"/>
                <w:sz w:val="18"/>
                <w:szCs w:val="18"/>
              </w:rPr>
              <w:t xml:space="preserve"> AMLA opgeroepen om hier rekening mee te houden. </w:t>
            </w:r>
          </w:p>
          <w:p w:rsidRPr="000C5E1E" w:rsidR="00766EB4" w:rsidP="00586AE9" w:rsidRDefault="00766EB4" w14:paraId="1441C805" w14:textId="3CF5351E">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C5E1E">
              <w:rPr>
                <w:rFonts w:ascii="Verdana" w:hAnsi="Verdana"/>
                <w:sz w:val="18"/>
                <w:szCs w:val="18"/>
              </w:rPr>
              <w:t xml:space="preserve">In de eerste uitwerking van </w:t>
            </w:r>
            <w:r w:rsidRPr="000C5E1E" w:rsidR="009A7E93">
              <w:rPr>
                <w:rFonts w:ascii="Verdana" w:hAnsi="Verdana"/>
                <w:sz w:val="18"/>
                <w:szCs w:val="18"/>
              </w:rPr>
              <w:t xml:space="preserve">technische standaarden </w:t>
            </w:r>
            <w:r w:rsidRPr="000C5E1E">
              <w:rPr>
                <w:rFonts w:ascii="Verdana" w:hAnsi="Verdana"/>
                <w:sz w:val="18"/>
                <w:szCs w:val="18"/>
              </w:rPr>
              <w:t>AMLR die momenteel geconsulteerd wordt, wordt die oproep geadresseerd</w:t>
            </w:r>
            <w:r w:rsidR="002F37BE">
              <w:rPr>
                <w:rFonts w:ascii="Verdana" w:hAnsi="Verdana"/>
                <w:sz w:val="18"/>
                <w:szCs w:val="18"/>
              </w:rPr>
              <w:t xml:space="preserve"> door poortwachters meer tijd te geven om cliëntendossiers op orde te brengen</w:t>
            </w:r>
            <w:r w:rsidRPr="000C5E1E">
              <w:rPr>
                <w:rFonts w:ascii="Verdana" w:hAnsi="Verdana"/>
                <w:sz w:val="18"/>
                <w:szCs w:val="18"/>
              </w:rPr>
              <w:t>.</w:t>
            </w:r>
            <w:r w:rsidRPr="000C5E1E">
              <w:rPr>
                <w:rFonts w:ascii="Verdana" w:hAnsi="Verdana"/>
                <w:sz w:val="18"/>
                <w:szCs w:val="18"/>
                <w:vertAlign w:val="superscript"/>
              </w:rPr>
              <w:footnoteReference w:customMarkFollows="1" w:id="2"/>
              <w:t>[1]</w:t>
            </w:r>
            <w:r w:rsidRPr="000C5E1E">
              <w:rPr>
                <w:rFonts w:ascii="Verdana" w:hAnsi="Verdana"/>
                <w:sz w:val="18"/>
                <w:szCs w:val="18"/>
              </w:rPr>
              <w:t xml:space="preserve"> </w:t>
            </w:r>
          </w:p>
          <w:p w:rsidRPr="000C5E1E" w:rsidR="00963DAE" w:rsidP="00586AE9" w:rsidRDefault="00766EB4" w14:paraId="24A39520" w14:textId="25442028">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C5E1E">
              <w:rPr>
                <w:rFonts w:ascii="Verdana" w:hAnsi="Verdana"/>
                <w:sz w:val="18"/>
                <w:szCs w:val="18"/>
              </w:rPr>
              <w:t xml:space="preserve">Ook hebben lidstaten geen bevoegdheid om een overgangsperiode voor het UBO-register vast te stellen. Dat betekent dat per 10 juli 2027 een grote groep entiteiten zijn registratie aangepast moet hebben. </w:t>
            </w:r>
            <w:r w:rsidR="00CD43A1">
              <w:rPr>
                <w:rFonts w:ascii="Verdana" w:hAnsi="Verdana"/>
                <w:sz w:val="18"/>
                <w:szCs w:val="18"/>
              </w:rPr>
              <w:t>We vragen</w:t>
            </w:r>
            <w:r w:rsidR="00293DB7">
              <w:rPr>
                <w:rFonts w:ascii="Verdana" w:hAnsi="Verdana"/>
                <w:sz w:val="18"/>
                <w:szCs w:val="18"/>
              </w:rPr>
              <w:t xml:space="preserve"> </w:t>
            </w:r>
            <w:r w:rsidRPr="000C5E1E">
              <w:rPr>
                <w:rFonts w:ascii="Verdana" w:hAnsi="Verdana"/>
                <w:sz w:val="18"/>
                <w:szCs w:val="18"/>
              </w:rPr>
              <w:t xml:space="preserve">toezichthouders </w:t>
            </w:r>
            <w:r w:rsidR="00CD43A1">
              <w:rPr>
                <w:rFonts w:ascii="Verdana" w:hAnsi="Verdana"/>
                <w:sz w:val="18"/>
                <w:szCs w:val="18"/>
              </w:rPr>
              <w:lastRenderedPageBreak/>
              <w:t xml:space="preserve">om </w:t>
            </w:r>
            <w:r w:rsidRPr="000C5E1E">
              <w:rPr>
                <w:rFonts w:ascii="Verdana" w:hAnsi="Verdana"/>
                <w:sz w:val="18"/>
                <w:szCs w:val="18"/>
              </w:rPr>
              <w:t xml:space="preserve">hier rekening mee te houden en entiteiten een redelijke termijn te geven om hun registratie aan te passen. </w:t>
            </w:r>
          </w:p>
        </w:tc>
      </w:tr>
      <w:tr w:rsidRPr="00AD7699" w:rsidR="00B365ED" w:rsidTr="00B365ED" w14:paraId="2B7A887F"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26" w:type="dxa"/>
            <w:gridSpan w:val="2"/>
          </w:tcPr>
          <w:p w:rsidRPr="000C5E1E" w:rsidR="00B365ED" w:rsidP="00586AE9" w:rsidRDefault="00B365ED" w14:paraId="78E95BFA" w14:textId="3312DECD">
            <w:pPr>
              <w:spacing w:after="160" w:line="276" w:lineRule="auto"/>
              <w:rPr>
                <w:rFonts w:ascii="Verdana" w:hAnsi="Verdana"/>
                <w:sz w:val="18"/>
                <w:szCs w:val="18"/>
              </w:rPr>
            </w:pPr>
            <w:r w:rsidRPr="000C5E1E">
              <w:rPr>
                <w:rFonts w:ascii="Verdana" w:hAnsi="Verdana"/>
                <w:sz w:val="18"/>
                <w:szCs w:val="18"/>
              </w:rPr>
              <w:lastRenderedPageBreak/>
              <w:t xml:space="preserve">Lastenluwe inrichting UBO-Register </w:t>
            </w:r>
          </w:p>
        </w:tc>
      </w:tr>
      <w:tr w:rsidRPr="00AD7699" w:rsidR="00963DAE" w:rsidTr="00586AE9" w14:paraId="0B79107A" w14:textId="77777777">
        <w:trPr>
          <w:trHeight w:val="676"/>
        </w:trPr>
        <w:tc>
          <w:tcPr>
            <w:cnfStyle w:val="001000000000" w:firstRow="0" w:lastRow="0" w:firstColumn="1" w:lastColumn="0" w:oddVBand="0" w:evenVBand="0" w:oddHBand="0" w:evenHBand="0" w:firstRowFirstColumn="0" w:firstRowLastColumn="0" w:lastRowFirstColumn="0" w:lastRowLastColumn="0"/>
            <w:tcW w:w="1980" w:type="dxa"/>
          </w:tcPr>
          <w:p w:rsidRPr="000C5E1E" w:rsidR="00963DAE" w:rsidP="00586AE9" w:rsidRDefault="00963DAE" w14:paraId="16D34196" w14:textId="77777777">
            <w:pPr>
              <w:spacing w:after="160" w:line="276" w:lineRule="auto"/>
              <w:rPr>
                <w:rFonts w:ascii="Verdana" w:hAnsi="Verdana"/>
                <w:sz w:val="18"/>
                <w:szCs w:val="18"/>
              </w:rPr>
            </w:pPr>
            <w:r w:rsidRPr="000C5E1E">
              <w:rPr>
                <w:rFonts w:ascii="Verdana" w:hAnsi="Verdana"/>
                <w:sz w:val="18"/>
                <w:szCs w:val="18"/>
              </w:rPr>
              <w:t>Stichtingen in UBO/trustregister</w:t>
            </w:r>
          </w:p>
        </w:tc>
        <w:tc>
          <w:tcPr>
            <w:tcW w:w="6946" w:type="dxa"/>
          </w:tcPr>
          <w:p w:rsidRPr="00E06F72" w:rsidR="00E06F72" w:rsidP="00586AE9" w:rsidRDefault="00E06F72" w14:paraId="514BED15" w14:textId="77777777">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06F72">
              <w:rPr>
                <w:rFonts w:ascii="Verdana" w:hAnsi="Verdana"/>
                <w:sz w:val="18"/>
                <w:szCs w:val="18"/>
              </w:rPr>
              <w:t>AMLR schrijft voor dat stichtingen hun UBO’s moeten registreren op dezelfde wijze als trusts. Dat zou betekenen dat alle stichtingen onder een zwaardere registratieverplichting vallen dan nu het geval is.</w:t>
            </w:r>
          </w:p>
          <w:p w:rsidRPr="00E06F72" w:rsidR="00E06F72" w:rsidP="00586AE9" w:rsidRDefault="00E06F72" w14:paraId="68D323EE" w14:textId="77777777">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06F72">
              <w:rPr>
                <w:rFonts w:ascii="Verdana" w:hAnsi="Verdana"/>
                <w:sz w:val="18"/>
                <w:szCs w:val="18"/>
              </w:rPr>
              <w:t xml:space="preserve">In de originele tekst van de verordening wordt gesproken over ‘foundations’. Dit is vertaald naar stichtingen. De Nederlandse rechtsvorm stichting kent echter grote verschillen ten opzichte van een foundation ook omdat zij beschikken over rechtspersoonlijkheid. </w:t>
            </w:r>
          </w:p>
          <w:p w:rsidRPr="00E06F72" w:rsidR="00E06F72" w:rsidP="00586AE9" w:rsidRDefault="00E06F72" w14:paraId="0716517C" w14:textId="77777777">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06F72">
              <w:rPr>
                <w:rFonts w:ascii="Verdana" w:hAnsi="Verdana"/>
                <w:sz w:val="18"/>
                <w:szCs w:val="18"/>
              </w:rPr>
              <w:t xml:space="preserve">Nederland beschouwt stichtingen daarom niet als vergelijkbaar aan trusts. Daardoor kunnen stichtingen onder het reguliere regime blijven. </w:t>
            </w:r>
          </w:p>
          <w:p w:rsidRPr="000C5E1E" w:rsidR="00963DAE" w:rsidP="00586AE9" w:rsidRDefault="00E06F72" w14:paraId="19C3E6C7" w14:textId="624E2572">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06F72">
              <w:rPr>
                <w:rFonts w:ascii="Verdana" w:hAnsi="Verdana"/>
                <w:sz w:val="18"/>
                <w:szCs w:val="18"/>
              </w:rPr>
              <w:t xml:space="preserve">Aangezien dit gaat om interpretatie kan het betekenen dat Nederland een gesprek met de </w:t>
            </w:r>
            <w:r w:rsidR="00CD43A1">
              <w:rPr>
                <w:rFonts w:ascii="Verdana" w:hAnsi="Verdana"/>
                <w:sz w:val="18"/>
                <w:szCs w:val="18"/>
              </w:rPr>
              <w:t xml:space="preserve">Europese </w:t>
            </w:r>
            <w:r w:rsidRPr="00E06F72">
              <w:rPr>
                <w:rFonts w:ascii="Verdana" w:hAnsi="Verdana"/>
                <w:sz w:val="18"/>
                <w:szCs w:val="18"/>
              </w:rPr>
              <w:t>Commissie zal moeten voeren over deze wijze van interpretatie.</w:t>
            </w:r>
          </w:p>
        </w:tc>
      </w:tr>
      <w:tr w:rsidRPr="00AD7699" w:rsidR="00E06F72" w:rsidTr="00586AE9" w14:paraId="1901A0D8" w14:textId="77777777">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1980" w:type="dxa"/>
          </w:tcPr>
          <w:p w:rsidRPr="000C5E1E" w:rsidR="00E06F72" w:rsidP="00586AE9" w:rsidRDefault="00E06F72" w14:paraId="11756171" w14:textId="44DF48F3">
            <w:pPr>
              <w:spacing w:line="276" w:lineRule="auto"/>
              <w:rPr>
                <w:rFonts w:ascii="Verdana" w:hAnsi="Verdana"/>
                <w:sz w:val="18"/>
                <w:szCs w:val="18"/>
              </w:rPr>
            </w:pPr>
            <w:r>
              <w:rPr>
                <w:rFonts w:ascii="Verdana" w:hAnsi="Verdana"/>
                <w:sz w:val="18"/>
                <w:szCs w:val="18"/>
              </w:rPr>
              <w:t>Kerkgenootschappen alleen op hoogste aggregatieniveau registeren</w:t>
            </w:r>
          </w:p>
        </w:tc>
        <w:tc>
          <w:tcPr>
            <w:tcW w:w="6946" w:type="dxa"/>
          </w:tcPr>
          <w:p w:rsidRPr="00E06F72" w:rsidR="00E06F72" w:rsidP="00586AE9" w:rsidRDefault="00E06F72" w14:paraId="0C31394E" w14:textId="77777777">
            <w:pPr>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06F72">
              <w:rPr>
                <w:rFonts w:ascii="Verdana" w:hAnsi="Verdana"/>
                <w:sz w:val="18"/>
                <w:szCs w:val="18"/>
              </w:rPr>
              <w:t xml:space="preserve">Voor kerkgenootschappen geldt op dit moment dat zij alleen op het hoogste aggregatieniveau aan de plicht voor de UBO-registratie hoeven te voldoen. </w:t>
            </w:r>
          </w:p>
          <w:p w:rsidRPr="00E06F72" w:rsidR="00E06F72" w:rsidP="00586AE9" w:rsidRDefault="00E06F72" w14:paraId="57700F25" w14:textId="77777777">
            <w:pPr>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06F72">
              <w:rPr>
                <w:rFonts w:ascii="Verdana" w:hAnsi="Verdana"/>
                <w:sz w:val="18"/>
                <w:szCs w:val="18"/>
              </w:rPr>
              <w:t xml:space="preserve">Op basis van AMLR vallen alle juridische entiteiten onder dezelfde registratieplicht. </w:t>
            </w:r>
          </w:p>
          <w:p w:rsidRPr="000C5E1E" w:rsidR="00E06F72" w:rsidP="00586AE9" w:rsidRDefault="00E06F72" w14:paraId="5F27E824" w14:textId="0101E5EC">
            <w:pPr>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06F72">
              <w:rPr>
                <w:rFonts w:ascii="Verdana" w:hAnsi="Verdana"/>
                <w:sz w:val="18"/>
                <w:szCs w:val="18"/>
              </w:rPr>
              <w:t>Het voornemen is om voor kerkgenootschappen vast te houden aan de bestaande registratieplicht op basis waarvan alleen op het hoogste niveau geregistreerd hoeft te worden.</w:t>
            </w:r>
          </w:p>
        </w:tc>
      </w:tr>
      <w:tr w:rsidRPr="00AD7699" w:rsidR="00963DAE" w:rsidTr="00586AE9" w14:paraId="6A4A6E7F" w14:textId="77777777">
        <w:trPr>
          <w:trHeight w:val="676"/>
        </w:trPr>
        <w:tc>
          <w:tcPr>
            <w:cnfStyle w:val="001000000000" w:firstRow="0" w:lastRow="0" w:firstColumn="1" w:lastColumn="0" w:oddVBand="0" w:evenVBand="0" w:oddHBand="0" w:evenHBand="0" w:firstRowFirstColumn="0" w:firstRowLastColumn="0" w:lastRowFirstColumn="0" w:lastRowLastColumn="0"/>
            <w:tcW w:w="1980" w:type="dxa"/>
          </w:tcPr>
          <w:p w:rsidRPr="000C5E1E" w:rsidR="00963DAE" w:rsidP="00586AE9" w:rsidRDefault="00963DAE" w14:paraId="3E79C3EE" w14:textId="77777777">
            <w:pPr>
              <w:spacing w:after="160" w:line="276" w:lineRule="auto"/>
              <w:rPr>
                <w:rFonts w:ascii="Verdana" w:hAnsi="Verdana"/>
                <w:sz w:val="18"/>
                <w:szCs w:val="18"/>
              </w:rPr>
            </w:pPr>
            <w:r w:rsidRPr="000C5E1E">
              <w:rPr>
                <w:rFonts w:ascii="Verdana" w:hAnsi="Verdana"/>
                <w:sz w:val="18"/>
                <w:szCs w:val="18"/>
              </w:rPr>
              <w:t xml:space="preserve">abi’s en icbe’s voor UBO-registratie onder een lichter regime laten vallen </w:t>
            </w:r>
          </w:p>
        </w:tc>
        <w:tc>
          <w:tcPr>
            <w:tcW w:w="6946" w:type="dxa"/>
          </w:tcPr>
          <w:p w:rsidRPr="00E06F72" w:rsidR="00E06F72" w:rsidP="00586AE9" w:rsidRDefault="00E06F72" w14:paraId="48D59513" w14:textId="77777777">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06F72">
              <w:rPr>
                <w:rFonts w:ascii="Verdana" w:hAnsi="Verdana"/>
                <w:sz w:val="18"/>
                <w:szCs w:val="18"/>
              </w:rPr>
              <w:t>In de huidige situatie worden beleggingsinstellingen en instellingen voor collectieve beleggingen gelijkgesteld met de trust. Dit betekent dat zij meer gegevens moeten registreren.</w:t>
            </w:r>
          </w:p>
          <w:p w:rsidRPr="00E06F72" w:rsidR="00E06F72" w:rsidP="00586AE9" w:rsidRDefault="00E06F72" w14:paraId="44C4D16B" w14:textId="77777777">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06F72">
              <w:rPr>
                <w:rFonts w:ascii="Verdana" w:hAnsi="Verdana"/>
                <w:sz w:val="18"/>
                <w:szCs w:val="18"/>
              </w:rPr>
              <w:t>De AMLR schrijft alleen voor dat er voor deze organisaties specifieke voorschriften gelden voor de registratie van UBO’s en merkt ze niet meer aan als trusts.</w:t>
            </w:r>
          </w:p>
          <w:p w:rsidRPr="000C5E1E" w:rsidR="00963DAE" w:rsidP="00586AE9" w:rsidRDefault="00E06F72" w14:paraId="649CB14B" w14:textId="4DA2D5B4">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06F72">
              <w:rPr>
                <w:rFonts w:ascii="Verdana" w:hAnsi="Verdana"/>
                <w:sz w:val="18"/>
                <w:szCs w:val="18"/>
              </w:rPr>
              <w:t>Als gevolg hiervan zullen deze partijen bij de implementatie onder een lichter regime geschaard worden.</w:t>
            </w:r>
          </w:p>
        </w:tc>
      </w:tr>
      <w:tr w:rsidRPr="00AD7699" w:rsidR="00963DAE" w:rsidTr="00586AE9" w14:paraId="1F900CEC" w14:textId="77777777">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1980" w:type="dxa"/>
          </w:tcPr>
          <w:p w:rsidRPr="000C5E1E" w:rsidR="00963DAE" w:rsidP="00586AE9" w:rsidRDefault="00E06F72" w14:paraId="030173A2" w14:textId="56257DA6">
            <w:pPr>
              <w:spacing w:line="276" w:lineRule="auto"/>
              <w:rPr>
                <w:rFonts w:ascii="Verdana" w:hAnsi="Verdana"/>
                <w:sz w:val="18"/>
                <w:szCs w:val="18"/>
              </w:rPr>
            </w:pPr>
            <w:r>
              <w:rPr>
                <w:rFonts w:ascii="Verdana" w:hAnsi="Verdana"/>
                <w:sz w:val="18"/>
                <w:szCs w:val="18"/>
              </w:rPr>
              <w:t>Eenvoudig UBO-onderzoek</w:t>
            </w:r>
          </w:p>
        </w:tc>
        <w:tc>
          <w:tcPr>
            <w:tcW w:w="6946" w:type="dxa"/>
          </w:tcPr>
          <w:p w:rsidRPr="00E06F72" w:rsidR="00E06F72" w:rsidP="00586AE9" w:rsidRDefault="00E06F72" w14:paraId="5DABE40C" w14:textId="77777777">
            <w:pPr>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06F72">
              <w:rPr>
                <w:rFonts w:ascii="Verdana" w:hAnsi="Verdana"/>
                <w:sz w:val="18"/>
                <w:szCs w:val="18"/>
              </w:rPr>
              <w:t>KVK zal meer informatie over entiteiten gaan verifiëren, wat tot een hogere betrouwbaarheid van het UBO-register leidt.</w:t>
            </w:r>
          </w:p>
          <w:p w:rsidRPr="00CD43A1" w:rsidR="00E06F72" w:rsidP="00CD43A1" w:rsidRDefault="00E06F72" w14:paraId="2BD34283" w14:textId="04680FF0">
            <w:pPr>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06F72">
              <w:rPr>
                <w:rFonts w:ascii="Verdana" w:hAnsi="Verdana"/>
                <w:sz w:val="18"/>
                <w:szCs w:val="18"/>
              </w:rPr>
              <w:t xml:space="preserve">Het zou daarom wenselijk zijn dat poortwachters – in laagrisicosituaties – zich hoofdzakelijk baseren op het UBO-register en dus geen of minimale aanvullende eigen onderzoeksmethodes toepassen. </w:t>
            </w:r>
            <w:r w:rsidRPr="00CD43A1">
              <w:rPr>
                <w:rFonts w:ascii="Verdana" w:hAnsi="Verdana"/>
                <w:sz w:val="18"/>
                <w:szCs w:val="18"/>
              </w:rPr>
              <w:t xml:space="preserve">Dit zal echter ook afhankelijk zijn van interpretatie van toezichthouders (waaronder ook AMLA) van de bepalingen uit de AMLR. </w:t>
            </w:r>
          </w:p>
          <w:p w:rsidRPr="000C5E1E" w:rsidR="00963DAE" w:rsidP="00586AE9" w:rsidRDefault="00E06F72" w14:paraId="5A3432DC" w14:textId="6B896ED2">
            <w:pPr>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06F72">
              <w:rPr>
                <w:rFonts w:ascii="Verdana" w:hAnsi="Verdana"/>
                <w:sz w:val="18"/>
                <w:szCs w:val="18"/>
              </w:rPr>
              <w:t>In de eerste uitwerking van AMLR die momenteel geconsulteerd wordt, wordt die oproep geadresseerd</w:t>
            </w:r>
            <w:r w:rsidR="002F37BE">
              <w:rPr>
                <w:rFonts w:ascii="Verdana" w:hAnsi="Verdana"/>
                <w:sz w:val="18"/>
                <w:szCs w:val="18"/>
              </w:rPr>
              <w:t xml:space="preserve"> om poortwachters in laagrisicosituaties van het register gebruik te laten maken naast hun eigen onderzoek</w:t>
            </w:r>
            <w:r w:rsidRPr="00E06F72">
              <w:rPr>
                <w:rFonts w:ascii="Verdana" w:hAnsi="Verdana"/>
                <w:sz w:val="18"/>
                <w:szCs w:val="18"/>
              </w:rPr>
              <w:t xml:space="preserve">.  </w:t>
            </w:r>
          </w:p>
        </w:tc>
      </w:tr>
      <w:tr w:rsidRPr="00AD7699" w:rsidR="00963DAE" w:rsidTr="00586AE9" w14:paraId="09AA3CFF" w14:textId="77777777">
        <w:trPr>
          <w:trHeight w:val="676"/>
        </w:trPr>
        <w:tc>
          <w:tcPr>
            <w:cnfStyle w:val="001000000000" w:firstRow="0" w:lastRow="0" w:firstColumn="1" w:lastColumn="0" w:oddVBand="0" w:evenVBand="0" w:oddHBand="0" w:evenHBand="0" w:firstRowFirstColumn="0" w:firstRowLastColumn="0" w:lastRowFirstColumn="0" w:lastRowLastColumn="0"/>
            <w:tcW w:w="1980" w:type="dxa"/>
          </w:tcPr>
          <w:p w:rsidRPr="000C5E1E" w:rsidR="00963DAE" w:rsidP="00586AE9" w:rsidRDefault="00963DAE" w14:paraId="744C7BE5" w14:textId="77777777">
            <w:pPr>
              <w:spacing w:line="276" w:lineRule="auto"/>
              <w:rPr>
                <w:rFonts w:ascii="Verdana" w:hAnsi="Verdana"/>
                <w:sz w:val="18"/>
                <w:szCs w:val="18"/>
              </w:rPr>
            </w:pPr>
            <w:r w:rsidRPr="000C5E1E">
              <w:rPr>
                <w:rFonts w:ascii="Verdana" w:hAnsi="Verdana"/>
                <w:sz w:val="18"/>
                <w:szCs w:val="18"/>
              </w:rPr>
              <w:t>UBO 25-procent grens</w:t>
            </w:r>
          </w:p>
        </w:tc>
        <w:tc>
          <w:tcPr>
            <w:tcW w:w="6946" w:type="dxa"/>
          </w:tcPr>
          <w:p w:rsidRPr="00E06F72" w:rsidR="00E06F72" w:rsidP="00586AE9" w:rsidRDefault="00E06F72" w14:paraId="4565A794" w14:textId="019843A2">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06F72">
              <w:rPr>
                <w:rFonts w:ascii="Verdana" w:hAnsi="Verdana"/>
                <w:sz w:val="18"/>
                <w:szCs w:val="18"/>
              </w:rPr>
              <w:t xml:space="preserve">De AMLR </w:t>
            </w:r>
            <w:r w:rsidR="00CD43A1">
              <w:rPr>
                <w:rFonts w:ascii="Verdana" w:hAnsi="Verdana"/>
                <w:sz w:val="18"/>
                <w:szCs w:val="18"/>
              </w:rPr>
              <w:t>bevat</w:t>
            </w:r>
            <w:r w:rsidRPr="00E06F72">
              <w:rPr>
                <w:rFonts w:ascii="Verdana" w:hAnsi="Verdana"/>
                <w:sz w:val="18"/>
                <w:szCs w:val="18"/>
              </w:rPr>
              <w:t xml:space="preserve"> een lidstaatoptie om de grens van 25 procent voor de UBO-registratie voor bepaalde categorieën entiteiten naar beneden bij te stellen in de gevallen dat zich een hoog risico voordoet dat specifiek is voor die lidstaat.</w:t>
            </w:r>
          </w:p>
          <w:p w:rsidRPr="00E06F72" w:rsidR="00963DAE" w:rsidP="00586AE9" w:rsidRDefault="00E06F72" w14:paraId="3539E8F1" w14:textId="2A7EAA87">
            <w:pPr>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06F72">
              <w:rPr>
                <w:rFonts w:ascii="Verdana" w:hAnsi="Verdana"/>
                <w:sz w:val="18"/>
                <w:szCs w:val="18"/>
              </w:rPr>
              <w:t>In Nederland zijn geen categorieën entiteiten bekend waarbij sprake is van een dermate hoog risico dat van deze optie gebruik gemaakt dient te worden.</w:t>
            </w:r>
          </w:p>
        </w:tc>
      </w:tr>
    </w:tbl>
    <w:p w:rsidRPr="000C5E1E" w:rsidR="1C1D3E6D" w:rsidP="0008301B" w:rsidRDefault="1C1D3E6D" w14:paraId="74C6F1EA" w14:textId="5CDBEE76">
      <w:pPr>
        <w:spacing w:line="276" w:lineRule="auto"/>
        <w:rPr>
          <w:rFonts w:ascii="Verdana" w:hAnsi="Verdana"/>
          <w:sz w:val="18"/>
          <w:szCs w:val="18"/>
        </w:rPr>
      </w:pPr>
    </w:p>
    <w:sectPr w:rsidRPr="000C5E1E" w:rsidR="1C1D3E6D">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845F" w14:textId="77777777" w:rsidR="003C687B" w:rsidRDefault="003C687B" w:rsidP="003C687B">
      <w:pPr>
        <w:spacing w:after="0" w:line="240" w:lineRule="auto"/>
      </w:pPr>
      <w:r>
        <w:separator/>
      </w:r>
    </w:p>
  </w:endnote>
  <w:endnote w:type="continuationSeparator" w:id="0">
    <w:p w14:paraId="78F6BD8E" w14:textId="77777777" w:rsidR="003C687B" w:rsidRDefault="003C687B" w:rsidP="003C687B">
      <w:pPr>
        <w:spacing w:after="0" w:line="240" w:lineRule="auto"/>
      </w:pPr>
      <w:r>
        <w:continuationSeparator/>
      </w:r>
    </w:p>
  </w:endnote>
  <w:endnote w:type="continuationNotice" w:id="1">
    <w:p w14:paraId="331BCAC0" w14:textId="77777777" w:rsidR="00622815" w:rsidRDefault="00622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CAA3" w14:textId="77777777" w:rsidR="003C687B" w:rsidRDefault="003C687B" w:rsidP="003C687B">
      <w:pPr>
        <w:spacing w:after="0" w:line="240" w:lineRule="auto"/>
      </w:pPr>
      <w:r>
        <w:separator/>
      </w:r>
    </w:p>
  </w:footnote>
  <w:footnote w:type="continuationSeparator" w:id="0">
    <w:p w14:paraId="6862BB95" w14:textId="77777777" w:rsidR="003C687B" w:rsidRDefault="003C687B" w:rsidP="003C687B">
      <w:pPr>
        <w:spacing w:after="0" w:line="240" w:lineRule="auto"/>
      </w:pPr>
      <w:r>
        <w:continuationSeparator/>
      </w:r>
    </w:p>
  </w:footnote>
  <w:footnote w:type="continuationNotice" w:id="1">
    <w:p w14:paraId="0F8E5882" w14:textId="77777777" w:rsidR="00622815" w:rsidRDefault="00622815">
      <w:pPr>
        <w:spacing w:after="0" w:line="240" w:lineRule="auto"/>
      </w:pPr>
    </w:p>
  </w:footnote>
  <w:footnote w:id="2">
    <w:p w14:paraId="1F54F2AB" w14:textId="77777777" w:rsidR="00766EB4" w:rsidRDefault="00766EB4" w:rsidP="00766EB4">
      <w:pPr>
        <w:pStyle w:val="Voetnoottekst"/>
        <w:rPr>
          <w:rFonts w:ascii="Calibri" w:hAnsi="Calibri" w:cs="Calibri"/>
          <w:lang w:val="en-GB"/>
        </w:rPr>
      </w:pPr>
      <w:r>
        <w:rPr>
          <w:rStyle w:val="Voetnootmarkering"/>
          <w:lang w:val="en-GB"/>
        </w:rPr>
        <w:t>[1]</w:t>
      </w:r>
      <w:r>
        <w:rPr>
          <w:lang w:val="en-GB"/>
        </w:rPr>
        <w:t xml:space="preserve"> </w:t>
      </w:r>
      <w:hyperlink r:id="rId1" w:history="1">
        <w:r>
          <w:rPr>
            <w:rStyle w:val="Hyperlink"/>
            <w:lang w:val="en-GB"/>
          </w:rPr>
          <w:t>The EBA consults on new rules related to the anti- money laundering and countering the financing of terrorism package | European Banking Authority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D705C"/>
    <w:multiLevelType w:val="hybridMultilevel"/>
    <w:tmpl w:val="E048C8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58A01F2"/>
    <w:multiLevelType w:val="hybridMultilevel"/>
    <w:tmpl w:val="A192FB2E"/>
    <w:lvl w:ilvl="0" w:tplc="BC1ACF74">
      <w:start w:val="1"/>
      <w:numFmt w:val="bullet"/>
      <w:lvlText w:val=""/>
      <w:lvlJc w:val="left"/>
      <w:pPr>
        <w:ind w:left="720" w:hanging="360"/>
      </w:pPr>
      <w:rPr>
        <w:rFonts w:ascii="Symbol" w:hAnsi="Symbol" w:hint="default"/>
      </w:rPr>
    </w:lvl>
    <w:lvl w:ilvl="1" w:tplc="09CE7DD2">
      <w:start w:val="1"/>
      <w:numFmt w:val="bullet"/>
      <w:lvlText w:val="o"/>
      <w:lvlJc w:val="left"/>
      <w:pPr>
        <w:ind w:left="1440" w:hanging="360"/>
      </w:pPr>
      <w:rPr>
        <w:rFonts w:ascii="Courier New" w:hAnsi="Courier New" w:hint="default"/>
      </w:rPr>
    </w:lvl>
    <w:lvl w:ilvl="2" w:tplc="4A0882CA">
      <w:start w:val="1"/>
      <w:numFmt w:val="bullet"/>
      <w:lvlText w:val=""/>
      <w:lvlJc w:val="left"/>
      <w:pPr>
        <w:ind w:left="2160" w:hanging="360"/>
      </w:pPr>
      <w:rPr>
        <w:rFonts w:ascii="Wingdings" w:hAnsi="Wingdings" w:hint="default"/>
      </w:rPr>
    </w:lvl>
    <w:lvl w:ilvl="3" w:tplc="F5426D4A">
      <w:start w:val="1"/>
      <w:numFmt w:val="bullet"/>
      <w:lvlText w:val=""/>
      <w:lvlJc w:val="left"/>
      <w:pPr>
        <w:ind w:left="2880" w:hanging="360"/>
      </w:pPr>
      <w:rPr>
        <w:rFonts w:ascii="Symbol" w:hAnsi="Symbol" w:hint="default"/>
      </w:rPr>
    </w:lvl>
    <w:lvl w:ilvl="4" w:tplc="1326DE20">
      <w:start w:val="1"/>
      <w:numFmt w:val="bullet"/>
      <w:lvlText w:val="o"/>
      <w:lvlJc w:val="left"/>
      <w:pPr>
        <w:ind w:left="3600" w:hanging="360"/>
      </w:pPr>
      <w:rPr>
        <w:rFonts w:ascii="Courier New" w:hAnsi="Courier New" w:hint="default"/>
      </w:rPr>
    </w:lvl>
    <w:lvl w:ilvl="5" w:tplc="F79E343A">
      <w:start w:val="1"/>
      <w:numFmt w:val="bullet"/>
      <w:lvlText w:val=""/>
      <w:lvlJc w:val="left"/>
      <w:pPr>
        <w:ind w:left="4320" w:hanging="360"/>
      </w:pPr>
      <w:rPr>
        <w:rFonts w:ascii="Wingdings" w:hAnsi="Wingdings" w:hint="default"/>
      </w:rPr>
    </w:lvl>
    <w:lvl w:ilvl="6" w:tplc="022A6F34">
      <w:start w:val="1"/>
      <w:numFmt w:val="bullet"/>
      <w:lvlText w:val=""/>
      <w:lvlJc w:val="left"/>
      <w:pPr>
        <w:ind w:left="5040" w:hanging="360"/>
      </w:pPr>
      <w:rPr>
        <w:rFonts w:ascii="Symbol" w:hAnsi="Symbol" w:hint="default"/>
      </w:rPr>
    </w:lvl>
    <w:lvl w:ilvl="7" w:tplc="870C514E">
      <w:start w:val="1"/>
      <w:numFmt w:val="bullet"/>
      <w:lvlText w:val="o"/>
      <w:lvlJc w:val="left"/>
      <w:pPr>
        <w:ind w:left="5760" w:hanging="360"/>
      </w:pPr>
      <w:rPr>
        <w:rFonts w:ascii="Courier New" w:hAnsi="Courier New" w:hint="default"/>
      </w:rPr>
    </w:lvl>
    <w:lvl w:ilvl="8" w:tplc="A04E5A14">
      <w:start w:val="1"/>
      <w:numFmt w:val="bullet"/>
      <w:lvlText w:val=""/>
      <w:lvlJc w:val="left"/>
      <w:pPr>
        <w:ind w:left="6480" w:hanging="360"/>
      </w:pPr>
      <w:rPr>
        <w:rFonts w:ascii="Wingdings" w:hAnsi="Wingdings" w:hint="default"/>
      </w:rPr>
    </w:lvl>
  </w:abstractNum>
  <w:num w:numId="1" w16cid:durableId="612594014">
    <w:abstractNumId w:val="1"/>
  </w:num>
  <w:num w:numId="2" w16cid:durableId="579943236">
    <w:abstractNumId w:val="0"/>
  </w:num>
  <w:num w:numId="3" w16cid:durableId="2887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ED6875"/>
    <w:rsid w:val="000151FE"/>
    <w:rsid w:val="000528E6"/>
    <w:rsid w:val="00057B75"/>
    <w:rsid w:val="000641B9"/>
    <w:rsid w:val="00065F55"/>
    <w:rsid w:val="0008301B"/>
    <w:rsid w:val="000C5E1E"/>
    <w:rsid w:val="001537B6"/>
    <w:rsid w:val="00167D56"/>
    <w:rsid w:val="001A5574"/>
    <w:rsid w:val="002340A0"/>
    <w:rsid w:val="00284331"/>
    <w:rsid w:val="00293DB7"/>
    <w:rsid w:val="002B45B4"/>
    <w:rsid w:val="002E5675"/>
    <w:rsid w:val="002E7DDD"/>
    <w:rsid w:val="002F37BE"/>
    <w:rsid w:val="0031447A"/>
    <w:rsid w:val="003C687B"/>
    <w:rsid w:val="00404191"/>
    <w:rsid w:val="00465F33"/>
    <w:rsid w:val="005343A9"/>
    <w:rsid w:val="00537C09"/>
    <w:rsid w:val="005514DF"/>
    <w:rsid w:val="00586AE9"/>
    <w:rsid w:val="005D0BBA"/>
    <w:rsid w:val="00622815"/>
    <w:rsid w:val="00660CEA"/>
    <w:rsid w:val="006677F3"/>
    <w:rsid w:val="006A3449"/>
    <w:rsid w:val="006A55B2"/>
    <w:rsid w:val="006F5403"/>
    <w:rsid w:val="00751580"/>
    <w:rsid w:val="00766EB4"/>
    <w:rsid w:val="007C5B86"/>
    <w:rsid w:val="0082627B"/>
    <w:rsid w:val="00862AC5"/>
    <w:rsid w:val="00893250"/>
    <w:rsid w:val="008C0987"/>
    <w:rsid w:val="00963DAE"/>
    <w:rsid w:val="009A7E93"/>
    <w:rsid w:val="00A02B3E"/>
    <w:rsid w:val="00A307D5"/>
    <w:rsid w:val="00A6073F"/>
    <w:rsid w:val="00A70C08"/>
    <w:rsid w:val="00A75601"/>
    <w:rsid w:val="00AC3CED"/>
    <w:rsid w:val="00AD7699"/>
    <w:rsid w:val="00AF1B0E"/>
    <w:rsid w:val="00B365ED"/>
    <w:rsid w:val="00BE1AE3"/>
    <w:rsid w:val="00C073A8"/>
    <w:rsid w:val="00CD43A1"/>
    <w:rsid w:val="00CD604B"/>
    <w:rsid w:val="00CF03D1"/>
    <w:rsid w:val="00CF32F1"/>
    <w:rsid w:val="00D30091"/>
    <w:rsid w:val="00D7670C"/>
    <w:rsid w:val="00DF1B4E"/>
    <w:rsid w:val="00E06F72"/>
    <w:rsid w:val="00E148B3"/>
    <w:rsid w:val="00EE478B"/>
    <w:rsid w:val="1C1D3E6D"/>
    <w:rsid w:val="6FED68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FED6875"/>
  <w15:chartTrackingRefBased/>
  <w15:docId w15:val="{DF7FF72B-5DEB-413F-BC26-6CDAA38D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3DAE"/>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jstalinea">
    <w:name w:val="List Paragraph"/>
    <w:basedOn w:val="Standaard"/>
    <w:uiPriority w:val="34"/>
    <w:qFormat/>
    <w:pPr>
      <w:ind w:left="720"/>
      <w:contextualSpacing/>
    </w:pPr>
  </w:style>
  <w:style w:type="table" w:styleId="Lijsttabel4">
    <w:name w:val="List Table 4"/>
    <w:basedOn w:val="Standaardtabel"/>
    <w:uiPriority w:val="49"/>
    <w:rsid w:val="003C687B"/>
    <w:pPr>
      <w:spacing w:after="0" w:line="240" w:lineRule="auto"/>
    </w:pPr>
    <w:rPr>
      <w:rFonts w:ascii="Verdana" w:hAnsi="Verdana"/>
      <w:sz w:val="18"/>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Verwijzingopmerking">
    <w:name w:val="annotation reference"/>
    <w:basedOn w:val="Standaardalinea-lettertype"/>
    <w:uiPriority w:val="99"/>
    <w:semiHidden/>
    <w:unhideWhenUsed/>
    <w:rsid w:val="003C687B"/>
    <w:rPr>
      <w:sz w:val="16"/>
      <w:szCs w:val="16"/>
    </w:rPr>
  </w:style>
  <w:style w:type="table" w:styleId="Tabelrasterlicht">
    <w:name w:val="Grid Table Light"/>
    <w:basedOn w:val="Standaardtabel"/>
    <w:uiPriority w:val="40"/>
    <w:rsid w:val="00963D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963D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Voetnoottekst">
    <w:name w:val="footnote text"/>
    <w:basedOn w:val="Standaard"/>
    <w:link w:val="VoetnoottekstChar"/>
    <w:uiPriority w:val="99"/>
    <w:semiHidden/>
    <w:unhideWhenUsed/>
    <w:rsid w:val="00B365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365ED"/>
    <w:rPr>
      <w:sz w:val="20"/>
      <w:szCs w:val="20"/>
    </w:rPr>
  </w:style>
  <w:style w:type="character" w:styleId="Voetnootmarkering">
    <w:name w:val="footnote reference"/>
    <w:basedOn w:val="Standaardalinea-lettertype"/>
    <w:uiPriority w:val="99"/>
    <w:semiHidden/>
    <w:unhideWhenUsed/>
    <w:rsid w:val="00B365ED"/>
    <w:rPr>
      <w:vertAlign w:val="superscript"/>
    </w:rPr>
  </w:style>
  <w:style w:type="character" w:styleId="Hyperlink">
    <w:name w:val="Hyperlink"/>
    <w:basedOn w:val="Standaardalinea-lettertype"/>
    <w:uiPriority w:val="99"/>
    <w:unhideWhenUsed/>
    <w:rsid w:val="00B365ED"/>
    <w:rPr>
      <w:color w:val="0563C1" w:themeColor="hyperlink"/>
      <w:u w:val="single"/>
    </w:rPr>
  </w:style>
  <w:style w:type="character" w:styleId="Onopgelostemelding">
    <w:name w:val="Unresolved Mention"/>
    <w:basedOn w:val="Standaardalinea-lettertype"/>
    <w:uiPriority w:val="99"/>
    <w:semiHidden/>
    <w:unhideWhenUsed/>
    <w:rsid w:val="00B365ED"/>
    <w:rPr>
      <w:color w:val="605E5C"/>
      <w:shd w:val="clear" w:color="auto" w:fill="E1DFDD"/>
    </w:rPr>
  </w:style>
  <w:style w:type="paragraph" w:styleId="Koptekst">
    <w:name w:val="header"/>
    <w:basedOn w:val="Standaard"/>
    <w:link w:val="KoptekstChar"/>
    <w:uiPriority w:val="99"/>
    <w:semiHidden/>
    <w:unhideWhenUsed/>
    <w:rsid w:val="006228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22815"/>
  </w:style>
  <w:style w:type="paragraph" w:styleId="Voettekst">
    <w:name w:val="footer"/>
    <w:basedOn w:val="Standaard"/>
    <w:link w:val="VoettekstChar"/>
    <w:uiPriority w:val="99"/>
    <w:semiHidden/>
    <w:unhideWhenUsed/>
    <w:rsid w:val="006228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622815"/>
  </w:style>
  <w:style w:type="paragraph" w:styleId="Revisie">
    <w:name w:val="Revision"/>
    <w:hidden/>
    <w:uiPriority w:val="99"/>
    <w:semiHidden/>
    <w:rsid w:val="006A3449"/>
    <w:pPr>
      <w:spacing w:after="0" w:line="240" w:lineRule="auto"/>
    </w:pPr>
  </w:style>
  <w:style w:type="paragraph" w:styleId="Tekstopmerking">
    <w:name w:val="annotation text"/>
    <w:basedOn w:val="Standaard"/>
    <w:link w:val="TekstopmerkingChar"/>
    <w:uiPriority w:val="99"/>
    <w:unhideWhenUsed/>
    <w:rsid w:val="00CD43A1"/>
    <w:pPr>
      <w:spacing w:line="240" w:lineRule="auto"/>
    </w:pPr>
    <w:rPr>
      <w:sz w:val="20"/>
      <w:szCs w:val="20"/>
    </w:rPr>
  </w:style>
  <w:style w:type="character" w:customStyle="1" w:styleId="TekstopmerkingChar">
    <w:name w:val="Tekst opmerking Char"/>
    <w:basedOn w:val="Standaardalinea-lettertype"/>
    <w:link w:val="Tekstopmerking"/>
    <w:uiPriority w:val="99"/>
    <w:rsid w:val="00CD43A1"/>
    <w:rPr>
      <w:sz w:val="20"/>
      <w:szCs w:val="20"/>
    </w:rPr>
  </w:style>
  <w:style w:type="paragraph" w:styleId="Onderwerpvanopmerking">
    <w:name w:val="annotation subject"/>
    <w:basedOn w:val="Tekstopmerking"/>
    <w:next w:val="Tekstopmerking"/>
    <w:link w:val="OnderwerpvanopmerkingChar"/>
    <w:uiPriority w:val="99"/>
    <w:semiHidden/>
    <w:unhideWhenUsed/>
    <w:rsid w:val="00CD43A1"/>
    <w:rPr>
      <w:b/>
      <w:bCs/>
    </w:rPr>
  </w:style>
  <w:style w:type="character" w:customStyle="1" w:styleId="OnderwerpvanopmerkingChar">
    <w:name w:val="Onderwerp van opmerking Char"/>
    <w:basedOn w:val="TekstopmerkingChar"/>
    <w:link w:val="Onderwerpvanopmerking"/>
    <w:uiPriority w:val="99"/>
    <w:semiHidden/>
    <w:rsid w:val="00CD43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6475">
      <w:bodyDiv w:val="1"/>
      <w:marLeft w:val="0"/>
      <w:marRight w:val="0"/>
      <w:marTop w:val="0"/>
      <w:marBottom w:val="0"/>
      <w:divBdr>
        <w:top w:val="none" w:sz="0" w:space="0" w:color="auto"/>
        <w:left w:val="none" w:sz="0" w:space="0" w:color="auto"/>
        <w:bottom w:val="none" w:sz="0" w:space="0" w:color="auto"/>
        <w:right w:val="none" w:sz="0" w:space="0" w:color="auto"/>
      </w:divBdr>
    </w:div>
    <w:div w:id="75904276">
      <w:bodyDiv w:val="1"/>
      <w:marLeft w:val="0"/>
      <w:marRight w:val="0"/>
      <w:marTop w:val="0"/>
      <w:marBottom w:val="0"/>
      <w:divBdr>
        <w:top w:val="none" w:sz="0" w:space="0" w:color="auto"/>
        <w:left w:val="none" w:sz="0" w:space="0" w:color="auto"/>
        <w:bottom w:val="none" w:sz="0" w:space="0" w:color="auto"/>
        <w:right w:val="none" w:sz="0" w:space="0" w:color="auto"/>
      </w:divBdr>
    </w:div>
    <w:div w:id="220408682">
      <w:bodyDiv w:val="1"/>
      <w:marLeft w:val="0"/>
      <w:marRight w:val="0"/>
      <w:marTop w:val="0"/>
      <w:marBottom w:val="0"/>
      <w:divBdr>
        <w:top w:val="none" w:sz="0" w:space="0" w:color="auto"/>
        <w:left w:val="none" w:sz="0" w:space="0" w:color="auto"/>
        <w:bottom w:val="none" w:sz="0" w:space="0" w:color="auto"/>
        <w:right w:val="none" w:sz="0" w:space="0" w:color="auto"/>
      </w:divBdr>
    </w:div>
    <w:div w:id="276378974">
      <w:bodyDiv w:val="1"/>
      <w:marLeft w:val="0"/>
      <w:marRight w:val="0"/>
      <w:marTop w:val="0"/>
      <w:marBottom w:val="0"/>
      <w:divBdr>
        <w:top w:val="none" w:sz="0" w:space="0" w:color="auto"/>
        <w:left w:val="none" w:sz="0" w:space="0" w:color="auto"/>
        <w:bottom w:val="none" w:sz="0" w:space="0" w:color="auto"/>
        <w:right w:val="none" w:sz="0" w:space="0" w:color="auto"/>
      </w:divBdr>
    </w:div>
    <w:div w:id="336471161">
      <w:bodyDiv w:val="1"/>
      <w:marLeft w:val="0"/>
      <w:marRight w:val="0"/>
      <w:marTop w:val="0"/>
      <w:marBottom w:val="0"/>
      <w:divBdr>
        <w:top w:val="none" w:sz="0" w:space="0" w:color="auto"/>
        <w:left w:val="none" w:sz="0" w:space="0" w:color="auto"/>
        <w:bottom w:val="none" w:sz="0" w:space="0" w:color="auto"/>
        <w:right w:val="none" w:sz="0" w:space="0" w:color="auto"/>
      </w:divBdr>
    </w:div>
    <w:div w:id="483544499">
      <w:bodyDiv w:val="1"/>
      <w:marLeft w:val="0"/>
      <w:marRight w:val="0"/>
      <w:marTop w:val="0"/>
      <w:marBottom w:val="0"/>
      <w:divBdr>
        <w:top w:val="none" w:sz="0" w:space="0" w:color="auto"/>
        <w:left w:val="none" w:sz="0" w:space="0" w:color="auto"/>
        <w:bottom w:val="none" w:sz="0" w:space="0" w:color="auto"/>
        <w:right w:val="none" w:sz="0" w:space="0" w:color="auto"/>
      </w:divBdr>
    </w:div>
    <w:div w:id="560991748">
      <w:bodyDiv w:val="1"/>
      <w:marLeft w:val="0"/>
      <w:marRight w:val="0"/>
      <w:marTop w:val="0"/>
      <w:marBottom w:val="0"/>
      <w:divBdr>
        <w:top w:val="none" w:sz="0" w:space="0" w:color="auto"/>
        <w:left w:val="none" w:sz="0" w:space="0" w:color="auto"/>
        <w:bottom w:val="none" w:sz="0" w:space="0" w:color="auto"/>
        <w:right w:val="none" w:sz="0" w:space="0" w:color="auto"/>
      </w:divBdr>
    </w:div>
    <w:div w:id="771704935">
      <w:bodyDiv w:val="1"/>
      <w:marLeft w:val="0"/>
      <w:marRight w:val="0"/>
      <w:marTop w:val="0"/>
      <w:marBottom w:val="0"/>
      <w:divBdr>
        <w:top w:val="none" w:sz="0" w:space="0" w:color="auto"/>
        <w:left w:val="none" w:sz="0" w:space="0" w:color="auto"/>
        <w:bottom w:val="none" w:sz="0" w:space="0" w:color="auto"/>
        <w:right w:val="none" w:sz="0" w:space="0" w:color="auto"/>
      </w:divBdr>
    </w:div>
    <w:div w:id="983005445">
      <w:bodyDiv w:val="1"/>
      <w:marLeft w:val="0"/>
      <w:marRight w:val="0"/>
      <w:marTop w:val="0"/>
      <w:marBottom w:val="0"/>
      <w:divBdr>
        <w:top w:val="none" w:sz="0" w:space="0" w:color="auto"/>
        <w:left w:val="none" w:sz="0" w:space="0" w:color="auto"/>
        <w:bottom w:val="none" w:sz="0" w:space="0" w:color="auto"/>
        <w:right w:val="none" w:sz="0" w:space="0" w:color="auto"/>
      </w:divBdr>
    </w:div>
    <w:div w:id="1298757581">
      <w:bodyDiv w:val="1"/>
      <w:marLeft w:val="0"/>
      <w:marRight w:val="0"/>
      <w:marTop w:val="0"/>
      <w:marBottom w:val="0"/>
      <w:divBdr>
        <w:top w:val="none" w:sz="0" w:space="0" w:color="auto"/>
        <w:left w:val="none" w:sz="0" w:space="0" w:color="auto"/>
        <w:bottom w:val="none" w:sz="0" w:space="0" w:color="auto"/>
        <w:right w:val="none" w:sz="0" w:space="0" w:color="auto"/>
      </w:divBdr>
    </w:div>
    <w:div w:id="1564213330">
      <w:bodyDiv w:val="1"/>
      <w:marLeft w:val="0"/>
      <w:marRight w:val="0"/>
      <w:marTop w:val="0"/>
      <w:marBottom w:val="0"/>
      <w:divBdr>
        <w:top w:val="none" w:sz="0" w:space="0" w:color="auto"/>
        <w:left w:val="none" w:sz="0" w:space="0" w:color="auto"/>
        <w:bottom w:val="none" w:sz="0" w:space="0" w:color="auto"/>
        <w:right w:val="none" w:sz="0" w:space="0" w:color="auto"/>
      </w:divBdr>
    </w:div>
    <w:div w:id="1866551811">
      <w:bodyDiv w:val="1"/>
      <w:marLeft w:val="0"/>
      <w:marRight w:val="0"/>
      <w:marTop w:val="0"/>
      <w:marBottom w:val="0"/>
      <w:divBdr>
        <w:top w:val="none" w:sz="0" w:space="0" w:color="auto"/>
        <w:left w:val="none" w:sz="0" w:space="0" w:color="auto"/>
        <w:bottom w:val="none" w:sz="0" w:space="0" w:color="auto"/>
        <w:right w:val="none" w:sz="0" w:space="0" w:color="auto"/>
      </w:divBdr>
    </w:div>
    <w:div w:id="212325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publications-and-media/press-releases/eba-consults-new-rules-related-anti-money-laundering-and-countering-financing-terrorism-pac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1374</ap:Words>
  <ap:Characters>7557</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2025-05-13T16:17:00.0000000Z</dcterms:created>
  <dcterms:modified xsi:type="dcterms:W3CDTF">2025-05-13T16:17:00.0000000Z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0x01010013257578DA629F469018C8B6299304B0</vt:lpwstr>
  </property>
  <property fmtid="{D5CDD505-2E9C-101B-9397-08002B2CF9AE}" pid="3" name="MSIP_Label_6800fede-0e59-47ad-af95-4e63bbdb932d_Enabled">
    <vt:lpwstr>true</vt:lpwstr>
  </property>
  <property fmtid="{D5CDD505-2E9C-101B-9397-08002B2CF9AE}" pid="4" name="MSIP_Label_6800fede-0e59-47ad-af95-4e63bbdb932d_SetDate">
    <vt:lpwstr>2025-03-10T15:25:57Z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4627163a-4b09-4e02-97fc-ad4dae249093</vt:lpwstr>
  </property>
  <property fmtid="{D5CDD505-2E9C-101B-9397-08002B2CF9AE}" pid="9" name="MSIP_Label_6800fede-0e59-47ad-af95-4e63bbdb932d_ContentBits">
    <vt:lpwstr>0</vt:lpwstr>
  </property>
</Properties>
</file>