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BBA" w:rsidP="003A67E7" w:rsidRDefault="04ABB71F" w14:paraId="66607062" w14:textId="128509D7">
      <w:pPr>
        <w:spacing w:after="0" w:line="276" w:lineRule="auto"/>
        <w:rPr>
          <w:rFonts w:ascii="Verdana" w:hAnsi="Verdana"/>
          <w:b/>
          <w:bCs/>
          <w:sz w:val="18"/>
          <w:szCs w:val="18"/>
        </w:rPr>
      </w:pPr>
      <w:r w:rsidRPr="00836365">
        <w:rPr>
          <w:rFonts w:ascii="Verdana" w:hAnsi="Verdana"/>
          <w:b/>
          <w:bCs/>
          <w:sz w:val="18"/>
          <w:szCs w:val="18"/>
        </w:rPr>
        <w:t>Beleidsr</w:t>
      </w:r>
      <w:r w:rsidRPr="00836365" w:rsidR="00E46BBA">
        <w:rPr>
          <w:rFonts w:ascii="Verdana" w:hAnsi="Verdana"/>
          <w:b/>
          <w:bCs/>
          <w:sz w:val="18"/>
          <w:szCs w:val="18"/>
        </w:rPr>
        <w:t>eactie ‘</w:t>
      </w:r>
      <w:proofErr w:type="spellStart"/>
      <w:r w:rsidRPr="00836365" w:rsidR="00E46BBA">
        <w:rPr>
          <w:rFonts w:ascii="Verdana" w:hAnsi="Verdana"/>
          <w:b/>
          <w:bCs/>
          <w:i/>
          <w:iCs/>
          <w:sz w:val="18"/>
          <w:szCs w:val="18"/>
        </w:rPr>
        <w:t>NextGen</w:t>
      </w:r>
      <w:proofErr w:type="spellEnd"/>
      <w:r w:rsidRPr="00836365" w:rsidR="00E46BBA">
        <w:rPr>
          <w:rFonts w:ascii="Verdana" w:hAnsi="Verdana"/>
          <w:b/>
          <w:bCs/>
          <w:i/>
          <w:iCs/>
          <w:sz w:val="18"/>
          <w:szCs w:val="18"/>
        </w:rPr>
        <w:t xml:space="preserve"> Poortwachters – Naar een gerichte, proportionele en effectieve aanpak</w:t>
      </w:r>
      <w:r w:rsidRPr="00836365" w:rsidR="00E46BBA">
        <w:rPr>
          <w:rFonts w:ascii="Verdana" w:hAnsi="Verdana"/>
          <w:b/>
          <w:bCs/>
          <w:sz w:val="18"/>
          <w:szCs w:val="18"/>
        </w:rPr>
        <w:t>’</w:t>
      </w:r>
    </w:p>
    <w:p w:rsidRPr="00673637" w:rsidR="0096198D" w:rsidP="003A67E7" w:rsidRDefault="00D20AEE" w14:paraId="4BE63261" w14:textId="3B607B8C">
      <w:pPr>
        <w:spacing w:after="0" w:line="276" w:lineRule="auto"/>
        <w:rPr>
          <w:rFonts w:ascii="Verdana" w:hAnsi="Verdana"/>
          <w:sz w:val="18"/>
          <w:szCs w:val="18"/>
        </w:rPr>
      </w:pPr>
      <w:r w:rsidRPr="00673637">
        <w:rPr>
          <w:rFonts w:ascii="Verdana" w:hAnsi="Verdana"/>
          <w:sz w:val="18"/>
          <w:szCs w:val="18"/>
        </w:rPr>
        <w:t xml:space="preserve">In 2024 heeft de NVB hun </w:t>
      </w:r>
      <w:proofErr w:type="spellStart"/>
      <w:r w:rsidRPr="00673637">
        <w:rPr>
          <w:rFonts w:ascii="Verdana" w:hAnsi="Verdana"/>
          <w:sz w:val="18"/>
          <w:szCs w:val="18"/>
        </w:rPr>
        <w:t>position</w:t>
      </w:r>
      <w:proofErr w:type="spellEnd"/>
      <w:r w:rsidRPr="00673637">
        <w:rPr>
          <w:rFonts w:ascii="Verdana" w:hAnsi="Verdana"/>
          <w:sz w:val="18"/>
          <w:szCs w:val="18"/>
        </w:rPr>
        <w:t xml:space="preserve"> paper ‘</w:t>
      </w:r>
      <w:proofErr w:type="spellStart"/>
      <w:r w:rsidRPr="00673637">
        <w:rPr>
          <w:rFonts w:ascii="Verdana" w:hAnsi="Verdana"/>
          <w:sz w:val="18"/>
          <w:szCs w:val="18"/>
        </w:rPr>
        <w:t>NextGen</w:t>
      </w:r>
      <w:proofErr w:type="spellEnd"/>
      <w:r w:rsidRPr="00673637">
        <w:rPr>
          <w:rFonts w:ascii="Verdana" w:hAnsi="Verdana"/>
          <w:sz w:val="18"/>
          <w:szCs w:val="18"/>
        </w:rPr>
        <w:t xml:space="preserve"> Poortwachters – Naar een gerichte, proportionele en effectieve aanpak’ gepubliceerd.</w:t>
      </w:r>
      <w:r w:rsidRPr="00673637">
        <w:rPr>
          <w:rStyle w:val="Voetnootmarkering"/>
          <w:rFonts w:ascii="Verdana" w:hAnsi="Verdana"/>
          <w:sz w:val="18"/>
          <w:szCs w:val="18"/>
        </w:rPr>
        <w:footnoteReference w:id="2"/>
      </w:r>
      <w:r w:rsidRPr="00673637">
        <w:rPr>
          <w:rFonts w:ascii="Verdana" w:hAnsi="Verdana"/>
          <w:sz w:val="18"/>
          <w:szCs w:val="18"/>
        </w:rPr>
        <w:t xml:space="preserve"> Daarnaast is het </w:t>
      </w:r>
      <w:proofErr w:type="spellStart"/>
      <w:r w:rsidRPr="00673637">
        <w:rPr>
          <w:rFonts w:ascii="Verdana" w:hAnsi="Verdana"/>
          <w:sz w:val="18"/>
          <w:szCs w:val="18"/>
        </w:rPr>
        <w:t>NextGen</w:t>
      </w:r>
      <w:proofErr w:type="spellEnd"/>
      <w:r w:rsidRPr="00673637">
        <w:rPr>
          <w:rFonts w:ascii="Verdana" w:hAnsi="Verdana"/>
          <w:sz w:val="18"/>
          <w:szCs w:val="18"/>
        </w:rPr>
        <w:t xml:space="preserve"> traject opgestart waarbij zowel publieke als private partijen zijn aangehaakt om de samenwerking te verbeteren. Hieronder vindt u in de rechterkolom van alle tabellen onze reactie op de aanbevelingen uit dit rapport.</w:t>
      </w:r>
    </w:p>
    <w:p w:rsidRPr="00836365" w:rsidR="005B37BE" w:rsidP="003A67E7" w:rsidRDefault="005B37BE" w14:paraId="6DD7F619" w14:textId="77777777">
      <w:pPr>
        <w:spacing w:after="0" w:line="276" w:lineRule="auto"/>
        <w:rPr>
          <w:rFonts w:ascii="Verdana" w:hAnsi="Verdana"/>
          <w:b/>
          <w:bCs/>
          <w:sz w:val="18"/>
          <w:szCs w:val="18"/>
        </w:rPr>
      </w:pPr>
    </w:p>
    <w:tbl>
      <w:tblPr>
        <w:tblStyle w:val="Tabelraster"/>
        <w:tblW w:w="0" w:type="auto"/>
        <w:tblLook w:val="04A0" w:firstRow="1" w:lastRow="0" w:firstColumn="1" w:lastColumn="0" w:noHBand="0" w:noVBand="1"/>
      </w:tblPr>
      <w:tblGrid>
        <w:gridCol w:w="3256"/>
        <w:gridCol w:w="5806"/>
      </w:tblGrid>
      <w:tr w:rsidRPr="00836365" w:rsidR="006B0C9F" w:rsidTr="006B0C9F" w14:paraId="111A0E74" w14:textId="77777777">
        <w:tc>
          <w:tcPr>
            <w:tcW w:w="3256" w:type="dxa"/>
          </w:tcPr>
          <w:p w:rsidRPr="00836365" w:rsidR="00E96D30" w:rsidP="003A67E7" w:rsidRDefault="009311C5" w14:paraId="38AC8897" w14:textId="181D4B8B">
            <w:pPr>
              <w:spacing w:line="276" w:lineRule="auto"/>
              <w:rPr>
                <w:rFonts w:ascii="Verdana" w:hAnsi="Verdana"/>
                <w:sz w:val="18"/>
                <w:szCs w:val="18"/>
              </w:rPr>
            </w:pPr>
            <w:r w:rsidRPr="00836365">
              <w:rPr>
                <w:rFonts w:ascii="Verdana" w:hAnsi="Verdana"/>
                <w:sz w:val="18"/>
                <w:szCs w:val="18"/>
              </w:rPr>
              <w:t xml:space="preserve">1. Implementeer vooruitlopend op de inwerkingtreding van de AMLR een aantal principes uit die verordening alvast in de Nederlandse anti-witwas wetgeving. Herzie relevante </w:t>
            </w:r>
            <w:proofErr w:type="spellStart"/>
            <w:r w:rsidRPr="00836365">
              <w:rPr>
                <w:rFonts w:ascii="Verdana" w:hAnsi="Verdana"/>
                <w:sz w:val="18"/>
                <w:szCs w:val="18"/>
              </w:rPr>
              <w:t>Wwft</w:t>
            </w:r>
            <w:proofErr w:type="spellEnd"/>
            <w:r w:rsidRPr="00836365">
              <w:rPr>
                <w:rFonts w:ascii="Verdana" w:hAnsi="Verdana"/>
                <w:sz w:val="18"/>
                <w:szCs w:val="18"/>
              </w:rPr>
              <w:t>-bepalingen door aan te sluiten bij AMLR-bepalingen over klantonderzoek, voortdurende controle, informatiedeling en contant geld.</w:t>
            </w:r>
          </w:p>
        </w:tc>
        <w:tc>
          <w:tcPr>
            <w:tcW w:w="5806" w:type="dxa"/>
          </w:tcPr>
          <w:p w:rsidRPr="00836365" w:rsidR="002E1781" w:rsidP="003A67E7" w:rsidRDefault="002E1781" w14:paraId="43C495AA" w14:textId="77777777">
            <w:pPr>
              <w:pStyle w:val="Lijstalinea"/>
              <w:numPr>
                <w:ilvl w:val="0"/>
                <w:numId w:val="11"/>
              </w:numPr>
              <w:spacing w:line="276" w:lineRule="auto"/>
              <w:rPr>
                <w:rFonts w:ascii="Verdana" w:hAnsi="Verdana"/>
                <w:sz w:val="18"/>
                <w:szCs w:val="18"/>
              </w:rPr>
            </w:pPr>
            <w:r w:rsidRPr="00836365">
              <w:rPr>
                <w:rFonts w:ascii="Verdana" w:hAnsi="Verdana"/>
                <w:sz w:val="18"/>
                <w:szCs w:val="18"/>
              </w:rPr>
              <w:t xml:space="preserve">Het aanpassen van wetgeving op een zorgvuldige en verantwoorde manier duurt gemiddeld twee jaar, inclusief parlementaire behandeling. Dit is ongeveer even lang als nu staat voor de implementatie van het AML-pakket. </w:t>
            </w:r>
          </w:p>
          <w:p w:rsidRPr="003A67E7" w:rsidR="006B0C9F" w:rsidP="003A67E7" w:rsidRDefault="00CE0AEC" w14:paraId="6E4A17CA" w14:textId="4CE538E6">
            <w:pPr>
              <w:pStyle w:val="Lijstalinea"/>
              <w:numPr>
                <w:ilvl w:val="0"/>
                <w:numId w:val="11"/>
              </w:numPr>
              <w:spacing w:line="276" w:lineRule="auto"/>
              <w:rPr>
                <w:rFonts w:ascii="Verdana" w:hAnsi="Verdana" w:eastAsia="Calibri"/>
                <w:sz w:val="18"/>
                <w:szCs w:val="18"/>
              </w:rPr>
            </w:pPr>
            <w:r w:rsidRPr="003A67E7">
              <w:rPr>
                <w:rFonts w:ascii="Verdana" w:hAnsi="Verdana" w:eastAsia="Calibri"/>
                <w:sz w:val="18"/>
                <w:szCs w:val="18"/>
              </w:rPr>
              <w:t xml:space="preserve">De overgang vraagt een zorgvuldige voorbereiding. Poortwachters moeten hun interne processen aanpassen op de nieuwe situatie. </w:t>
            </w:r>
            <w:r w:rsidRPr="003A67E7" w:rsidR="006B0C9F">
              <w:rPr>
                <w:rFonts w:ascii="Verdana" w:hAnsi="Verdana" w:eastAsia="Calibri"/>
                <w:sz w:val="18"/>
                <w:szCs w:val="18"/>
              </w:rPr>
              <w:t xml:space="preserve">Bovendien zal AMLA </w:t>
            </w:r>
            <w:r w:rsidRPr="003A67E7" w:rsidR="0014356E">
              <w:rPr>
                <w:rFonts w:ascii="Verdana" w:hAnsi="Verdana" w:eastAsia="Calibri"/>
                <w:sz w:val="18"/>
                <w:szCs w:val="18"/>
              </w:rPr>
              <w:t xml:space="preserve">de komende twee jaar </w:t>
            </w:r>
            <w:r w:rsidRPr="003A67E7" w:rsidR="006B0C9F">
              <w:rPr>
                <w:rFonts w:ascii="Verdana" w:hAnsi="Verdana" w:eastAsia="Calibri"/>
                <w:sz w:val="18"/>
                <w:szCs w:val="18"/>
              </w:rPr>
              <w:t xml:space="preserve">voor een aantal bepalingen nog nadere uitwerking opstellen. </w:t>
            </w:r>
          </w:p>
          <w:p w:rsidRPr="003A67E7" w:rsidR="00836365" w:rsidP="003A67E7" w:rsidRDefault="00CE0AEC" w14:paraId="47C9873A" w14:textId="10C4B4DC">
            <w:pPr>
              <w:pStyle w:val="Lijstalinea"/>
              <w:numPr>
                <w:ilvl w:val="0"/>
                <w:numId w:val="11"/>
              </w:numPr>
              <w:spacing w:line="276" w:lineRule="auto"/>
              <w:rPr>
                <w:rFonts w:ascii="Verdana" w:hAnsi="Verdana" w:eastAsia="Calibri"/>
                <w:sz w:val="18"/>
                <w:szCs w:val="18"/>
              </w:rPr>
            </w:pPr>
            <w:r w:rsidRPr="003A67E7">
              <w:rPr>
                <w:rFonts w:ascii="Verdana" w:hAnsi="Verdana" w:eastAsia="Calibri"/>
                <w:sz w:val="18"/>
                <w:szCs w:val="18"/>
              </w:rPr>
              <w:t xml:space="preserve">De suggestie om vooruitlopend op de implementatie de </w:t>
            </w:r>
            <w:proofErr w:type="spellStart"/>
            <w:r w:rsidRPr="003A67E7">
              <w:rPr>
                <w:rFonts w:ascii="Verdana" w:hAnsi="Verdana" w:eastAsia="Calibri"/>
                <w:sz w:val="18"/>
                <w:szCs w:val="18"/>
              </w:rPr>
              <w:t>Wwft</w:t>
            </w:r>
            <w:proofErr w:type="spellEnd"/>
            <w:r w:rsidRPr="003A67E7">
              <w:rPr>
                <w:rFonts w:ascii="Verdana" w:hAnsi="Verdana" w:eastAsia="Calibri"/>
                <w:sz w:val="18"/>
                <w:szCs w:val="18"/>
              </w:rPr>
              <w:t xml:space="preserve"> te wijzigen zorgt voor een zwaardere belasting van, en meer onzekerheid voor poortwachters en hun klanten.</w:t>
            </w:r>
            <w:r w:rsidR="0014356E">
              <w:rPr>
                <w:rFonts w:ascii="Verdana" w:hAnsi="Verdana" w:eastAsia="Calibri"/>
                <w:sz w:val="18"/>
                <w:szCs w:val="18"/>
              </w:rPr>
              <w:t xml:space="preserve"> </w:t>
            </w:r>
          </w:p>
          <w:p w:rsidRPr="00836365" w:rsidR="006B0C9F" w:rsidP="003A67E7" w:rsidRDefault="006B0C9F" w14:paraId="4E00D5E2" w14:textId="56A31C33">
            <w:pPr>
              <w:pStyle w:val="Lijstalinea"/>
              <w:spacing w:line="276" w:lineRule="auto"/>
              <w:ind w:left="360"/>
              <w:rPr>
                <w:rFonts w:ascii="Verdana" w:hAnsi="Verdana"/>
                <w:sz w:val="18"/>
                <w:szCs w:val="18"/>
              </w:rPr>
            </w:pPr>
          </w:p>
        </w:tc>
      </w:tr>
      <w:tr w:rsidRPr="00836365" w:rsidR="006B0C9F" w:rsidTr="006B0C9F" w14:paraId="1C1323EC" w14:textId="77777777">
        <w:tc>
          <w:tcPr>
            <w:tcW w:w="3256" w:type="dxa"/>
          </w:tcPr>
          <w:p w:rsidRPr="00836365" w:rsidR="00E96D30" w:rsidP="003A67E7" w:rsidRDefault="00670665" w14:paraId="2FA93954" w14:textId="5E67AF53">
            <w:pPr>
              <w:spacing w:line="276" w:lineRule="auto"/>
              <w:rPr>
                <w:rFonts w:ascii="Verdana" w:hAnsi="Verdana"/>
                <w:sz w:val="18"/>
                <w:szCs w:val="18"/>
              </w:rPr>
            </w:pPr>
            <w:r w:rsidRPr="00836365">
              <w:rPr>
                <w:rFonts w:ascii="Verdana" w:hAnsi="Verdana"/>
                <w:sz w:val="18"/>
                <w:szCs w:val="18"/>
              </w:rPr>
              <w:t>2. Laat banken, opsporingsdiensten, OM en AP objectieve criteria voor informatiedeling, heldere afbakening en waarborgen uitwerken voor het ‘Pull model’ waarmee informatie uit de justitiële keten het startpunt kan worden.</w:t>
            </w:r>
          </w:p>
        </w:tc>
        <w:tc>
          <w:tcPr>
            <w:tcW w:w="5806" w:type="dxa"/>
          </w:tcPr>
          <w:p w:rsidRPr="00836365" w:rsidR="00B3679D" w:rsidP="003A67E7" w:rsidRDefault="00CE0AEC" w14:paraId="0067712A" w14:textId="21366199">
            <w:pPr>
              <w:pStyle w:val="Lijstalinea"/>
              <w:numPr>
                <w:ilvl w:val="0"/>
                <w:numId w:val="6"/>
              </w:numPr>
              <w:spacing w:line="276" w:lineRule="auto"/>
              <w:rPr>
                <w:rFonts w:ascii="Verdana" w:hAnsi="Verdana"/>
                <w:sz w:val="18"/>
                <w:szCs w:val="18"/>
              </w:rPr>
            </w:pPr>
            <w:r w:rsidRPr="00836365">
              <w:rPr>
                <w:rFonts w:ascii="Verdana" w:hAnsi="Verdana"/>
                <w:sz w:val="18"/>
                <w:szCs w:val="18"/>
              </w:rPr>
              <w:t>Het kabinet heeft</w:t>
            </w:r>
            <w:r w:rsidRPr="00836365" w:rsidR="00670665">
              <w:rPr>
                <w:rFonts w:ascii="Verdana" w:hAnsi="Verdana"/>
                <w:sz w:val="18"/>
                <w:szCs w:val="18"/>
              </w:rPr>
              <w:t xml:space="preserve"> begrip voor de vraag om banken, opsporingsdiensten, OM en AP met elkaar in gesprek te laten gaan over mogelijkheden om zo efficiënt mogelijk met </w:t>
            </w:r>
            <w:r w:rsidRPr="0014356E" w:rsidR="00670665">
              <w:rPr>
                <w:rFonts w:ascii="Verdana" w:hAnsi="Verdana"/>
                <w:i/>
                <w:iCs/>
                <w:sz w:val="18"/>
                <w:szCs w:val="18"/>
              </w:rPr>
              <w:t>intelligence</w:t>
            </w:r>
            <w:r w:rsidRPr="00836365" w:rsidR="00670665">
              <w:rPr>
                <w:rFonts w:ascii="Verdana" w:hAnsi="Verdana"/>
                <w:sz w:val="18"/>
                <w:szCs w:val="18"/>
              </w:rPr>
              <w:t xml:space="preserve"> om te gaan. Echter kan de justitieketen niet het startpunt zijn van bankonderzoeken. Het blijft belangrijk dat iedere partij vanuit haar eigen rol de verantwoordelijkheid oppakt voor het tegengaan van witwassen. Dit is verplicht en wenselijk vanuit internationale, Europese en nationale wet- en regelgeving. De eigenstandige</w:t>
            </w:r>
            <w:r w:rsidRPr="00836365" w:rsidR="002F3FCF">
              <w:rPr>
                <w:rFonts w:ascii="Verdana" w:hAnsi="Verdana"/>
                <w:sz w:val="18"/>
                <w:szCs w:val="18"/>
              </w:rPr>
              <w:t xml:space="preserve"> </w:t>
            </w:r>
            <w:r w:rsidRPr="00836365" w:rsidR="00670665">
              <w:rPr>
                <w:rFonts w:ascii="Verdana" w:hAnsi="Verdana"/>
                <w:sz w:val="18"/>
                <w:szCs w:val="18"/>
              </w:rPr>
              <w:t xml:space="preserve">rol van poortwachters kan niet worden vervangen door informatie vanuit de opsporing. Wel kan justitiële informatie </w:t>
            </w:r>
            <w:r w:rsidRPr="00836365" w:rsidR="006B0C9F">
              <w:rPr>
                <w:rFonts w:ascii="Verdana" w:hAnsi="Verdana"/>
                <w:sz w:val="18"/>
                <w:szCs w:val="18"/>
              </w:rPr>
              <w:t>een hulpmiddel</w:t>
            </w:r>
            <w:r w:rsidRPr="00836365" w:rsidR="00670665">
              <w:rPr>
                <w:rFonts w:ascii="Verdana" w:hAnsi="Verdana"/>
                <w:sz w:val="18"/>
                <w:szCs w:val="18"/>
              </w:rPr>
              <w:t xml:space="preserve"> zijn voor de risico-inschatting van de poortwachters. Hiervoor lopen</w:t>
            </w:r>
            <w:r w:rsidR="0014356E">
              <w:rPr>
                <w:rFonts w:ascii="Verdana" w:hAnsi="Verdana"/>
                <w:sz w:val="18"/>
                <w:szCs w:val="18"/>
              </w:rPr>
              <w:t xml:space="preserve"> </w:t>
            </w:r>
            <w:r w:rsidRPr="00836365" w:rsidR="00670665">
              <w:rPr>
                <w:rFonts w:ascii="Verdana" w:hAnsi="Verdana"/>
                <w:sz w:val="18"/>
                <w:szCs w:val="18"/>
              </w:rPr>
              <w:t xml:space="preserve">een aantal initiatieven. </w:t>
            </w:r>
            <w:r w:rsidR="0014356E">
              <w:rPr>
                <w:rFonts w:ascii="Verdana" w:hAnsi="Verdana"/>
                <w:sz w:val="18"/>
                <w:szCs w:val="18"/>
              </w:rPr>
              <w:t>Zie ook de Kamerbrief.</w:t>
            </w:r>
            <w:r w:rsidRPr="00836365" w:rsidR="00CA4C31">
              <w:rPr>
                <w:rFonts w:ascii="Verdana" w:hAnsi="Verdana"/>
                <w:sz w:val="18"/>
                <w:szCs w:val="18"/>
              </w:rPr>
              <w:t xml:space="preserve"> </w:t>
            </w:r>
          </w:p>
          <w:p w:rsidRPr="00836365" w:rsidR="006B0C9F" w:rsidP="003A67E7" w:rsidRDefault="006B0C9F" w14:paraId="267A659B" w14:textId="3E4AF4B0">
            <w:pPr>
              <w:pStyle w:val="Lijstalinea"/>
              <w:numPr>
                <w:ilvl w:val="0"/>
                <w:numId w:val="6"/>
              </w:numPr>
              <w:spacing w:line="276" w:lineRule="auto"/>
              <w:rPr>
                <w:rFonts w:ascii="Verdana" w:hAnsi="Verdana"/>
                <w:sz w:val="18"/>
                <w:szCs w:val="18"/>
              </w:rPr>
            </w:pPr>
            <w:r w:rsidRPr="00836365">
              <w:rPr>
                <w:rFonts w:ascii="Verdana" w:hAnsi="Verdana"/>
                <w:sz w:val="18"/>
                <w:szCs w:val="18"/>
              </w:rPr>
              <w:t xml:space="preserve">In het kader van het door de NVB gestarte </w:t>
            </w:r>
            <w:proofErr w:type="spellStart"/>
            <w:r w:rsidRPr="00836365">
              <w:rPr>
                <w:rFonts w:ascii="Verdana" w:hAnsi="Verdana"/>
                <w:sz w:val="18"/>
                <w:szCs w:val="18"/>
              </w:rPr>
              <w:t>NextGen</w:t>
            </w:r>
            <w:proofErr w:type="spellEnd"/>
            <w:r w:rsidR="0014356E">
              <w:rPr>
                <w:rFonts w:ascii="Verdana" w:hAnsi="Verdana"/>
                <w:sz w:val="18"/>
                <w:szCs w:val="18"/>
              </w:rPr>
              <w:t>-</w:t>
            </w:r>
            <w:r w:rsidRPr="00836365">
              <w:rPr>
                <w:rFonts w:ascii="Verdana" w:hAnsi="Verdana"/>
                <w:sz w:val="18"/>
                <w:szCs w:val="18"/>
              </w:rPr>
              <w:t xml:space="preserve">traject </w:t>
            </w:r>
            <w:r w:rsidRPr="00836365" w:rsidR="00774ADF">
              <w:rPr>
                <w:rFonts w:ascii="Verdana" w:hAnsi="Verdana"/>
                <w:sz w:val="18"/>
                <w:szCs w:val="18"/>
              </w:rPr>
              <w:t xml:space="preserve">zijn de banken samen met FIU-NL aan het verkennen wat zij kunnen delen in het kader van de feedbackloop, zowel onder de huidige als nieuwe wetgeving. De opsporingspartners (OM, Politie, FIOD) worden hierbij betrokken. </w:t>
            </w:r>
          </w:p>
          <w:p w:rsidRPr="003A67E7" w:rsidR="00B3679D" w:rsidP="003A67E7" w:rsidRDefault="00B3679D" w14:paraId="0A092668" w14:textId="17866A6D">
            <w:pPr>
              <w:spacing w:line="276" w:lineRule="auto"/>
              <w:rPr>
                <w:rFonts w:ascii="Verdana" w:hAnsi="Verdana"/>
                <w:sz w:val="18"/>
                <w:szCs w:val="18"/>
              </w:rPr>
            </w:pPr>
          </w:p>
        </w:tc>
      </w:tr>
      <w:tr w:rsidRPr="00836365" w:rsidR="006B0C9F" w:rsidTr="006B0C9F" w14:paraId="3D7F3228" w14:textId="77777777">
        <w:tc>
          <w:tcPr>
            <w:tcW w:w="3256" w:type="dxa"/>
          </w:tcPr>
          <w:p w:rsidRPr="00836365" w:rsidR="00E96D30" w:rsidP="003A67E7" w:rsidRDefault="00670665" w14:paraId="2555DACB" w14:textId="656CEE05">
            <w:pPr>
              <w:spacing w:line="276" w:lineRule="auto"/>
              <w:rPr>
                <w:rFonts w:ascii="Verdana" w:hAnsi="Verdana"/>
                <w:sz w:val="18"/>
                <w:szCs w:val="18"/>
              </w:rPr>
            </w:pPr>
            <w:r w:rsidRPr="00836365">
              <w:rPr>
                <w:rFonts w:ascii="Verdana" w:hAnsi="Verdana"/>
                <w:sz w:val="18"/>
                <w:szCs w:val="18"/>
              </w:rPr>
              <w:t>3. Laat banken – in overleg met toezichthouders (DNB en AP) – de condities bepalen voor stoppen met maatregelen met weinig toegevoegde waarde.</w:t>
            </w:r>
          </w:p>
        </w:tc>
        <w:tc>
          <w:tcPr>
            <w:tcW w:w="5806" w:type="dxa"/>
          </w:tcPr>
          <w:p w:rsidRPr="00836365" w:rsidR="00F277B8" w:rsidP="003A67E7" w:rsidRDefault="00670665" w14:paraId="51B817DE" w14:textId="7A1E315B">
            <w:pPr>
              <w:pStyle w:val="Lijstalinea"/>
              <w:numPr>
                <w:ilvl w:val="0"/>
                <w:numId w:val="7"/>
              </w:numPr>
              <w:spacing w:line="276" w:lineRule="auto"/>
              <w:rPr>
                <w:rFonts w:ascii="Verdana" w:hAnsi="Verdana"/>
                <w:sz w:val="18"/>
                <w:szCs w:val="18"/>
              </w:rPr>
            </w:pPr>
            <w:r w:rsidRPr="00836365">
              <w:rPr>
                <w:rFonts w:ascii="Verdana" w:hAnsi="Verdana"/>
                <w:sz w:val="18"/>
                <w:szCs w:val="18"/>
              </w:rPr>
              <w:t>Op 19 februari</w:t>
            </w:r>
            <w:r w:rsidR="00BD6DAB">
              <w:rPr>
                <w:rFonts w:ascii="Verdana" w:hAnsi="Verdana"/>
                <w:sz w:val="18"/>
                <w:szCs w:val="18"/>
              </w:rPr>
              <w:t xml:space="preserve"> zijn wij </w:t>
            </w:r>
            <w:r w:rsidRPr="00836365" w:rsidR="00CE0AEC">
              <w:rPr>
                <w:rFonts w:ascii="Verdana" w:hAnsi="Verdana"/>
                <w:sz w:val="18"/>
                <w:szCs w:val="18"/>
              </w:rPr>
              <w:t xml:space="preserve">samen </w:t>
            </w:r>
            <w:r w:rsidRPr="00836365">
              <w:rPr>
                <w:rFonts w:ascii="Verdana" w:hAnsi="Verdana"/>
                <w:sz w:val="18"/>
                <w:szCs w:val="18"/>
              </w:rPr>
              <w:t xml:space="preserve">het gesprek aangegaan met de banken, DNB, </w:t>
            </w:r>
            <w:r w:rsidR="0036294A">
              <w:rPr>
                <w:rFonts w:ascii="Verdana" w:hAnsi="Verdana"/>
                <w:sz w:val="18"/>
                <w:szCs w:val="18"/>
              </w:rPr>
              <w:t xml:space="preserve">AP, het FEC, </w:t>
            </w:r>
            <w:r w:rsidRPr="00836365">
              <w:rPr>
                <w:rFonts w:ascii="Verdana" w:hAnsi="Verdana"/>
                <w:sz w:val="18"/>
                <w:szCs w:val="18"/>
              </w:rPr>
              <w:t xml:space="preserve">OM en FIU-NL. Hierbij is besproken dat de justitieketen niet het startpunt </w:t>
            </w:r>
            <w:r w:rsidRPr="00836365" w:rsidR="006B0C9F">
              <w:rPr>
                <w:rFonts w:ascii="Verdana" w:hAnsi="Verdana"/>
                <w:sz w:val="18"/>
                <w:szCs w:val="18"/>
              </w:rPr>
              <w:t xml:space="preserve">kan </w:t>
            </w:r>
            <w:r w:rsidRPr="00836365">
              <w:rPr>
                <w:rFonts w:ascii="Verdana" w:hAnsi="Verdana"/>
                <w:sz w:val="18"/>
                <w:szCs w:val="18"/>
              </w:rPr>
              <w:t xml:space="preserve">zijn van bankonderzoeken. Het blijft belangrijk dat iedere partij vanuit haar eigen rol de verantwoordelijkheid oppakt voor het tegengaan van witwassen. </w:t>
            </w:r>
            <w:r w:rsidRPr="00836365" w:rsidR="006B0C9F">
              <w:rPr>
                <w:rFonts w:ascii="Verdana" w:hAnsi="Verdana"/>
                <w:sz w:val="18"/>
                <w:szCs w:val="18"/>
              </w:rPr>
              <w:t xml:space="preserve">Er kan dus niet gestopt worden met klantonderzoek of transactiemonitoring. De </w:t>
            </w:r>
            <w:proofErr w:type="spellStart"/>
            <w:r w:rsidRPr="00836365" w:rsidR="006B0C9F">
              <w:rPr>
                <w:rFonts w:ascii="Verdana" w:hAnsi="Verdana"/>
                <w:sz w:val="18"/>
                <w:szCs w:val="18"/>
              </w:rPr>
              <w:t>Wwft</w:t>
            </w:r>
            <w:proofErr w:type="spellEnd"/>
            <w:r w:rsidRPr="00836365" w:rsidR="006B0C9F">
              <w:rPr>
                <w:rFonts w:ascii="Verdana" w:hAnsi="Verdana"/>
                <w:sz w:val="18"/>
                <w:szCs w:val="18"/>
              </w:rPr>
              <w:t xml:space="preserve"> en straks de AMLR, dient te worden nageleefd. </w:t>
            </w:r>
          </w:p>
          <w:p w:rsidRPr="00836365" w:rsidR="006B0C9F" w:rsidP="003A67E7" w:rsidRDefault="006B0C9F" w14:paraId="0EAAB19F" w14:textId="13CFE4A2">
            <w:pPr>
              <w:pStyle w:val="Lijstalinea"/>
              <w:numPr>
                <w:ilvl w:val="0"/>
                <w:numId w:val="7"/>
              </w:numPr>
              <w:spacing w:line="276" w:lineRule="auto"/>
              <w:rPr>
                <w:rFonts w:ascii="Verdana" w:hAnsi="Verdana"/>
                <w:sz w:val="18"/>
                <w:szCs w:val="18"/>
              </w:rPr>
            </w:pPr>
            <w:r w:rsidRPr="00836365">
              <w:rPr>
                <w:rFonts w:ascii="Verdana" w:hAnsi="Verdana"/>
                <w:sz w:val="18"/>
                <w:szCs w:val="18"/>
              </w:rPr>
              <w:lastRenderedPageBreak/>
              <w:t xml:space="preserve">Wel </w:t>
            </w:r>
            <w:r w:rsidR="0014356E">
              <w:rPr>
                <w:rFonts w:ascii="Verdana" w:hAnsi="Verdana"/>
                <w:sz w:val="18"/>
                <w:szCs w:val="18"/>
              </w:rPr>
              <w:t>is het belangrijk dat wordt gekeken</w:t>
            </w:r>
            <w:r w:rsidRPr="00836365">
              <w:rPr>
                <w:rFonts w:ascii="Verdana" w:hAnsi="Verdana"/>
                <w:sz w:val="18"/>
                <w:szCs w:val="18"/>
              </w:rPr>
              <w:t xml:space="preserve"> hoe dit meer </w:t>
            </w:r>
            <w:proofErr w:type="spellStart"/>
            <w:r w:rsidRPr="00836365">
              <w:rPr>
                <w:rFonts w:ascii="Verdana" w:hAnsi="Verdana"/>
                <w:sz w:val="18"/>
                <w:szCs w:val="18"/>
              </w:rPr>
              <w:t>risicogebaseerd</w:t>
            </w:r>
            <w:proofErr w:type="spellEnd"/>
            <w:r w:rsidRPr="00836365">
              <w:rPr>
                <w:rFonts w:ascii="Verdana" w:hAnsi="Verdana"/>
                <w:sz w:val="18"/>
                <w:szCs w:val="18"/>
              </w:rPr>
              <w:t xml:space="preserve"> kan en hoe het cliëntenonderzoek daarop kan worden aangepast. </w:t>
            </w:r>
          </w:p>
          <w:p w:rsidRPr="00836365" w:rsidR="00F277B8" w:rsidP="003A67E7" w:rsidRDefault="00670665" w14:paraId="737C8175" w14:textId="1B7EB49C">
            <w:pPr>
              <w:pStyle w:val="Lijstalinea"/>
              <w:numPr>
                <w:ilvl w:val="0"/>
                <w:numId w:val="7"/>
              </w:numPr>
              <w:spacing w:line="276" w:lineRule="auto"/>
              <w:rPr>
                <w:rFonts w:ascii="Verdana" w:hAnsi="Verdana"/>
                <w:sz w:val="18"/>
                <w:szCs w:val="18"/>
              </w:rPr>
            </w:pPr>
            <w:r w:rsidRPr="00836365">
              <w:rPr>
                <w:rFonts w:ascii="Verdana" w:hAnsi="Verdana"/>
                <w:sz w:val="18"/>
                <w:szCs w:val="18"/>
              </w:rPr>
              <w:t>Het initiatief om een raamwerk op te zetten door banken, in samenspraak met de DNB en de AP zelf om aan te tonen welke maatregelen niet of nauwelijks bijdragen aan resultaten juich</w:t>
            </w:r>
            <w:r w:rsidRPr="00836365" w:rsidR="00F277B8">
              <w:rPr>
                <w:rFonts w:ascii="Verdana" w:hAnsi="Verdana"/>
                <w:sz w:val="18"/>
                <w:szCs w:val="18"/>
              </w:rPr>
              <w:t>en wij</w:t>
            </w:r>
            <w:r w:rsidRPr="00836365">
              <w:rPr>
                <w:rFonts w:ascii="Verdana" w:hAnsi="Verdana"/>
                <w:sz w:val="18"/>
                <w:szCs w:val="18"/>
              </w:rPr>
              <w:t xml:space="preserve"> toe.</w:t>
            </w:r>
            <w:r w:rsidRPr="00836365" w:rsidR="00F277B8">
              <w:rPr>
                <w:rFonts w:ascii="Verdana" w:hAnsi="Verdana"/>
                <w:sz w:val="18"/>
                <w:szCs w:val="18"/>
              </w:rPr>
              <w:t xml:space="preserve"> Het besluit om te stoppen met een maatregel dient </w:t>
            </w:r>
            <w:r w:rsidRPr="00836365" w:rsidR="00CA4C31">
              <w:rPr>
                <w:rFonts w:ascii="Verdana" w:hAnsi="Verdana"/>
                <w:sz w:val="18"/>
                <w:szCs w:val="18"/>
              </w:rPr>
              <w:t xml:space="preserve">gemaakt te worden door de </w:t>
            </w:r>
            <w:r w:rsidRPr="00836365" w:rsidR="006B0C9F">
              <w:rPr>
                <w:rFonts w:ascii="Verdana" w:hAnsi="Verdana"/>
                <w:sz w:val="18"/>
                <w:szCs w:val="18"/>
              </w:rPr>
              <w:t>banken</w:t>
            </w:r>
            <w:r w:rsidRPr="00836365" w:rsidR="00CA4C31">
              <w:rPr>
                <w:rFonts w:ascii="Verdana" w:hAnsi="Verdana"/>
                <w:sz w:val="18"/>
                <w:szCs w:val="18"/>
              </w:rPr>
              <w:t xml:space="preserve"> in overleg met de toezichthouder.</w:t>
            </w:r>
          </w:p>
          <w:p w:rsidRPr="00836365" w:rsidR="002F3FCF" w:rsidP="003A67E7" w:rsidRDefault="002F3FCF" w14:paraId="7895F1B3" w14:textId="032FE1C5">
            <w:pPr>
              <w:pStyle w:val="Lijstalinea"/>
              <w:numPr>
                <w:ilvl w:val="0"/>
                <w:numId w:val="7"/>
              </w:numPr>
              <w:spacing w:line="276" w:lineRule="auto"/>
              <w:rPr>
                <w:rFonts w:ascii="Verdana" w:hAnsi="Verdana"/>
                <w:sz w:val="18"/>
                <w:szCs w:val="18"/>
              </w:rPr>
            </w:pPr>
            <w:r w:rsidRPr="00836365">
              <w:rPr>
                <w:rFonts w:ascii="Verdana" w:hAnsi="Verdana"/>
                <w:sz w:val="18"/>
                <w:szCs w:val="18"/>
              </w:rPr>
              <w:t xml:space="preserve">DNB </w:t>
            </w:r>
            <w:r w:rsidRPr="00836365" w:rsidR="00CE0AEC">
              <w:rPr>
                <w:rFonts w:ascii="Verdana" w:hAnsi="Verdana"/>
                <w:sz w:val="18"/>
                <w:szCs w:val="18"/>
              </w:rPr>
              <w:t>spreekt banken er nu op aan als er maatregelen zijn die niet in verhouding staan tot het witwasrisico.</w:t>
            </w:r>
            <w:r w:rsidRPr="00836365">
              <w:rPr>
                <w:rFonts w:ascii="Verdana" w:hAnsi="Verdana"/>
                <w:sz w:val="18"/>
                <w:szCs w:val="18"/>
              </w:rPr>
              <w:t xml:space="preserve"> Dit helpt instellingen om onnodige maatregelen af te schalen.</w:t>
            </w:r>
          </w:p>
          <w:p w:rsidRPr="00836365" w:rsidR="006B0C9F" w:rsidP="003A67E7" w:rsidRDefault="006B0C9F" w14:paraId="69B77137" w14:textId="5E19A199">
            <w:pPr>
              <w:pStyle w:val="Lijstalinea"/>
              <w:spacing w:line="276" w:lineRule="auto"/>
              <w:ind w:left="360"/>
              <w:rPr>
                <w:rFonts w:ascii="Verdana" w:hAnsi="Verdana"/>
                <w:sz w:val="18"/>
                <w:szCs w:val="18"/>
              </w:rPr>
            </w:pPr>
          </w:p>
        </w:tc>
      </w:tr>
      <w:tr w:rsidRPr="00836365" w:rsidR="006B0C9F" w:rsidTr="006B0C9F" w14:paraId="5A92C7CB" w14:textId="77777777">
        <w:tc>
          <w:tcPr>
            <w:tcW w:w="3256" w:type="dxa"/>
          </w:tcPr>
          <w:p w:rsidRPr="00836365" w:rsidR="00E96D30" w:rsidP="003A67E7" w:rsidRDefault="00670665" w14:paraId="53B406F1" w14:textId="1E5C2CA1">
            <w:pPr>
              <w:spacing w:line="276" w:lineRule="auto"/>
              <w:rPr>
                <w:rFonts w:ascii="Verdana" w:hAnsi="Verdana"/>
                <w:sz w:val="18"/>
                <w:szCs w:val="18"/>
              </w:rPr>
            </w:pPr>
            <w:r w:rsidRPr="00836365">
              <w:rPr>
                <w:rFonts w:ascii="Verdana" w:hAnsi="Verdana"/>
                <w:sz w:val="18"/>
                <w:szCs w:val="18"/>
              </w:rPr>
              <w:lastRenderedPageBreak/>
              <w:t xml:space="preserve">4. Maak het mogelijk voor banken om in 2025 een pilot starten om de </w:t>
            </w:r>
            <w:proofErr w:type="spellStart"/>
            <w:r w:rsidRPr="00836365">
              <w:rPr>
                <w:rFonts w:ascii="Verdana" w:hAnsi="Verdana"/>
                <w:sz w:val="18"/>
                <w:szCs w:val="18"/>
              </w:rPr>
              <w:t>NextGen</w:t>
            </w:r>
            <w:proofErr w:type="spellEnd"/>
            <w:r w:rsidRPr="00836365">
              <w:rPr>
                <w:rFonts w:ascii="Verdana" w:hAnsi="Verdana"/>
                <w:sz w:val="18"/>
                <w:szCs w:val="18"/>
              </w:rPr>
              <w:t xml:space="preserve"> Poortwachters aanpak in de praktijk te toetsen, zodat resultaten geëvalueerd en lessen getrokken zijn voor de inwerkingtreding van de AMLR.</w:t>
            </w:r>
          </w:p>
        </w:tc>
        <w:tc>
          <w:tcPr>
            <w:tcW w:w="5806" w:type="dxa"/>
          </w:tcPr>
          <w:p w:rsidRPr="00836365" w:rsidR="00670665" w:rsidP="003A67E7" w:rsidRDefault="00670665" w14:paraId="60C644D8" w14:textId="2982E721">
            <w:pPr>
              <w:pStyle w:val="Lijstalinea"/>
              <w:numPr>
                <w:ilvl w:val="0"/>
                <w:numId w:val="8"/>
              </w:numPr>
              <w:spacing w:line="276" w:lineRule="auto"/>
              <w:rPr>
                <w:rFonts w:ascii="Verdana" w:hAnsi="Verdana"/>
                <w:sz w:val="18"/>
                <w:szCs w:val="18"/>
              </w:rPr>
            </w:pPr>
            <w:r w:rsidRPr="00836365">
              <w:rPr>
                <w:rFonts w:ascii="Verdana" w:hAnsi="Verdana"/>
                <w:sz w:val="18"/>
                <w:szCs w:val="18"/>
              </w:rPr>
              <w:t xml:space="preserve">Het </w:t>
            </w:r>
            <w:proofErr w:type="spellStart"/>
            <w:r w:rsidRPr="00836365">
              <w:rPr>
                <w:rFonts w:ascii="Verdana" w:hAnsi="Verdana"/>
                <w:sz w:val="18"/>
                <w:szCs w:val="18"/>
              </w:rPr>
              <w:t>NextGen</w:t>
            </w:r>
            <w:proofErr w:type="spellEnd"/>
            <w:r w:rsidR="0014356E">
              <w:rPr>
                <w:rFonts w:ascii="Verdana" w:hAnsi="Verdana"/>
                <w:sz w:val="18"/>
                <w:szCs w:val="18"/>
              </w:rPr>
              <w:t>-</w:t>
            </w:r>
            <w:r w:rsidRPr="00836365">
              <w:rPr>
                <w:rFonts w:ascii="Verdana" w:hAnsi="Verdana"/>
                <w:sz w:val="18"/>
                <w:szCs w:val="18"/>
              </w:rPr>
              <w:t>traject</w:t>
            </w:r>
            <w:r w:rsidR="003A67E7">
              <w:rPr>
                <w:rFonts w:ascii="Verdana" w:hAnsi="Verdana"/>
                <w:sz w:val="18"/>
                <w:szCs w:val="18"/>
              </w:rPr>
              <w:t xml:space="preserve"> van de banken</w:t>
            </w:r>
            <w:r w:rsidRPr="00836365">
              <w:rPr>
                <w:rFonts w:ascii="Verdana" w:hAnsi="Verdana"/>
                <w:sz w:val="18"/>
                <w:szCs w:val="18"/>
              </w:rPr>
              <w:t xml:space="preserve"> is via drie werkstromen in uitvoering: 1) verrijken vorderingen, 2) optimaliseren feedbackloop en 3) multilateraal klantonderzoek. Hierbij zijn naast de banken ook publieke partijen betrokken. </w:t>
            </w:r>
          </w:p>
          <w:p w:rsidRPr="00836365" w:rsidR="00670665" w:rsidP="003A67E7" w:rsidRDefault="00670665" w14:paraId="2523CF63" w14:textId="033A5E61">
            <w:pPr>
              <w:pStyle w:val="Lijstalinea"/>
              <w:numPr>
                <w:ilvl w:val="0"/>
                <w:numId w:val="8"/>
              </w:numPr>
              <w:spacing w:line="276" w:lineRule="auto"/>
              <w:rPr>
                <w:rFonts w:ascii="Verdana" w:hAnsi="Verdana"/>
                <w:sz w:val="18"/>
                <w:szCs w:val="18"/>
              </w:rPr>
            </w:pPr>
            <w:r w:rsidRPr="00836365">
              <w:rPr>
                <w:rFonts w:ascii="Verdana" w:hAnsi="Verdana"/>
                <w:sz w:val="18"/>
                <w:szCs w:val="18"/>
              </w:rPr>
              <w:t xml:space="preserve">Dit is een lopend initiatief en </w:t>
            </w:r>
            <w:r w:rsidRPr="00836365" w:rsidR="002F3FCF">
              <w:rPr>
                <w:rFonts w:ascii="Verdana" w:hAnsi="Verdana"/>
                <w:sz w:val="18"/>
                <w:szCs w:val="18"/>
              </w:rPr>
              <w:t xml:space="preserve">we </w:t>
            </w:r>
            <w:r w:rsidRPr="00836365">
              <w:rPr>
                <w:rFonts w:ascii="Verdana" w:hAnsi="Verdana"/>
                <w:sz w:val="18"/>
                <w:szCs w:val="18"/>
              </w:rPr>
              <w:t>kijk</w:t>
            </w:r>
            <w:r w:rsidRPr="00836365" w:rsidR="002F3FCF">
              <w:rPr>
                <w:rFonts w:ascii="Verdana" w:hAnsi="Verdana"/>
                <w:sz w:val="18"/>
                <w:szCs w:val="18"/>
              </w:rPr>
              <w:t>en</w:t>
            </w:r>
            <w:r w:rsidRPr="00836365">
              <w:rPr>
                <w:rFonts w:ascii="Verdana" w:hAnsi="Verdana"/>
                <w:sz w:val="18"/>
                <w:szCs w:val="18"/>
              </w:rPr>
              <w:t xml:space="preserve"> uit naar de uitkomsten hiervan.</w:t>
            </w:r>
            <w:r w:rsidRPr="00836365" w:rsidR="002F3FCF">
              <w:rPr>
                <w:rFonts w:ascii="Verdana" w:hAnsi="Verdana"/>
                <w:sz w:val="18"/>
                <w:szCs w:val="18"/>
              </w:rPr>
              <w:t xml:space="preserve"> </w:t>
            </w:r>
            <w:r w:rsidR="00BD6DAB">
              <w:rPr>
                <w:rFonts w:ascii="Verdana" w:hAnsi="Verdana"/>
                <w:sz w:val="18"/>
                <w:szCs w:val="18"/>
              </w:rPr>
              <w:t>Wij dragen hier</w:t>
            </w:r>
            <w:r w:rsidRPr="00836365" w:rsidR="00F277B8">
              <w:rPr>
                <w:rFonts w:ascii="Verdana" w:hAnsi="Verdana"/>
                <w:sz w:val="18"/>
                <w:szCs w:val="18"/>
              </w:rPr>
              <w:t xml:space="preserve"> vanuit onze gezamenlijke verantwoordelijkheid aan </w:t>
            </w:r>
            <w:r w:rsidRPr="00836365" w:rsidR="002F3FCF">
              <w:rPr>
                <w:rFonts w:ascii="Verdana" w:hAnsi="Verdana"/>
                <w:sz w:val="18"/>
                <w:szCs w:val="18"/>
              </w:rPr>
              <w:t xml:space="preserve">bij. </w:t>
            </w:r>
          </w:p>
          <w:p w:rsidRPr="00836365" w:rsidR="00E96D30" w:rsidP="003A67E7" w:rsidRDefault="00E96D30" w14:paraId="3C7B204C" w14:textId="77777777">
            <w:pPr>
              <w:spacing w:line="276" w:lineRule="auto"/>
              <w:rPr>
                <w:rFonts w:ascii="Verdana" w:hAnsi="Verdana"/>
                <w:sz w:val="18"/>
                <w:szCs w:val="18"/>
              </w:rPr>
            </w:pPr>
          </w:p>
        </w:tc>
      </w:tr>
    </w:tbl>
    <w:p w:rsidRPr="00836365" w:rsidR="00E96D30" w:rsidP="003A67E7" w:rsidRDefault="00E96D30" w14:paraId="5E719A59" w14:textId="77777777">
      <w:pPr>
        <w:spacing w:after="0" w:line="276" w:lineRule="auto"/>
        <w:rPr>
          <w:rFonts w:ascii="Verdana" w:hAnsi="Verdana"/>
          <w:sz w:val="18"/>
          <w:szCs w:val="18"/>
        </w:rPr>
      </w:pPr>
    </w:p>
    <w:p w:rsidRPr="00836365" w:rsidR="002009B5" w:rsidP="003A67E7" w:rsidRDefault="002009B5" w14:paraId="23277395" w14:textId="77777777">
      <w:pPr>
        <w:spacing w:after="0" w:line="276" w:lineRule="auto"/>
        <w:rPr>
          <w:rFonts w:ascii="Verdana" w:hAnsi="Verdana"/>
          <w:sz w:val="18"/>
          <w:szCs w:val="18"/>
        </w:rPr>
      </w:pPr>
    </w:p>
    <w:sectPr w:rsidRPr="00836365" w:rsidR="002009B5" w:rsidSect="00B3679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B55F" w14:textId="77777777" w:rsidR="00DA0B2A" w:rsidRDefault="00DA0B2A" w:rsidP="008A37EA">
      <w:pPr>
        <w:spacing w:after="0" w:line="240" w:lineRule="auto"/>
      </w:pPr>
      <w:r>
        <w:separator/>
      </w:r>
    </w:p>
  </w:endnote>
  <w:endnote w:type="continuationSeparator" w:id="0">
    <w:p w14:paraId="51DF35D2" w14:textId="77777777" w:rsidR="00DA0B2A" w:rsidRDefault="00DA0B2A" w:rsidP="008A37EA">
      <w:pPr>
        <w:spacing w:after="0" w:line="240" w:lineRule="auto"/>
      </w:pPr>
      <w:r>
        <w:continuationSeparator/>
      </w:r>
    </w:p>
  </w:endnote>
  <w:endnote w:type="continuationNotice" w:id="1">
    <w:p w14:paraId="2E14CF81" w14:textId="77777777" w:rsidR="00AE0BE6" w:rsidRDefault="00AE0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C7A0" w14:textId="77777777" w:rsidR="00DA0B2A" w:rsidRDefault="00DA0B2A" w:rsidP="008A37EA">
      <w:pPr>
        <w:spacing w:after="0" w:line="240" w:lineRule="auto"/>
      </w:pPr>
      <w:r>
        <w:separator/>
      </w:r>
    </w:p>
  </w:footnote>
  <w:footnote w:type="continuationSeparator" w:id="0">
    <w:p w14:paraId="5DB5676E" w14:textId="77777777" w:rsidR="00DA0B2A" w:rsidRDefault="00DA0B2A" w:rsidP="008A37EA">
      <w:pPr>
        <w:spacing w:after="0" w:line="240" w:lineRule="auto"/>
      </w:pPr>
      <w:r>
        <w:continuationSeparator/>
      </w:r>
    </w:p>
  </w:footnote>
  <w:footnote w:type="continuationNotice" w:id="1">
    <w:p w14:paraId="28CAAB92" w14:textId="77777777" w:rsidR="00AE0BE6" w:rsidRDefault="00AE0BE6">
      <w:pPr>
        <w:spacing w:after="0" w:line="240" w:lineRule="auto"/>
      </w:pPr>
    </w:p>
  </w:footnote>
  <w:footnote w:id="2">
    <w:p w14:paraId="064D258C" w14:textId="14687319" w:rsidR="00D20AEE" w:rsidRDefault="00D20AEE">
      <w:pPr>
        <w:pStyle w:val="Voetnoottekst"/>
      </w:pPr>
      <w:r w:rsidRPr="00E12C76">
        <w:rPr>
          <w:rStyle w:val="Voetnootmarkering"/>
          <w:sz w:val="14"/>
          <w:szCs w:val="14"/>
        </w:rPr>
        <w:footnoteRef/>
      </w:r>
      <w:r w:rsidRPr="00E12C76">
        <w:rPr>
          <w:sz w:val="14"/>
          <w:szCs w:val="14"/>
        </w:rPr>
        <w:t xml:space="preserve"> </w:t>
      </w:r>
      <w:hyperlink r:id="rId1" w:history="1">
        <w:proofErr w:type="gramStart"/>
        <w:r w:rsidRPr="00E12C76">
          <w:rPr>
            <w:rStyle w:val="Hyperlink"/>
            <w:sz w:val="14"/>
            <w:szCs w:val="14"/>
          </w:rPr>
          <w:t>nextgen-poortwachters-position-paper.pdf</w:t>
        </w:r>
        <w:proofErr w:type="gram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1D9"/>
    <w:multiLevelType w:val="hybridMultilevel"/>
    <w:tmpl w:val="A440CCC0"/>
    <w:lvl w:ilvl="0" w:tplc="04130001">
      <w:start w:val="1"/>
      <w:numFmt w:val="bullet"/>
      <w:lvlText w:val=""/>
      <w:lvlJc w:val="left"/>
      <w:pPr>
        <w:ind w:left="-2076" w:hanging="360"/>
      </w:pPr>
      <w:rPr>
        <w:rFonts w:ascii="Symbol" w:hAnsi="Symbol" w:hint="default"/>
      </w:rPr>
    </w:lvl>
    <w:lvl w:ilvl="1" w:tplc="04130003">
      <w:start w:val="1"/>
      <w:numFmt w:val="bullet"/>
      <w:lvlText w:val="o"/>
      <w:lvlJc w:val="left"/>
      <w:pPr>
        <w:ind w:left="-1356" w:hanging="360"/>
      </w:pPr>
      <w:rPr>
        <w:rFonts w:ascii="Courier New" w:hAnsi="Courier New" w:cs="Courier New" w:hint="default"/>
      </w:rPr>
    </w:lvl>
    <w:lvl w:ilvl="2" w:tplc="04130005" w:tentative="1">
      <w:start w:val="1"/>
      <w:numFmt w:val="bullet"/>
      <w:lvlText w:val=""/>
      <w:lvlJc w:val="left"/>
      <w:pPr>
        <w:ind w:left="-636" w:hanging="360"/>
      </w:pPr>
      <w:rPr>
        <w:rFonts w:ascii="Wingdings" w:hAnsi="Wingdings" w:hint="default"/>
      </w:rPr>
    </w:lvl>
    <w:lvl w:ilvl="3" w:tplc="04130001" w:tentative="1">
      <w:start w:val="1"/>
      <w:numFmt w:val="bullet"/>
      <w:lvlText w:val=""/>
      <w:lvlJc w:val="left"/>
      <w:pPr>
        <w:ind w:left="84" w:hanging="360"/>
      </w:pPr>
      <w:rPr>
        <w:rFonts w:ascii="Symbol" w:hAnsi="Symbol" w:hint="default"/>
      </w:rPr>
    </w:lvl>
    <w:lvl w:ilvl="4" w:tplc="04130003" w:tentative="1">
      <w:start w:val="1"/>
      <w:numFmt w:val="bullet"/>
      <w:lvlText w:val="o"/>
      <w:lvlJc w:val="left"/>
      <w:pPr>
        <w:ind w:left="804" w:hanging="360"/>
      </w:pPr>
      <w:rPr>
        <w:rFonts w:ascii="Courier New" w:hAnsi="Courier New" w:cs="Courier New" w:hint="default"/>
      </w:rPr>
    </w:lvl>
    <w:lvl w:ilvl="5" w:tplc="04130005" w:tentative="1">
      <w:start w:val="1"/>
      <w:numFmt w:val="bullet"/>
      <w:lvlText w:val=""/>
      <w:lvlJc w:val="left"/>
      <w:pPr>
        <w:ind w:left="1524" w:hanging="360"/>
      </w:pPr>
      <w:rPr>
        <w:rFonts w:ascii="Wingdings" w:hAnsi="Wingdings" w:hint="default"/>
      </w:rPr>
    </w:lvl>
    <w:lvl w:ilvl="6" w:tplc="04130001" w:tentative="1">
      <w:start w:val="1"/>
      <w:numFmt w:val="bullet"/>
      <w:lvlText w:val=""/>
      <w:lvlJc w:val="left"/>
      <w:pPr>
        <w:ind w:left="2244" w:hanging="360"/>
      </w:pPr>
      <w:rPr>
        <w:rFonts w:ascii="Symbol" w:hAnsi="Symbol" w:hint="default"/>
      </w:rPr>
    </w:lvl>
    <w:lvl w:ilvl="7" w:tplc="04130003" w:tentative="1">
      <w:start w:val="1"/>
      <w:numFmt w:val="bullet"/>
      <w:lvlText w:val="o"/>
      <w:lvlJc w:val="left"/>
      <w:pPr>
        <w:ind w:left="2964" w:hanging="360"/>
      </w:pPr>
      <w:rPr>
        <w:rFonts w:ascii="Courier New" w:hAnsi="Courier New" w:cs="Courier New" w:hint="default"/>
      </w:rPr>
    </w:lvl>
    <w:lvl w:ilvl="8" w:tplc="04130005" w:tentative="1">
      <w:start w:val="1"/>
      <w:numFmt w:val="bullet"/>
      <w:lvlText w:val=""/>
      <w:lvlJc w:val="left"/>
      <w:pPr>
        <w:ind w:left="3684" w:hanging="360"/>
      </w:pPr>
      <w:rPr>
        <w:rFonts w:ascii="Wingdings" w:hAnsi="Wingdings" w:hint="default"/>
      </w:rPr>
    </w:lvl>
  </w:abstractNum>
  <w:abstractNum w:abstractNumId="1" w15:restartNumberingAfterBreak="0">
    <w:nsid w:val="17D46649"/>
    <w:multiLevelType w:val="hybridMultilevel"/>
    <w:tmpl w:val="91DE66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9265D8"/>
    <w:multiLevelType w:val="hybridMultilevel"/>
    <w:tmpl w:val="B0DC85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BA5C75"/>
    <w:multiLevelType w:val="hybridMultilevel"/>
    <w:tmpl w:val="CA024D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4DA26BC"/>
    <w:multiLevelType w:val="hybridMultilevel"/>
    <w:tmpl w:val="6C28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C857D1"/>
    <w:multiLevelType w:val="hybridMultilevel"/>
    <w:tmpl w:val="57049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0202542"/>
    <w:multiLevelType w:val="hybridMultilevel"/>
    <w:tmpl w:val="29F28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E34080"/>
    <w:multiLevelType w:val="hybridMultilevel"/>
    <w:tmpl w:val="3DB24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69372D"/>
    <w:multiLevelType w:val="hybridMultilevel"/>
    <w:tmpl w:val="B5784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EF3B94"/>
    <w:multiLevelType w:val="hybridMultilevel"/>
    <w:tmpl w:val="C9B475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B4E2C5F"/>
    <w:multiLevelType w:val="hybridMultilevel"/>
    <w:tmpl w:val="7E76F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6095768">
    <w:abstractNumId w:val="0"/>
  </w:num>
  <w:num w:numId="2" w16cid:durableId="2117434800">
    <w:abstractNumId w:val="1"/>
  </w:num>
  <w:num w:numId="3" w16cid:durableId="994337060">
    <w:abstractNumId w:val="8"/>
  </w:num>
  <w:num w:numId="4" w16cid:durableId="29569438">
    <w:abstractNumId w:val="4"/>
  </w:num>
  <w:num w:numId="5" w16cid:durableId="1248155078">
    <w:abstractNumId w:val="6"/>
  </w:num>
  <w:num w:numId="6" w16cid:durableId="1214538539">
    <w:abstractNumId w:val="2"/>
  </w:num>
  <w:num w:numId="7" w16cid:durableId="1315833514">
    <w:abstractNumId w:val="5"/>
  </w:num>
  <w:num w:numId="8" w16cid:durableId="1577395494">
    <w:abstractNumId w:val="9"/>
  </w:num>
  <w:num w:numId="9" w16cid:durableId="1474561282">
    <w:abstractNumId w:val="10"/>
  </w:num>
  <w:num w:numId="10" w16cid:durableId="1448548398">
    <w:abstractNumId w:val="3"/>
  </w:num>
  <w:num w:numId="11" w16cid:durableId="1422097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EA"/>
    <w:rsid w:val="00016199"/>
    <w:rsid w:val="00016C41"/>
    <w:rsid w:val="000563A2"/>
    <w:rsid w:val="000641B9"/>
    <w:rsid w:val="00087498"/>
    <w:rsid w:val="000D47B9"/>
    <w:rsid w:val="0014356E"/>
    <w:rsid w:val="00170343"/>
    <w:rsid w:val="002009B5"/>
    <w:rsid w:val="002340A0"/>
    <w:rsid w:val="002409A8"/>
    <w:rsid w:val="0024475E"/>
    <w:rsid w:val="002E1781"/>
    <w:rsid w:val="002F3FCF"/>
    <w:rsid w:val="0031447A"/>
    <w:rsid w:val="00316004"/>
    <w:rsid w:val="0036294A"/>
    <w:rsid w:val="003917BD"/>
    <w:rsid w:val="003956B2"/>
    <w:rsid w:val="003A14B2"/>
    <w:rsid w:val="003A67E7"/>
    <w:rsid w:val="00436B6D"/>
    <w:rsid w:val="004A3346"/>
    <w:rsid w:val="004D13AD"/>
    <w:rsid w:val="004D27D6"/>
    <w:rsid w:val="00505CD8"/>
    <w:rsid w:val="00537C0F"/>
    <w:rsid w:val="005B37BE"/>
    <w:rsid w:val="005F3A32"/>
    <w:rsid w:val="00621098"/>
    <w:rsid w:val="00670665"/>
    <w:rsid w:val="00673637"/>
    <w:rsid w:val="006B0C9F"/>
    <w:rsid w:val="006D2B05"/>
    <w:rsid w:val="006D3D22"/>
    <w:rsid w:val="00754644"/>
    <w:rsid w:val="00761E6D"/>
    <w:rsid w:val="00774ADF"/>
    <w:rsid w:val="007C6372"/>
    <w:rsid w:val="007D6F92"/>
    <w:rsid w:val="007E0B87"/>
    <w:rsid w:val="008225BA"/>
    <w:rsid w:val="00836365"/>
    <w:rsid w:val="00876A30"/>
    <w:rsid w:val="00890891"/>
    <w:rsid w:val="008A37EA"/>
    <w:rsid w:val="009311C5"/>
    <w:rsid w:val="00955F6F"/>
    <w:rsid w:val="0096198D"/>
    <w:rsid w:val="009B1AB8"/>
    <w:rsid w:val="00A52C11"/>
    <w:rsid w:val="00A57F4B"/>
    <w:rsid w:val="00A65311"/>
    <w:rsid w:val="00A85A53"/>
    <w:rsid w:val="00AB3601"/>
    <w:rsid w:val="00AE0BE6"/>
    <w:rsid w:val="00B3679D"/>
    <w:rsid w:val="00B77FE7"/>
    <w:rsid w:val="00BA3B78"/>
    <w:rsid w:val="00BD6DAB"/>
    <w:rsid w:val="00C54BB5"/>
    <w:rsid w:val="00C90A6C"/>
    <w:rsid w:val="00CA4C31"/>
    <w:rsid w:val="00CB6D55"/>
    <w:rsid w:val="00CE0AEC"/>
    <w:rsid w:val="00D10F21"/>
    <w:rsid w:val="00D20AEE"/>
    <w:rsid w:val="00D62A70"/>
    <w:rsid w:val="00D929C4"/>
    <w:rsid w:val="00DA0B2A"/>
    <w:rsid w:val="00DB2F6E"/>
    <w:rsid w:val="00DE347A"/>
    <w:rsid w:val="00E12C76"/>
    <w:rsid w:val="00E15767"/>
    <w:rsid w:val="00E312FE"/>
    <w:rsid w:val="00E46BBA"/>
    <w:rsid w:val="00E966EF"/>
    <w:rsid w:val="00E96D30"/>
    <w:rsid w:val="00EA4B07"/>
    <w:rsid w:val="00EC1203"/>
    <w:rsid w:val="00F277B8"/>
    <w:rsid w:val="00F32981"/>
    <w:rsid w:val="00F42E63"/>
    <w:rsid w:val="00F45AB7"/>
    <w:rsid w:val="00F6489F"/>
    <w:rsid w:val="00F85331"/>
    <w:rsid w:val="04ABB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532039"/>
  <w15:chartTrackingRefBased/>
  <w15:docId w15:val="{DB9E0E00-8320-4A91-BBB4-3351AA51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3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3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37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37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37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37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7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7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7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37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37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37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37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37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37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7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7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7EA"/>
    <w:rPr>
      <w:rFonts w:eastAsiaTheme="majorEastAsia" w:cstheme="majorBidi"/>
      <w:color w:val="272727" w:themeColor="text1" w:themeTint="D8"/>
    </w:rPr>
  </w:style>
  <w:style w:type="paragraph" w:styleId="Titel">
    <w:name w:val="Title"/>
    <w:basedOn w:val="Standaard"/>
    <w:next w:val="Standaard"/>
    <w:link w:val="TitelChar"/>
    <w:uiPriority w:val="10"/>
    <w:qFormat/>
    <w:rsid w:val="008A3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7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7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7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7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7EA"/>
    <w:rPr>
      <w:i/>
      <w:iCs/>
      <w:color w:val="404040" w:themeColor="text1" w:themeTint="BF"/>
    </w:rPr>
  </w:style>
  <w:style w:type="paragraph" w:styleId="Lijstalinea">
    <w:name w:val="List Paragraph"/>
    <w:basedOn w:val="Standaard"/>
    <w:uiPriority w:val="34"/>
    <w:qFormat/>
    <w:rsid w:val="008A37EA"/>
    <w:pPr>
      <w:ind w:left="720"/>
      <w:contextualSpacing/>
    </w:pPr>
  </w:style>
  <w:style w:type="character" w:styleId="Intensievebenadrukking">
    <w:name w:val="Intense Emphasis"/>
    <w:basedOn w:val="Standaardalinea-lettertype"/>
    <w:uiPriority w:val="21"/>
    <w:qFormat/>
    <w:rsid w:val="008A37EA"/>
    <w:rPr>
      <w:i/>
      <w:iCs/>
      <w:color w:val="2F5496" w:themeColor="accent1" w:themeShade="BF"/>
    </w:rPr>
  </w:style>
  <w:style w:type="paragraph" w:styleId="Duidelijkcitaat">
    <w:name w:val="Intense Quote"/>
    <w:basedOn w:val="Standaard"/>
    <w:next w:val="Standaard"/>
    <w:link w:val="DuidelijkcitaatChar"/>
    <w:uiPriority w:val="30"/>
    <w:qFormat/>
    <w:rsid w:val="008A3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37EA"/>
    <w:rPr>
      <w:i/>
      <w:iCs/>
      <w:color w:val="2F5496" w:themeColor="accent1" w:themeShade="BF"/>
    </w:rPr>
  </w:style>
  <w:style w:type="character" w:styleId="Intensieveverwijzing">
    <w:name w:val="Intense Reference"/>
    <w:basedOn w:val="Standaardalinea-lettertype"/>
    <w:uiPriority w:val="32"/>
    <w:qFormat/>
    <w:rsid w:val="008A37EA"/>
    <w:rPr>
      <w:b/>
      <w:bCs/>
      <w:smallCaps/>
      <w:color w:val="2F5496" w:themeColor="accent1" w:themeShade="BF"/>
      <w:spacing w:val="5"/>
    </w:rPr>
  </w:style>
  <w:style w:type="table" w:styleId="Tabelraster">
    <w:name w:val="Table Grid"/>
    <w:basedOn w:val="Standaardtabel"/>
    <w:uiPriority w:val="39"/>
    <w:rsid w:val="008A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A37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37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37EA"/>
    <w:rPr>
      <w:vertAlign w:val="superscript"/>
    </w:rPr>
  </w:style>
  <w:style w:type="character" w:styleId="Verwijzingopmerking">
    <w:name w:val="annotation reference"/>
    <w:basedOn w:val="Standaardalinea-lettertype"/>
    <w:uiPriority w:val="99"/>
    <w:semiHidden/>
    <w:unhideWhenUsed/>
    <w:rsid w:val="002009B5"/>
    <w:rPr>
      <w:sz w:val="16"/>
      <w:szCs w:val="16"/>
    </w:rPr>
  </w:style>
  <w:style w:type="paragraph" w:styleId="Tekstopmerking">
    <w:name w:val="annotation text"/>
    <w:basedOn w:val="Standaard"/>
    <w:link w:val="TekstopmerkingChar"/>
    <w:uiPriority w:val="99"/>
    <w:unhideWhenUsed/>
    <w:rsid w:val="002009B5"/>
    <w:pPr>
      <w:spacing w:line="240" w:lineRule="auto"/>
    </w:pPr>
    <w:rPr>
      <w:sz w:val="20"/>
      <w:szCs w:val="20"/>
    </w:rPr>
  </w:style>
  <w:style w:type="character" w:customStyle="1" w:styleId="TekstopmerkingChar">
    <w:name w:val="Tekst opmerking Char"/>
    <w:basedOn w:val="Standaardalinea-lettertype"/>
    <w:link w:val="Tekstopmerking"/>
    <w:uiPriority w:val="99"/>
    <w:rsid w:val="002009B5"/>
    <w:rPr>
      <w:sz w:val="20"/>
      <w:szCs w:val="20"/>
    </w:rPr>
  </w:style>
  <w:style w:type="paragraph" w:styleId="Onderwerpvanopmerking">
    <w:name w:val="annotation subject"/>
    <w:basedOn w:val="Tekstopmerking"/>
    <w:next w:val="Tekstopmerking"/>
    <w:link w:val="OnderwerpvanopmerkingChar"/>
    <w:uiPriority w:val="99"/>
    <w:semiHidden/>
    <w:unhideWhenUsed/>
    <w:rsid w:val="002009B5"/>
    <w:rPr>
      <w:b/>
      <w:bCs/>
    </w:rPr>
  </w:style>
  <w:style w:type="character" w:customStyle="1" w:styleId="OnderwerpvanopmerkingChar">
    <w:name w:val="Onderwerp van opmerking Char"/>
    <w:basedOn w:val="TekstopmerkingChar"/>
    <w:link w:val="Onderwerpvanopmerking"/>
    <w:uiPriority w:val="99"/>
    <w:semiHidden/>
    <w:rsid w:val="002009B5"/>
    <w:rPr>
      <w:b/>
      <w:bCs/>
      <w:sz w:val="20"/>
      <w:szCs w:val="20"/>
    </w:rPr>
  </w:style>
  <w:style w:type="paragraph" w:styleId="Revisie">
    <w:name w:val="Revision"/>
    <w:hidden/>
    <w:uiPriority w:val="99"/>
    <w:semiHidden/>
    <w:rsid w:val="00316004"/>
    <w:pPr>
      <w:spacing w:after="0" w:line="240" w:lineRule="auto"/>
    </w:pPr>
  </w:style>
  <w:style w:type="paragraph" w:styleId="Koptekst">
    <w:name w:val="header"/>
    <w:basedOn w:val="Standaard"/>
    <w:link w:val="KoptekstChar"/>
    <w:uiPriority w:val="99"/>
    <w:semiHidden/>
    <w:unhideWhenUsed/>
    <w:rsid w:val="00AE0B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E0BE6"/>
  </w:style>
  <w:style w:type="paragraph" w:styleId="Voettekst">
    <w:name w:val="footer"/>
    <w:basedOn w:val="Standaard"/>
    <w:link w:val="VoettekstChar"/>
    <w:uiPriority w:val="99"/>
    <w:semiHidden/>
    <w:unhideWhenUsed/>
    <w:rsid w:val="00AE0B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E0BE6"/>
  </w:style>
  <w:style w:type="character" w:styleId="Hyperlink">
    <w:name w:val="Hyperlink"/>
    <w:basedOn w:val="Standaardalinea-lettertype"/>
    <w:uiPriority w:val="99"/>
    <w:unhideWhenUsed/>
    <w:rsid w:val="00D20AEE"/>
    <w:rPr>
      <w:color w:val="0563C1" w:themeColor="hyperlink"/>
      <w:u w:val="single"/>
    </w:rPr>
  </w:style>
  <w:style w:type="character" w:styleId="Onopgelostemelding">
    <w:name w:val="Unresolved Mention"/>
    <w:basedOn w:val="Standaardalinea-lettertype"/>
    <w:uiPriority w:val="99"/>
    <w:semiHidden/>
    <w:unhideWhenUsed/>
    <w:rsid w:val="00D2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617">
      <w:bodyDiv w:val="1"/>
      <w:marLeft w:val="0"/>
      <w:marRight w:val="0"/>
      <w:marTop w:val="0"/>
      <w:marBottom w:val="0"/>
      <w:divBdr>
        <w:top w:val="none" w:sz="0" w:space="0" w:color="auto"/>
        <w:left w:val="none" w:sz="0" w:space="0" w:color="auto"/>
        <w:bottom w:val="none" w:sz="0" w:space="0" w:color="auto"/>
        <w:right w:val="none" w:sz="0" w:space="0" w:color="auto"/>
      </w:divBdr>
    </w:div>
    <w:div w:id="245111028">
      <w:bodyDiv w:val="1"/>
      <w:marLeft w:val="0"/>
      <w:marRight w:val="0"/>
      <w:marTop w:val="0"/>
      <w:marBottom w:val="0"/>
      <w:divBdr>
        <w:top w:val="none" w:sz="0" w:space="0" w:color="auto"/>
        <w:left w:val="none" w:sz="0" w:space="0" w:color="auto"/>
        <w:bottom w:val="none" w:sz="0" w:space="0" w:color="auto"/>
        <w:right w:val="none" w:sz="0" w:space="0" w:color="auto"/>
      </w:divBdr>
    </w:div>
    <w:div w:id="357587297">
      <w:bodyDiv w:val="1"/>
      <w:marLeft w:val="0"/>
      <w:marRight w:val="0"/>
      <w:marTop w:val="0"/>
      <w:marBottom w:val="0"/>
      <w:divBdr>
        <w:top w:val="none" w:sz="0" w:space="0" w:color="auto"/>
        <w:left w:val="none" w:sz="0" w:space="0" w:color="auto"/>
        <w:bottom w:val="none" w:sz="0" w:space="0" w:color="auto"/>
        <w:right w:val="none" w:sz="0" w:space="0" w:color="auto"/>
      </w:divBdr>
    </w:div>
    <w:div w:id="461122667">
      <w:bodyDiv w:val="1"/>
      <w:marLeft w:val="0"/>
      <w:marRight w:val="0"/>
      <w:marTop w:val="0"/>
      <w:marBottom w:val="0"/>
      <w:divBdr>
        <w:top w:val="none" w:sz="0" w:space="0" w:color="auto"/>
        <w:left w:val="none" w:sz="0" w:space="0" w:color="auto"/>
        <w:bottom w:val="none" w:sz="0" w:space="0" w:color="auto"/>
        <w:right w:val="none" w:sz="0" w:space="0" w:color="auto"/>
      </w:divBdr>
    </w:div>
    <w:div w:id="675032833">
      <w:bodyDiv w:val="1"/>
      <w:marLeft w:val="0"/>
      <w:marRight w:val="0"/>
      <w:marTop w:val="0"/>
      <w:marBottom w:val="0"/>
      <w:divBdr>
        <w:top w:val="none" w:sz="0" w:space="0" w:color="auto"/>
        <w:left w:val="none" w:sz="0" w:space="0" w:color="auto"/>
        <w:bottom w:val="none" w:sz="0" w:space="0" w:color="auto"/>
        <w:right w:val="none" w:sz="0" w:space="0" w:color="auto"/>
      </w:divBdr>
    </w:div>
    <w:div w:id="827139290">
      <w:bodyDiv w:val="1"/>
      <w:marLeft w:val="0"/>
      <w:marRight w:val="0"/>
      <w:marTop w:val="0"/>
      <w:marBottom w:val="0"/>
      <w:divBdr>
        <w:top w:val="none" w:sz="0" w:space="0" w:color="auto"/>
        <w:left w:val="none" w:sz="0" w:space="0" w:color="auto"/>
        <w:bottom w:val="none" w:sz="0" w:space="0" w:color="auto"/>
        <w:right w:val="none" w:sz="0" w:space="0" w:color="auto"/>
      </w:divBdr>
    </w:div>
    <w:div w:id="1270889676">
      <w:bodyDiv w:val="1"/>
      <w:marLeft w:val="0"/>
      <w:marRight w:val="0"/>
      <w:marTop w:val="0"/>
      <w:marBottom w:val="0"/>
      <w:divBdr>
        <w:top w:val="none" w:sz="0" w:space="0" w:color="auto"/>
        <w:left w:val="none" w:sz="0" w:space="0" w:color="auto"/>
        <w:bottom w:val="none" w:sz="0" w:space="0" w:color="auto"/>
        <w:right w:val="none" w:sz="0" w:space="0" w:color="auto"/>
      </w:divBdr>
    </w:div>
    <w:div w:id="1452360677">
      <w:bodyDiv w:val="1"/>
      <w:marLeft w:val="0"/>
      <w:marRight w:val="0"/>
      <w:marTop w:val="0"/>
      <w:marBottom w:val="0"/>
      <w:divBdr>
        <w:top w:val="none" w:sz="0" w:space="0" w:color="auto"/>
        <w:left w:val="none" w:sz="0" w:space="0" w:color="auto"/>
        <w:bottom w:val="none" w:sz="0" w:space="0" w:color="auto"/>
        <w:right w:val="none" w:sz="0" w:space="0" w:color="auto"/>
      </w:divBdr>
    </w:div>
    <w:div w:id="1633562621">
      <w:bodyDiv w:val="1"/>
      <w:marLeft w:val="0"/>
      <w:marRight w:val="0"/>
      <w:marTop w:val="0"/>
      <w:marBottom w:val="0"/>
      <w:divBdr>
        <w:top w:val="none" w:sz="0" w:space="0" w:color="auto"/>
        <w:left w:val="none" w:sz="0" w:space="0" w:color="auto"/>
        <w:bottom w:val="none" w:sz="0" w:space="0" w:color="auto"/>
        <w:right w:val="none" w:sz="0" w:space="0" w:color="auto"/>
      </w:divBdr>
    </w:div>
    <w:div w:id="1665281098">
      <w:bodyDiv w:val="1"/>
      <w:marLeft w:val="0"/>
      <w:marRight w:val="0"/>
      <w:marTop w:val="0"/>
      <w:marBottom w:val="0"/>
      <w:divBdr>
        <w:top w:val="none" w:sz="0" w:space="0" w:color="auto"/>
        <w:left w:val="none" w:sz="0" w:space="0" w:color="auto"/>
        <w:bottom w:val="none" w:sz="0" w:space="0" w:color="auto"/>
        <w:right w:val="none" w:sz="0" w:space="0" w:color="auto"/>
      </w:divBdr>
    </w:div>
    <w:div w:id="1926768255">
      <w:bodyDiv w:val="1"/>
      <w:marLeft w:val="0"/>
      <w:marRight w:val="0"/>
      <w:marTop w:val="0"/>
      <w:marBottom w:val="0"/>
      <w:divBdr>
        <w:top w:val="none" w:sz="0" w:space="0" w:color="auto"/>
        <w:left w:val="none" w:sz="0" w:space="0" w:color="auto"/>
        <w:bottom w:val="none" w:sz="0" w:space="0" w:color="auto"/>
        <w:right w:val="none" w:sz="0" w:space="0" w:color="auto"/>
      </w:divBdr>
    </w:div>
    <w:div w:id="1952928454">
      <w:bodyDiv w:val="1"/>
      <w:marLeft w:val="0"/>
      <w:marRight w:val="0"/>
      <w:marTop w:val="0"/>
      <w:marBottom w:val="0"/>
      <w:divBdr>
        <w:top w:val="none" w:sz="0" w:space="0" w:color="auto"/>
        <w:left w:val="none" w:sz="0" w:space="0" w:color="auto"/>
        <w:bottom w:val="none" w:sz="0" w:space="0" w:color="auto"/>
        <w:right w:val="none" w:sz="0" w:space="0" w:color="auto"/>
      </w:divBdr>
    </w:div>
    <w:div w:id="19896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vb.nl/media/czxdynla/nextgen-poortwachters-position-pape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682</ap:Words>
  <ap:Characters>3753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2025-05-13T16:14:00.0000000Z</dcterms:created>
  <dcterms:modified xsi:type="dcterms:W3CDTF">2025-05-13T16:14:00.0000000Z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0x01010013257578DA629F469018C8B6299304B0</vt:lpwstr>
  </property>
  <property fmtid="{D5CDD505-2E9C-101B-9397-08002B2CF9AE}" pid="3" name="MSIP_Label_6800fede-0e59-47ad-af95-4e63bbdb932d_Enabled">
    <vt:lpwstr>true</vt:lpwstr>
  </property>
  <property fmtid="{D5CDD505-2E9C-101B-9397-08002B2CF9AE}" pid="4" name="MSIP_Label_6800fede-0e59-47ad-af95-4e63bbdb932d_SetDate">
    <vt:lpwstr>2025-03-07T16:27:14Z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3fe1ff28-cff9-4752-ac52-6f7f25426fbe</vt:lpwstr>
  </property>
  <property fmtid="{D5CDD505-2E9C-101B-9397-08002B2CF9AE}" pid="9" name="MSIP_Label_6800fede-0e59-47ad-af95-4e63bbdb932d_ContentBits">
    <vt:lpwstr>0</vt:lpwstr>
  </property>
</Properties>
</file>