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01BBD" w:rsidRDefault="00340ECA" w14:paraId="2597227E" w14:textId="77777777"/>
    <w:p w:rsidR="00A6748A" w:rsidP="00201BBD" w:rsidRDefault="00A6748A" w14:paraId="477C9F0B" w14:textId="77777777">
      <w:r>
        <w:t>Geachte Voorzitter,</w:t>
      </w:r>
    </w:p>
    <w:p w:rsidR="00A6748A" w:rsidP="00201BBD" w:rsidRDefault="00A6748A" w14:paraId="12EE398C" w14:textId="77777777"/>
    <w:p w:rsidR="00A6748A" w:rsidP="00201BBD" w:rsidRDefault="00A6748A" w14:paraId="5E76E0A3" w14:textId="7AA76BB1">
      <w:r>
        <w:t xml:space="preserve">Op verzoek van de vaste commissie voor Klimaat en Groene Groei stuur ik u hierbij een reactie op de brief “Aanbieding rapport ‘Nederland klimaatneutraal in 2040; een haalbaarheidsanalyse’” van Greenpeace Nederland. Met de brief brengt </w:t>
      </w:r>
      <w:r w:rsidRPr="00BC59B0">
        <w:t xml:space="preserve">Greenpeace Nederland </w:t>
      </w:r>
      <w:r>
        <w:t xml:space="preserve">het </w:t>
      </w:r>
      <w:r w:rsidRPr="00BC59B0">
        <w:t xml:space="preserve">rapport 'Nederland klimaatneutraal in 2040; </w:t>
      </w:r>
      <w:r>
        <w:t>e</w:t>
      </w:r>
      <w:r w:rsidRPr="00BC59B0">
        <w:t xml:space="preserve">en haalbaarheidsanalyse' </w:t>
      </w:r>
      <w:r>
        <w:t xml:space="preserve">(hierna: rapport) </w:t>
      </w:r>
      <w:r w:rsidRPr="00BC59B0">
        <w:t>onder de aandacht</w:t>
      </w:r>
      <w:r>
        <w:t xml:space="preserve">. </w:t>
      </w:r>
      <w:r w:rsidRPr="00B25272">
        <w:t>Het onderzoek</w:t>
      </w:r>
      <w:r>
        <w:t xml:space="preserve"> voor dit rapport</w:t>
      </w:r>
      <w:r w:rsidRPr="00B25272">
        <w:t xml:space="preserve"> is uitgevoerd door Kalavasta, CE Delft en Berenschot in opdracht van Greenpeace Nederland en Natuur en Milieu.</w:t>
      </w:r>
      <w:r>
        <w:t xml:space="preserve"> Conform het verzoek van de commissie, stuur ik deze reactie voorafgaand aan het </w:t>
      </w:r>
      <w:r w:rsidR="00B340E0">
        <w:t>C</w:t>
      </w:r>
      <w:r>
        <w:t>ommissiedebat over het Klimaatplan 2025-2035 op 3 juli 2025.</w:t>
      </w:r>
    </w:p>
    <w:p w:rsidR="00A6748A" w:rsidP="00201BBD" w:rsidRDefault="00A6748A" w14:paraId="1194A7A8" w14:textId="77777777">
      <w:pPr>
        <w:rPr>
          <w:u w:val="single"/>
        </w:rPr>
      </w:pPr>
    </w:p>
    <w:p w:rsidRPr="005B094A" w:rsidR="00A6748A" w:rsidP="00201BBD" w:rsidRDefault="00A6748A" w14:paraId="0EF094BA" w14:textId="77777777">
      <w:pPr>
        <w:rPr>
          <w:u w:val="single"/>
        </w:rPr>
      </w:pPr>
      <w:r>
        <w:rPr>
          <w:u w:val="single"/>
        </w:rPr>
        <w:t>Samenvatting van het rapport</w:t>
      </w:r>
    </w:p>
    <w:p w:rsidRPr="00E04E24" w:rsidR="00A6748A" w:rsidP="00201BBD" w:rsidRDefault="00A6748A" w14:paraId="3E865BFE" w14:textId="75193CFB">
      <w:r w:rsidRPr="00E04E24">
        <w:t xml:space="preserve">In </w:t>
      </w:r>
      <w:r>
        <w:t xml:space="preserve">het </w:t>
      </w:r>
      <w:r w:rsidRPr="00E04E24">
        <w:t xml:space="preserve">rapport wordt de haalbaarheid van (netto) klimaatneutraliteit </w:t>
      </w:r>
      <w:r>
        <w:t xml:space="preserve">in 2040 </w:t>
      </w:r>
      <w:r w:rsidRPr="00E04E24">
        <w:t xml:space="preserve">geanalyseerd via zeven verschillende lenzen: beleid, economie, sociaal-maatschappelijk en cultureel, milieu, technologie, infrastructuur en ruimtelijke ordening. Per sector </w:t>
      </w:r>
      <w:r>
        <w:t>laat</w:t>
      </w:r>
      <w:r w:rsidRPr="00E04E24">
        <w:t xml:space="preserve"> een stoplichtmodel (groen is haalbaar, oranje is moeilijk haalbaar en rood is onhaalbaar) </w:t>
      </w:r>
      <w:r>
        <w:t>zien</w:t>
      </w:r>
      <w:r w:rsidRPr="00E04E24">
        <w:t xml:space="preserve"> in hoeverre en door welke lenzen klimaatneutraliteit haalbaar is in 2040. De onderzoekers hebben uit vier scenario’s </w:t>
      </w:r>
      <w:r>
        <w:t>uit</w:t>
      </w:r>
      <w:r w:rsidRPr="00E04E24">
        <w:t xml:space="preserve"> het II3050</w:t>
      </w:r>
      <w:r>
        <w:t>-</w:t>
      </w:r>
      <w:r w:rsidRPr="00E04E24">
        <w:t>rapport het Nationaal Leiderschap scenario gekozen als basis voor de haalbaarheidsstudie</w:t>
      </w:r>
      <w:r w:rsidRPr="005B094A">
        <w:rPr>
          <w:vertAlign w:val="superscript"/>
        </w:rPr>
        <w:footnoteReference w:id="1"/>
      </w:r>
      <w:r w:rsidR="00883A6F">
        <w:t>.</w:t>
      </w:r>
      <w:r w:rsidRPr="00E04E24">
        <w:t xml:space="preserve"> </w:t>
      </w:r>
      <w:r w:rsidRPr="004B24D5">
        <w:t xml:space="preserve">Dit scenario gaat uit van centrale regie door de Nederlandse overheid op de energietransitie. </w:t>
      </w:r>
      <w:r>
        <w:t>U</w:t>
      </w:r>
      <w:r w:rsidRPr="00E04E24">
        <w:t xml:space="preserve">itgangspunt </w:t>
      </w:r>
      <w:r>
        <w:t xml:space="preserve">in dit scenario </w:t>
      </w:r>
      <w:r w:rsidRPr="00E04E24">
        <w:t xml:space="preserve">is “dat onze huidige levensstijl grotendeels behouden blijft, de industrie in Nederland gevestigd blijft, en dat er al substantiële productie plaatsvindt van synthetische brandstoffen en grondstoffen”. </w:t>
      </w:r>
    </w:p>
    <w:p w:rsidRPr="00E04E24" w:rsidR="00A6748A" w:rsidP="00201BBD" w:rsidRDefault="00A6748A" w14:paraId="4383F07F" w14:textId="77777777"/>
    <w:p w:rsidRPr="00E04E24" w:rsidR="00A6748A" w:rsidP="00201BBD" w:rsidRDefault="00A6748A" w14:paraId="37AE0E15" w14:textId="77777777">
      <w:r w:rsidRPr="00E04E24">
        <w:t xml:space="preserve">Uit de analyse </w:t>
      </w:r>
      <w:r>
        <w:t>volg</w:t>
      </w:r>
      <w:r w:rsidRPr="00E04E24">
        <w:t>t dat er in 2040, na maximale inspanning om emissiereductie te versnellen, nog ongeveer 18,5 Mton (bandbreedte 14-26 Mton)</w:t>
      </w:r>
      <w:r>
        <w:t xml:space="preserve"> </w:t>
      </w:r>
      <w:r w:rsidRPr="00E04E24">
        <w:t xml:space="preserve">aan restemissies </w:t>
      </w:r>
      <w:r>
        <w:t xml:space="preserve">van broeikasgassen </w:t>
      </w:r>
      <w:r w:rsidRPr="00E04E24">
        <w:t xml:space="preserve">moet worden gecompenseerd. De restemissies bestaan deels uit restemissies die blijvend aanwezig zijn (voornamelijk methaanemissies uit de landbouw) en andere emissies die na 2040 verder </w:t>
      </w:r>
      <w:r w:rsidRPr="00E04E24">
        <w:lastRenderedPageBreak/>
        <w:t>gereduceerd kunnen worden, waarbij de grootste uitdaging ligt in de sector gebouwde omgeving.</w:t>
      </w:r>
    </w:p>
    <w:p w:rsidRPr="00E04E24" w:rsidR="00A6748A" w:rsidP="00201BBD" w:rsidRDefault="00A6748A" w14:paraId="2B5EFC38" w14:textId="77777777"/>
    <w:p w:rsidRPr="00E04E24" w:rsidR="00A6748A" w:rsidP="00201BBD" w:rsidRDefault="00A6748A" w14:paraId="75FEB9D8" w14:textId="77777777">
      <w:r w:rsidRPr="00E04E24">
        <w:t xml:space="preserve">Om netto klimaatneutraliteit te bereiken binnen Nederland moeten restemissies worden gecompenseerd door </w:t>
      </w:r>
      <w:r>
        <w:t>koolstofverwijdering</w:t>
      </w:r>
      <w:r w:rsidRPr="00E04E24">
        <w:t>. Het</w:t>
      </w:r>
      <w:r>
        <w:t xml:space="preserve"> </w:t>
      </w:r>
      <w:r w:rsidRPr="00E04E24">
        <w:t>rapport wijst op technieken die daarvoor beschikbaar zijn, zoals mineralisatie, houtbouw en CO</w:t>
      </w:r>
      <w:r w:rsidRPr="005B094A">
        <w:rPr>
          <w:vertAlign w:val="subscript"/>
        </w:rPr>
        <w:t>2</w:t>
      </w:r>
      <w:r w:rsidRPr="00E04E24">
        <w:t xml:space="preserve">-afvang bij afvalverbranding en biobrandstofproductie. Gezamenlijk kan daarmee een emissiereductie van 97% ten opzichte van 1990 worden behaald. </w:t>
      </w:r>
      <w:r>
        <w:t>Voor d</w:t>
      </w:r>
      <w:r w:rsidRPr="00E04E24">
        <w:t xml:space="preserve">e resterende 7 Mton </w:t>
      </w:r>
      <w:r>
        <w:t xml:space="preserve">aan negatieve emissies die benodigd is </w:t>
      </w:r>
      <w:r w:rsidRPr="00E04E24">
        <w:t>voor klimaatneutraliteit</w:t>
      </w:r>
      <w:r>
        <w:t>,</w:t>
      </w:r>
      <w:r w:rsidRPr="00E04E24">
        <w:t xml:space="preserve"> </w:t>
      </w:r>
      <w:r>
        <w:t xml:space="preserve">wordt </w:t>
      </w:r>
      <w:r w:rsidRPr="00E04E24">
        <w:t>Direct Air Capture (DACCS)</w:t>
      </w:r>
      <w:r>
        <w:t xml:space="preserve"> voorgesteld</w:t>
      </w:r>
      <w:r w:rsidRPr="00E04E24">
        <w:t>.</w:t>
      </w:r>
    </w:p>
    <w:p w:rsidRPr="00E04E24" w:rsidR="00A6748A" w:rsidP="00201BBD" w:rsidRDefault="00A6748A" w14:paraId="482C9AF0" w14:textId="77777777"/>
    <w:p w:rsidRPr="00E04E24" w:rsidR="00A6748A" w:rsidP="00201BBD" w:rsidRDefault="00A6748A" w14:paraId="7240D29C" w14:textId="77777777">
      <w:r w:rsidRPr="00E04E24">
        <w:t xml:space="preserve">Het rapport concludeert dat de analyse uitwijst uit dat er geen onoverkomelijke belemmeringen zijn voor het bereiken van verregaande emissiereductie in 2040, maar dat het wel een formidabele opgave wordt die vraagt om zeer stringent overheidsbeleid en </w:t>
      </w:r>
      <w:r>
        <w:t>een ongekende</w:t>
      </w:r>
      <w:r w:rsidRPr="00E04E24">
        <w:t xml:space="preserve"> inspanning van </w:t>
      </w:r>
      <w:r>
        <w:t>de hele samenleving</w:t>
      </w:r>
      <w:r w:rsidRPr="00E04E24">
        <w:t>. Er zijn vier hoofduitdagingen geïdentificeerd: de benodigde meerinvesteringen (24-34 miljard euro per jaar), de druk op de arbeidsmarkt (560.000 extra arbeidsplaatsen op de piek), de infrastructurele opgave (met name het elektriciteitsnetwerk) en de beschikbaarheid van kritieke materialen (momenteel vindt beperkt recycling plaats).</w:t>
      </w:r>
    </w:p>
    <w:p w:rsidR="00A6748A" w:rsidP="00201BBD" w:rsidRDefault="00A6748A" w14:paraId="3BDC9A51" w14:textId="77777777">
      <w:pPr>
        <w:rPr>
          <w:rFonts w:ascii="Aptos" w:hAnsi="Aptos" w:eastAsia="Aptos"/>
          <w:kern w:val="2"/>
          <w:sz w:val="22"/>
          <w:szCs w:val="22"/>
          <w:lang w:eastAsia="en-US"/>
          <w14:ligatures w14:val="standardContextual"/>
        </w:rPr>
      </w:pPr>
    </w:p>
    <w:p w:rsidRPr="00E04E24" w:rsidR="00A6748A" w:rsidP="00201BBD" w:rsidRDefault="00A6748A" w14:paraId="1918E1C8" w14:textId="77777777">
      <w:pPr>
        <w:rPr>
          <w:rFonts w:eastAsia="Aptos"/>
          <w:kern w:val="2"/>
          <w:szCs w:val="18"/>
          <w:u w:val="single"/>
          <w:lang w:eastAsia="en-US"/>
          <w14:ligatures w14:val="standardContextual"/>
        </w:rPr>
      </w:pPr>
      <w:r>
        <w:rPr>
          <w:rFonts w:eastAsia="Aptos"/>
          <w:kern w:val="2"/>
          <w:szCs w:val="18"/>
          <w:u w:val="single"/>
          <w:lang w:eastAsia="en-US"/>
          <w14:ligatures w14:val="standardContextual"/>
        </w:rPr>
        <w:t>Reactie op</w:t>
      </w:r>
      <w:r w:rsidRPr="00E04E24">
        <w:rPr>
          <w:rFonts w:eastAsia="Aptos"/>
          <w:kern w:val="2"/>
          <w:szCs w:val="18"/>
          <w:u w:val="single"/>
          <w:lang w:eastAsia="en-US"/>
          <w14:ligatures w14:val="standardContextual"/>
        </w:rPr>
        <w:t xml:space="preserve"> het rapport</w:t>
      </w:r>
      <w:r>
        <w:rPr>
          <w:rFonts w:eastAsia="Aptos"/>
          <w:kern w:val="2"/>
          <w:szCs w:val="18"/>
          <w:u w:val="single"/>
          <w:lang w:eastAsia="en-US"/>
          <w14:ligatures w14:val="standardContextual"/>
        </w:rPr>
        <w:t xml:space="preserve"> en inzet van het kabinet</w:t>
      </w:r>
    </w:p>
    <w:p w:rsidRPr="00E04E24" w:rsidR="00A6748A" w:rsidP="00201BBD" w:rsidRDefault="00A6748A" w14:paraId="61FAA36E" w14:textId="58418D01">
      <w:pPr>
        <w:rPr>
          <w:rFonts w:eastAsia="Aptos"/>
          <w:kern w:val="2"/>
          <w:szCs w:val="18"/>
          <w:lang w:eastAsia="en-US"/>
          <w14:ligatures w14:val="standardContextual"/>
        </w:rPr>
      </w:pPr>
      <w:r>
        <w:rPr>
          <w:rFonts w:eastAsia="Aptos"/>
          <w:kern w:val="2"/>
          <w:szCs w:val="18"/>
          <w:lang w:eastAsia="en-US"/>
          <w14:ligatures w14:val="standardContextual"/>
        </w:rPr>
        <w:t>H</w:t>
      </w:r>
      <w:r w:rsidRPr="00E04E24">
        <w:rPr>
          <w:rFonts w:eastAsia="Aptos"/>
          <w:kern w:val="2"/>
          <w:szCs w:val="18"/>
          <w:lang w:eastAsia="en-US"/>
          <w14:ligatures w14:val="standardContextual"/>
        </w:rPr>
        <w:t>et rapport concludeert dat er geen onoverkomelijke belemmeringen zijn</w:t>
      </w:r>
      <w:r w:rsidR="00CC30BA">
        <w:rPr>
          <w:rFonts w:eastAsia="Aptos"/>
          <w:kern w:val="2"/>
          <w:szCs w:val="18"/>
          <w:lang w:eastAsia="en-US"/>
          <w14:ligatures w14:val="standardContextual"/>
        </w:rPr>
        <w:t>; het rapport</w:t>
      </w:r>
      <w:r>
        <w:rPr>
          <w:rFonts w:eastAsia="Aptos"/>
          <w:kern w:val="2"/>
          <w:szCs w:val="18"/>
          <w:lang w:eastAsia="en-US"/>
          <w14:ligatures w14:val="standardContextual"/>
        </w:rPr>
        <w:t xml:space="preserve"> besteedt </w:t>
      </w:r>
      <w:r w:rsidR="00CC30BA">
        <w:rPr>
          <w:rFonts w:eastAsia="Aptos"/>
          <w:kern w:val="2"/>
          <w:szCs w:val="18"/>
          <w:lang w:eastAsia="en-US"/>
          <w14:ligatures w14:val="standardContextual"/>
        </w:rPr>
        <w:t xml:space="preserve">echter zeer beperkt </w:t>
      </w:r>
      <w:r>
        <w:rPr>
          <w:rFonts w:eastAsia="Aptos"/>
          <w:kern w:val="2"/>
          <w:szCs w:val="18"/>
          <w:lang w:eastAsia="en-US"/>
          <w14:ligatures w14:val="standardContextual"/>
        </w:rPr>
        <w:t xml:space="preserve">aandacht aan de juridische haalbaarheid en uitvoerbaarheid. Het kabinet </w:t>
      </w:r>
      <w:r w:rsidRPr="00E04E24">
        <w:rPr>
          <w:rFonts w:eastAsia="Aptos"/>
          <w:kern w:val="2"/>
          <w:szCs w:val="18"/>
          <w:lang w:eastAsia="en-US"/>
          <w14:ligatures w14:val="standardContextual"/>
        </w:rPr>
        <w:t>constateer</w:t>
      </w:r>
      <w:r>
        <w:rPr>
          <w:rFonts w:eastAsia="Aptos"/>
          <w:kern w:val="2"/>
          <w:szCs w:val="18"/>
          <w:lang w:eastAsia="en-US"/>
          <w14:ligatures w14:val="standardContextual"/>
        </w:rPr>
        <w:t>t da</w:t>
      </w:r>
      <w:r w:rsidRPr="00F84DB2">
        <w:rPr>
          <w:rFonts w:eastAsia="Aptos"/>
          <w:kern w:val="2"/>
          <w:szCs w:val="18"/>
          <w:lang w:eastAsia="en-US"/>
          <w14:ligatures w14:val="standardContextual"/>
        </w:rPr>
        <w:t xml:space="preserve">t de verduurzaming van de energievoorziening in de praktijk tegen grenzen aanloopt. Dat komt onder andere door tekort aan netcapaciteit, beperkte stikstofruimte en krapte op de arbeidsmarkt. Ook is bijvoorbeeld de infrastructuur voor CCS nog onvoldoende ontwikkeld om koolstofopslag beter van de grond te krijgen, en blijft de ontwikkeling van de waterstofmarkt achter op eerdere prognoses. Knelpunten en beperkingen zijn in deze fase van de transitie onvermijdelijk. Zoals beschreven in de </w:t>
      </w:r>
      <w:r w:rsidR="005C525B">
        <w:rPr>
          <w:rFonts w:eastAsia="Aptos"/>
          <w:kern w:val="2"/>
          <w:szCs w:val="18"/>
          <w:lang w:eastAsia="en-US"/>
          <w14:ligatures w14:val="standardContextual"/>
        </w:rPr>
        <w:t>K</w:t>
      </w:r>
      <w:r w:rsidRPr="00F84DB2">
        <w:rPr>
          <w:rFonts w:eastAsia="Aptos"/>
          <w:kern w:val="2"/>
          <w:szCs w:val="18"/>
          <w:lang w:eastAsia="en-US"/>
          <w14:ligatures w14:val="standardContextual"/>
        </w:rPr>
        <w:t>amerbrief “Pakket voor Groene Groei” treft het kabinet in alle sectoren maatregelen die erop gericht zijn de uitvoering vlot te trekken</w:t>
      </w:r>
      <w:r w:rsidRPr="00F84DB2">
        <w:rPr>
          <w:rFonts w:eastAsia="Aptos"/>
          <w:kern w:val="2"/>
          <w:szCs w:val="18"/>
          <w:vertAlign w:val="superscript"/>
          <w:lang w:eastAsia="en-US"/>
          <w14:ligatures w14:val="standardContextual"/>
        </w:rPr>
        <w:footnoteReference w:id="2"/>
      </w:r>
      <w:r w:rsidR="000C32F8">
        <w:rPr>
          <w:rFonts w:eastAsia="Aptos"/>
          <w:kern w:val="2"/>
          <w:szCs w:val="18"/>
          <w:lang w:eastAsia="en-US"/>
          <w14:ligatures w14:val="standardContextual"/>
        </w:rPr>
        <w:t>.</w:t>
      </w:r>
    </w:p>
    <w:p w:rsidR="00A6748A" w:rsidP="00201BBD" w:rsidRDefault="00A6748A" w14:paraId="6959192D" w14:textId="77777777">
      <w:pPr>
        <w:rPr>
          <w:szCs w:val="18"/>
        </w:rPr>
      </w:pPr>
    </w:p>
    <w:p w:rsidR="00A6748A" w:rsidP="00201BBD" w:rsidRDefault="00A6748A" w14:paraId="1A27B2CF" w14:textId="7FE1A029">
      <w:pPr>
        <w:rPr>
          <w:rFonts w:eastAsia="Aptos"/>
          <w:kern w:val="2"/>
          <w:szCs w:val="18"/>
          <w:lang w:eastAsia="en-US"/>
          <w14:ligatures w14:val="standardContextual"/>
        </w:rPr>
      </w:pPr>
      <w:r>
        <w:rPr>
          <w:rFonts w:eastAsia="Aptos"/>
          <w:kern w:val="2"/>
          <w:szCs w:val="18"/>
          <w:lang w:eastAsia="en-US"/>
          <w14:ligatures w14:val="standardContextual"/>
        </w:rPr>
        <w:t>In het rapport wordt klimaatneutraliteit in 2040 bereikt door resterende emissies in dat jaar te compenseren met koolstofverwijdering. Dit zou met name nodig zijn voor restmissies in de landbouw, gebouwde omgeving en in mindere mate mobiliteit. Voor de industrie en elektriciteitssector veronderstellen de onderzoekers een zeer lage hoeveelheid restemissies. Analyses van TNO en PBL laten zien dat Nederland in de industrie naar verwachting nog restemissies zal hebben in 2040</w:t>
      </w:r>
      <w:r w:rsidR="00FF073A">
        <w:rPr>
          <w:rFonts w:eastAsia="Aptos"/>
          <w:kern w:val="2"/>
          <w:szCs w:val="18"/>
          <w:lang w:eastAsia="en-US"/>
          <w14:ligatures w14:val="standardContextual"/>
        </w:rPr>
        <w:t>.</w:t>
      </w:r>
      <w:r>
        <w:rPr>
          <w:rStyle w:val="Voetnootmarkering"/>
          <w:rFonts w:eastAsia="Aptos"/>
          <w:kern w:val="2"/>
          <w:szCs w:val="18"/>
          <w:lang w:eastAsia="en-US"/>
          <w14:ligatures w14:val="standardContextual"/>
        </w:rPr>
        <w:footnoteReference w:id="3"/>
      </w:r>
      <w:r>
        <w:rPr>
          <w:rFonts w:eastAsia="Aptos"/>
          <w:kern w:val="2"/>
          <w:szCs w:val="18"/>
          <w:vertAlign w:val="superscript"/>
          <w:lang w:eastAsia="en-US"/>
          <w14:ligatures w14:val="standardContextual"/>
        </w:rPr>
        <w:t>,</w:t>
      </w:r>
      <w:r>
        <w:rPr>
          <w:rStyle w:val="Voetnootmarkering"/>
          <w:rFonts w:eastAsia="Aptos"/>
          <w:kern w:val="2"/>
          <w:szCs w:val="18"/>
          <w:lang w:eastAsia="en-US"/>
          <w14:ligatures w14:val="standardContextual"/>
        </w:rPr>
        <w:footnoteReference w:id="4"/>
      </w:r>
      <w:r w:rsidR="000C32F8">
        <w:rPr>
          <w:rFonts w:eastAsia="Aptos"/>
          <w:kern w:val="2"/>
          <w:szCs w:val="18"/>
          <w:lang w:eastAsia="en-US"/>
          <w14:ligatures w14:val="standardContextual"/>
        </w:rPr>
        <w:t xml:space="preserve"> </w:t>
      </w:r>
      <w:r w:rsidRPr="00E04E24">
        <w:rPr>
          <w:rFonts w:eastAsia="Aptos"/>
          <w:kern w:val="2"/>
          <w:szCs w:val="18"/>
          <w:lang w:eastAsia="en-US"/>
          <w14:ligatures w14:val="standardContextual"/>
        </w:rPr>
        <w:t xml:space="preserve">Het totaal aan </w:t>
      </w:r>
      <w:r>
        <w:rPr>
          <w:rFonts w:eastAsia="Aptos"/>
          <w:kern w:val="2"/>
          <w:szCs w:val="18"/>
          <w:lang w:eastAsia="en-US"/>
          <w14:ligatures w14:val="standardContextual"/>
        </w:rPr>
        <w:t>koolstofverwijdering</w:t>
      </w:r>
      <w:r w:rsidRPr="00E04E24">
        <w:rPr>
          <w:rFonts w:eastAsia="Aptos"/>
          <w:kern w:val="2"/>
          <w:szCs w:val="18"/>
          <w:lang w:eastAsia="en-US"/>
          <w14:ligatures w14:val="standardContextual"/>
        </w:rPr>
        <w:t xml:space="preserve"> </w:t>
      </w:r>
      <w:r>
        <w:rPr>
          <w:rFonts w:eastAsia="Aptos"/>
          <w:kern w:val="2"/>
          <w:szCs w:val="18"/>
          <w:lang w:eastAsia="en-US"/>
          <w14:ligatures w14:val="standardContextual"/>
        </w:rPr>
        <w:t xml:space="preserve">dat in 2040 daarom nodig is, </w:t>
      </w:r>
      <w:r w:rsidRPr="00E04E24">
        <w:rPr>
          <w:rFonts w:eastAsia="Aptos"/>
          <w:kern w:val="2"/>
          <w:szCs w:val="18"/>
          <w:lang w:eastAsia="en-US"/>
          <w14:ligatures w14:val="standardContextual"/>
        </w:rPr>
        <w:t xml:space="preserve">wordt daarmee </w:t>
      </w:r>
      <w:r>
        <w:rPr>
          <w:rFonts w:eastAsia="Aptos"/>
          <w:kern w:val="2"/>
          <w:szCs w:val="18"/>
          <w:lang w:eastAsia="en-US"/>
          <w14:ligatures w14:val="standardContextual"/>
        </w:rPr>
        <w:t>mogelijk onderschat door de onderzoekers. D</w:t>
      </w:r>
      <w:r w:rsidRPr="00E04E24">
        <w:rPr>
          <w:rFonts w:eastAsia="Aptos"/>
          <w:kern w:val="2"/>
          <w:szCs w:val="18"/>
          <w:lang w:eastAsia="en-US"/>
          <w14:ligatures w14:val="standardContextual"/>
        </w:rPr>
        <w:t xml:space="preserve">e </w:t>
      </w:r>
      <w:r>
        <w:rPr>
          <w:rFonts w:eastAsia="Aptos"/>
          <w:kern w:val="2"/>
          <w:szCs w:val="18"/>
          <w:lang w:eastAsia="en-US"/>
          <w14:ligatures w14:val="standardContextual"/>
        </w:rPr>
        <w:t xml:space="preserve">benodigde </w:t>
      </w:r>
      <w:r w:rsidRPr="00E04E24">
        <w:rPr>
          <w:rFonts w:eastAsia="Aptos"/>
          <w:kern w:val="2"/>
          <w:szCs w:val="18"/>
          <w:lang w:eastAsia="en-US"/>
          <w14:ligatures w14:val="standardContextual"/>
        </w:rPr>
        <w:t xml:space="preserve">inzet van DACCS, een techniek die nog verder ontwikkeld moet worden, </w:t>
      </w:r>
      <w:r w:rsidR="00CC30BA">
        <w:rPr>
          <w:rFonts w:eastAsia="Aptos"/>
          <w:kern w:val="2"/>
          <w:szCs w:val="18"/>
          <w:lang w:eastAsia="en-US"/>
          <w14:ligatures w14:val="standardContextual"/>
        </w:rPr>
        <w:t xml:space="preserve">zou </w:t>
      </w:r>
      <w:r>
        <w:rPr>
          <w:rFonts w:eastAsia="Aptos"/>
          <w:kern w:val="2"/>
          <w:szCs w:val="18"/>
          <w:lang w:eastAsia="en-US"/>
          <w14:ligatures w14:val="standardContextual"/>
        </w:rPr>
        <w:t xml:space="preserve">dan nog hoger moeten zijn, inclusief de kosten die hiermee gepaard gaan. Het is de vraag of dit realistisch is, gelet op de constatering van het PBL dat het economisch onwaarschijnlijk is dat DACCS een grote rol gaat spelen in de transitie naar klimaatneutraliteit. De reden hiervoor is dat alternatieve processen naar </w:t>
      </w:r>
      <w:r>
        <w:rPr>
          <w:rFonts w:eastAsia="Aptos"/>
          <w:kern w:val="2"/>
          <w:szCs w:val="18"/>
          <w:lang w:eastAsia="en-US"/>
          <w14:ligatures w14:val="standardContextual"/>
        </w:rPr>
        <w:lastRenderedPageBreak/>
        <w:t>verwachting economisch meer rendabel zullen zijn</w:t>
      </w:r>
      <w:r>
        <w:rPr>
          <w:rStyle w:val="Voetnootmarkering"/>
          <w:rFonts w:eastAsia="Aptos"/>
          <w:kern w:val="2"/>
          <w:szCs w:val="18"/>
          <w:lang w:eastAsia="en-US"/>
          <w14:ligatures w14:val="standardContextual"/>
        </w:rPr>
        <w:footnoteReference w:id="5"/>
      </w:r>
      <w:r w:rsidR="00E45B5B">
        <w:rPr>
          <w:rFonts w:eastAsia="Aptos"/>
          <w:kern w:val="2"/>
          <w:szCs w:val="18"/>
          <w:lang w:eastAsia="en-US"/>
          <w14:ligatures w14:val="standardContextual"/>
        </w:rPr>
        <w:t>.</w:t>
      </w:r>
      <w:r>
        <w:rPr>
          <w:rFonts w:eastAsia="Aptos"/>
          <w:kern w:val="2"/>
          <w:szCs w:val="18"/>
          <w:lang w:eastAsia="en-US"/>
          <w14:ligatures w14:val="standardContextual"/>
        </w:rPr>
        <w:t xml:space="preserve"> Ook CE Delft concludeerde in een eerdere studie dat “het potentieel van DACCS erg onzeker [is]”</w:t>
      </w:r>
      <w:r>
        <w:rPr>
          <w:rStyle w:val="Voetnootmarkering"/>
          <w:rFonts w:eastAsia="Aptos"/>
          <w:kern w:val="2"/>
          <w:szCs w:val="18"/>
          <w:lang w:eastAsia="en-US"/>
          <w14:ligatures w14:val="standardContextual"/>
        </w:rPr>
        <w:footnoteReference w:id="6"/>
      </w:r>
      <w:r w:rsidR="00E45B5B">
        <w:rPr>
          <w:rFonts w:eastAsia="Aptos"/>
          <w:kern w:val="2"/>
          <w:szCs w:val="18"/>
          <w:lang w:eastAsia="en-US"/>
          <w14:ligatures w14:val="standardContextual"/>
        </w:rPr>
        <w:t>.</w:t>
      </w:r>
    </w:p>
    <w:p w:rsidRPr="00A26B40" w:rsidR="00A6748A" w:rsidP="00201BBD" w:rsidRDefault="00A6748A" w14:paraId="0003726A" w14:textId="77777777">
      <w:pPr>
        <w:rPr>
          <w:rFonts w:eastAsia="Aptos"/>
          <w:kern w:val="2"/>
          <w:szCs w:val="18"/>
          <w:lang w:eastAsia="en-US"/>
          <w14:ligatures w14:val="standardContextual"/>
        </w:rPr>
      </w:pPr>
    </w:p>
    <w:p w:rsidR="00A6748A" w:rsidP="00201BBD" w:rsidRDefault="00A6748A" w14:paraId="55EE7C9A" w14:textId="55BB97DC">
      <w:pPr>
        <w:rPr>
          <w:rFonts w:eastAsia="Aptos"/>
          <w:kern w:val="2"/>
          <w:szCs w:val="18"/>
          <w:lang w:eastAsia="en-US"/>
          <w14:ligatures w14:val="standardContextual"/>
        </w:rPr>
      </w:pPr>
      <w:r>
        <w:rPr>
          <w:szCs w:val="18"/>
        </w:rPr>
        <w:t>Tot slot gaat h</w:t>
      </w:r>
      <w:r w:rsidRPr="002B4303">
        <w:rPr>
          <w:rFonts w:eastAsia="Aptos"/>
          <w:kern w:val="2"/>
          <w:szCs w:val="18"/>
          <w:lang w:eastAsia="en-US"/>
          <w14:ligatures w14:val="standardContextual"/>
        </w:rPr>
        <w:t xml:space="preserve">et rapport </w:t>
      </w:r>
      <w:r>
        <w:rPr>
          <w:rFonts w:eastAsia="Aptos"/>
          <w:kern w:val="2"/>
          <w:szCs w:val="18"/>
          <w:lang w:eastAsia="en-US"/>
          <w14:ligatures w14:val="standardContextual"/>
        </w:rPr>
        <w:t xml:space="preserve">grotendeels </w:t>
      </w:r>
      <w:r w:rsidRPr="002B4303">
        <w:rPr>
          <w:rFonts w:eastAsia="Aptos"/>
          <w:kern w:val="2"/>
          <w:szCs w:val="18"/>
          <w:lang w:eastAsia="en-US"/>
          <w14:ligatures w14:val="standardContextual"/>
        </w:rPr>
        <w:t xml:space="preserve">voorbij aan de </w:t>
      </w:r>
      <w:r>
        <w:rPr>
          <w:rFonts w:eastAsia="Aptos"/>
          <w:kern w:val="2"/>
          <w:szCs w:val="18"/>
          <w:lang w:eastAsia="en-US"/>
          <w14:ligatures w14:val="standardContextual"/>
        </w:rPr>
        <w:t xml:space="preserve">Europese context waarin het klimaatbeleid zich afspeelt en de </w:t>
      </w:r>
      <w:r w:rsidRPr="002B4303">
        <w:rPr>
          <w:rFonts w:eastAsia="Aptos"/>
          <w:kern w:val="2"/>
          <w:szCs w:val="18"/>
          <w:lang w:eastAsia="en-US"/>
          <w14:ligatures w14:val="standardContextual"/>
        </w:rPr>
        <w:t xml:space="preserve">beperkingen die </w:t>
      </w:r>
      <w:r>
        <w:rPr>
          <w:rFonts w:eastAsia="Aptos"/>
          <w:kern w:val="2"/>
          <w:szCs w:val="18"/>
          <w:lang w:eastAsia="en-US"/>
          <w14:ligatures w14:val="standardContextual"/>
        </w:rPr>
        <w:t xml:space="preserve">uit </w:t>
      </w:r>
      <w:r w:rsidRPr="002B4303">
        <w:rPr>
          <w:rFonts w:eastAsia="Aptos"/>
          <w:kern w:val="2"/>
          <w:szCs w:val="18"/>
          <w:lang w:eastAsia="en-US"/>
          <w14:ligatures w14:val="standardContextual"/>
        </w:rPr>
        <w:t xml:space="preserve">Europese regelgeving </w:t>
      </w:r>
      <w:r>
        <w:rPr>
          <w:rFonts w:eastAsia="Aptos"/>
          <w:kern w:val="2"/>
          <w:szCs w:val="18"/>
          <w:lang w:eastAsia="en-US"/>
          <w14:ligatures w14:val="standardContextual"/>
        </w:rPr>
        <w:t>voortvloeien</w:t>
      </w:r>
      <w:r w:rsidRPr="002B4303">
        <w:rPr>
          <w:rFonts w:eastAsia="Aptos"/>
          <w:kern w:val="2"/>
          <w:szCs w:val="18"/>
          <w:lang w:eastAsia="en-US"/>
          <w14:ligatures w14:val="standardContextual"/>
        </w:rPr>
        <w:t xml:space="preserve"> en</w:t>
      </w:r>
      <w:r w:rsidRPr="00E04E24">
        <w:rPr>
          <w:rFonts w:eastAsia="Aptos"/>
          <w:kern w:val="2"/>
          <w:szCs w:val="18"/>
          <w:lang w:eastAsia="en-US"/>
          <w14:ligatures w14:val="standardContextual"/>
        </w:rPr>
        <w:t xml:space="preserve"> veronderstelt op onderdelen ook een invulling van Europees beleid waarover nog geen besluitvorming heeft plaatsgevonden.</w:t>
      </w:r>
      <w:r>
        <w:rPr>
          <w:rFonts w:eastAsia="Aptos"/>
          <w:kern w:val="2"/>
          <w:szCs w:val="18"/>
          <w:lang w:eastAsia="en-US"/>
          <w14:ligatures w14:val="standardContextual"/>
        </w:rPr>
        <w:t xml:space="preserve"> </w:t>
      </w:r>
    </w:p>
    <w:p w:rsidR="00A6748A" w:rsidP="00201BBD" w:rsidRDefault="00A6748A" w14:paraId="392EFE48" w14:textId="77777777">
      <w:pPr>
        <w:rPr>
          <w:rFonts w:eastAsia="Aptos"/>
          <w:kern w:val="2"/>
          <w:szCs w:val="18"/>
          <w:lang w:eastAsia="en-US"/>
          <w14:ligatures w14:val="standardContextual"/>
        </w:rPr>
      </w:pPr>
    </w:p>
    <w:p w:rsidR="007635F6" w:rsidP="00201BBD" w:rsidRDefault="00A6748A" w14:paraId="29E397B4" w14:textId="438299BD">
      <w:pPr>
        <w:rPr>
          <w:rFonts w:eastAsia="Aptos"/>
          <w:kern w:val="2"/>
          <w:szCs w:val="18"/>
          <w:lang w:eastAsia="en-US"/>
          <w14:ligatures w14:val="standardContextual"/>
        </w:rPr>
      </w:pPr>
      <w:r w:rsidRPr="00093594">
        <w:rPr>
          <w:rFonts w:eastAsia="Aptos"/>
          <w:kern w:val="2"/>
          <w:szCs w:val="18"/>
          <w:lang w:eastAsia="en-US"/>
          <w14:ligatures w14:val="standardContextual"/>
        </w:rPr>
        <w:t xml:space="preserve">In het Klimaatplan 2025-2035, benadrukt het kabinet het belang van EU-beleid als basis voor nationaal beleid. Het kabinet ziet realisatie van circa 90 procent netto broeikasgasreductie in 2040 ten opzichte van 1990 als logische tussenstap op weg naar klimaatneutraliteit in 2050. Deze tussenstap sluit aan bij het EU-doel dat de </w:t>
      </w:r>
      <w:r w:rsidR="001748D8">
        <w:rPr>
          <w:rFonts w:eastAsia="Aptos"/>
          <w:kern w:val="2"/>
          <w:szCs w:val="18"/>
          <w:lang w:eastAsia="en-US"/>
          <w14:ligatures w14:val="standardContextual"/>
        </w:rPr>
        <w:t xml:space="preserve">vorige </w:t>
      </w:r>
      <w:r w:rsidRPr="00093594">
        <w:rPr>
          <w:rFonts w:eastAsia="Aptos"/>
          <w:kern w:val="2"/>
          <w:szCs w:val="18"/>
          <w:lang w:eastAsia="en-US"/>
          <w14:ligatures w14:val="standardContextual"/>
        </w:rPr>
        <w:t xml:space="preserve">Europese Commissie voor 2040 heeft aanbevolen. </w:t>
      </w:r>
      <w:r w:rsidRPr="007635F6" w:rsidR="007635F6">
        <w:rPr>
          <w:rFonts w:eastAsia="Aptos"/>
          <w:kern w:val="2"/>
          <w:szCs w:val="18"/>
          <w:lang w:eastAsia="en-US"/>
          <w14:ligatures w14:val="standardContextual"/>
        </w:rPr>
        <w:t xml:space="preserve">Hierbij pleit het kabinet voor een stevig uitvoeringspakket </w:t>
      </w:r>
      <w:r w:rsidR="007635F6">
        <w:rPr>
          <w:rFonts w:eastAsia="Aptos"/>
          <w:kern w:val="2"/>
          <w:szCs w:val="18"/>
          <w:lang w:eastAsia="en-US"/>
          <w14:ligatures w14:val="standardContextual"/>
        </w:rPr>
        <w:t>om</w:t>
      </w:r>
      <w:r w:rsidRPr="007635F6" w:rsidR="007635F6">
        <w:rPr>
          <w:rFonts w:eastAsia="Aptos"/>
          <w:kern w:val="2"/>
          <w:szCs w:val="18"/>
          <w:lang w:eastAsia="en-US"/>
          <w14:ligatures w14:val="standardContextual"/>
        </w:rPr>
        <w:t xml:space="preserve"> knelpunten in de transitie</w:t>
      </w:r>
      <w:r w:rsidR="007635F6">
        <w:rPr>
          <w:rFonts w:eastAsia="Aptos"/>
          <w:kern w:val="2"/>
          <w:szCs w:val="18"/>
          <w:lang w:eastAsia="en-US"/>
          <w14:ligatures w14:val="standardContextual"/>
        </w:rPr>
        <w:t xml:space="preserve"> weg te nemen</w:t>
      </w:r>
      <w:r w:rsidRPr="007635F6" w:rsidR="007635F6">
        <w:rPr>
          <w:rFonts w:eastAsia="Aptos"/>
          <w:kern w:val="2"/>
          <w:szCs w:val="18"/>
          <w:lang w:eastAsia="en-US"/>
          <w14:ligatures w14:val="standardContextual"/>
        </w:rPr>
        <w:t>, waaronder netcongestie en langdurige vergunningsverleningsprocedures</w:t>
      </w:r>
      <w:r w:rsidR="007635F6">
        <w:rPr>
          <w:rFonts w:eastAsia="Aptos"/>
          <w:kern w:val="2"/>
          <w:szCs w:val="18"/>
          <w:lang w:eastAsia="en-US"/>
          <w14:ligatures w14:val="standardContextual"/>
        </w:rPr>
        <w:t>. Ook pleit het kabinet</w:t>
      </w:r>
      <w:r w:rsidRPr="007635F6" w:rsidR="007635F6">
        <w:rPr>
          <w:rFonts w:eastAsia="Aptos"/>
          <w:kern w:val="2"/>
          <w:szCs w:val="18"/>
          <w:lang w:eastAsia="en-US"/>
          <w14:ligatures w14:val="standardContextual"/>
        </w:rPr>
        <w:t xml:space="preserve"> voor voldoende beschikbaarheid van financiering, betaalbare duurzame energie en grondstoffen. Initiatieven als de </w:t>
      </w:r>
      <w:r w:rsidRPr="007635F6" w:rsidR="007635F6">
        <w:rPr>
          <w:rFonts w:eastAsia="Aptos"/>
          <w:i/>
          <w:iCs/>
          <w:kern w:val="2"/>
          <w:szCs w:val="18"/>
          <w:lang w:eastAsia="en-US"/>
          <w14:ligatures w14:val="standardContextual"/>
        </w:rPr>
        <w:t>Clean Industrial Deal</w:t>
      </w:r>
      <w:r w:rsidRPr="007635F6" w:rsidR="007635F6">
        <w:rPr>
          <w:rFonts w:eastAsia="Aptos"/>
          <w:kern w:val="2"/>
          <w:szCs w:val="18"/>
          <w:lang w:eastAsia="en-US"/>
          <w14:ligatures w14:val="standardContextual"/>
        </w:rPr>
        <w:t xml:space="preserve"> en het </w:t>
      </w:r>
      <w:r w:rsidRPr="007635F6" w:rsidR="007635F6">
        <w:rPr>
          <w:rFonts w:eastAsia="Aptos"/>
          <w:i/>
          <w:iCs/>
          <w:kern w:val="2"/>
          <w:szCs w:val="18"/>
          <w:lang w:eastAsia="en-US"/>
          <w14:ligatures w14:val="standardContextual"/>
        </w:rPr>
        <w:t>Action Plan for Affordable Energy</w:t>
      </w:r>
      <w:r w:rsidRPr="007635F6" w:rsidR="007635F6">
        <w:rPr>
          <w:rFonts w:eastAsia="Aptos"/>
          <w:kern w:val="2"/>
          <w:szCs w:val="18"/>
          <w:lang w:eastAsia="en-US"/>
          <w14:ligatures w14:val="standardContextual"/>
        </w:rPr>
        <w:t xml:space="preserve"> laten zien dat Europa inzet op deze gebalanceerde aanpak. </w:t>
      </w:r>
    </w:p>
    <w:p w:rsidR="007635F6" w:rsidP="00201BBD" w:rsidRDefault="007635F6" w14:paraId="4D3212A8" w14:textId="77777777">
      <w:pPr>
        <w:rPr>
          <w:rFonts w:eastAsia="Aptos"/>
          <w:kern w:val="2"/>
          <w:szCs w:val="18"/>
          <w:lang w:eastAsia="en-US"/>
          <w14:ligatures w14:val="standardContextual"/>
        </w:rPr>
      </w:pPr>
    </w:p>
    <w:p w:rsidRPr="00A6748A" w:rsidR="00A6748A" w:rsidP="00201BBD" w:rsidRDefault="00A6748A" w14:paraId="0C97E222" w14:textId="2C36CBB8">
      <w:pPr>
        <w:rPr>
          <w:rFonts w:eastAsia="Aptos"/>
          <w:kern w:val="2"/>
          <w:szCs w:val="18"/>
          <w:lang w:eastAsia="en-US"/>
          <w14:ligatures w14:val="standardContextual"/>
        </w:rPr>
      </w:pPr>
      <w:r>
        <w:rPr>
          <w:rFonts w:eastAsia="Aptos"/>
          <w:kern w:val="2"/>
          <w:szCs w:val="18"/>
          <w:lang w:eastAsia="en-US"/>
          <w14:ligatures w14:val="standardContextual"/>
        </w:rPr>
        <w:t>N</w:t>
      </w:r>
      <w:r w:rsidRPr="00093594">
        <w:rPr>
          <w:rFonts w:eastAsia="Aptos"/>
          <w:kern w:val="2"/>
          <w:szCs w:val="18"/>
          <w:lang w:eastAsia="en-US"/>
          <w14:ligatures w14:val="standardContextual"/>
        </w:rPr>
        <w:t xml:space="preserve">ederland zal </w:t>
      </w:r>
      <w:r w:rsidR="00CC30BA">
        <w:rPr>
          <w:rFonts w:eastAsia="Aptos"/>
          <w:kern w:val="2"/>
          <w:szCs w:val="18"/>
          <w:lang w:eastAsia="en-US"/>
          <w14:ligatures w14:val="standardContextual"/>
        </w:rPr>
        <w:t>zijn</w:t>
      </w:r>
      <w:r w:rsidRPr="00093594" w:rsidR="00CC30BA">
        <w:rPr>
          <w:rFonts w:eastAsia="Aptos"/>
          <w:kern w:val="2"/>
          <w:szCs w:val="18"/>
          <w:lang w:eastAsia="en-US"/>
          <w14:ligatures w14:val="standardContextual"/>
        </w:rPr>
        <w:t xml:space="preserve"> </w:t>
      </w:r>
      <w:r w:rsidRPr="00093594">
        <w:rPr>
          <w:rFonts w:eastAsia="Aptos"/>
          <w:kern w:val="2"/>
          <w:szCs w:val="18"/>
          <w:lang w:eastAsia="en-US"/>
          <w14:ligatures w14:val="standardContextual"/>
        </w:rPr>
        <w:t xml:space="preserve">bijdrage leveren aan </w:t>
      </w:r>
      <w:r>
        <w:rPr>
          <w:rFonts w:eastAsia="Aptos"/>
          <w:kern w:val="2"/>
          <w:szCs w:val="18"/>
          <w:lang w:eastAsia="en-US"/>
          <w14:ligatures w14:val="standardContextual"/>
        </w:rPr>
        <w:t xml:space="preserve">de ontwikkeling van het </w:t>
      </w:r>
      <w:r w:rsidRPr="00EE6EA9">
        <w:rPr>
          <w:rFonts w:eastAsia="Aptos"/>
          <w:kern w:val="2"/>
          <w:szCs w:val="18"/>
          <w:lang w:eastAsia="en-US"/>
          <w14:ligatures w14:val="standardContextual"/>
        </w:rPr>
        <w:t>nieuw</w:t>
      </w:r>
      <w:r>
        <w:rPr>
          <w:rFonts w:eastAsia="Aptos"/>
          <w:kern w:val="2"/>
          <w:szCs w:val="18"/>
          <w:lang w:eastAsia="en-US"/>
          <w14:ligatures w14:val="standardContextual"/>
        </w:rPr>
        <w:t>e</w:t>
      </w:r>
      <w:r w:rsidRPr="00EE6EA9">
        <w:rPr>
          <w:rFonts w:eastAsia="Aptos"/>
          <w:kern w:val="2"/>
          <w:szCs w:val="18"/>
          <w:lang w:eastAsia="en-US"/>
          <w14:ligatures w14:val="standardContextual"/>
        </w:rPr>
        <w:t xml:space="preserve"> pakket beleidsvoorstellen ter invulling van het EU-tussendoel voor 2040</w:t>
      </w:r>
      <w:r>
        <w:rPr>
          <w:rFonts w:eastAsia="Aptos"/>
          <w:kern w:val="2"/>
          <w:szCs w:val="18"/>
          <w:lang w:eastAsia="en-US"/>
          <w14:ligatures w14:val="standardContextual"/>
        </w:rPr>
        <w:t>.</w:t>
      </w:r>
      <w:r w:rsidRPr="00093594">
        <w:rPr>
          <w:rFonts w:eastAsia="Aptos"/>
          <w:kern w:val="2"/>
          <w:szCs w:val="18"/>
          <w:lang w:eastAsia="en-US"/>
          <w14:ligatures w14:val="standardContextual"/>
        </w:rPr>
        <w:t xml:space="preserve"> </w:t>
      </w:r>
      <w:r>
        <w:rPr>
          <w:rFonts w:eastAsia="Aptos"/>
          <w:kern w:val="2"/>
          <w:szCs w:val="18"/>
          <w:lang w:eastAsia="en-US"/>
          <w14:ligatures w14:val="standardContextual"/>
        </w:rPr>
        <w:t>Dit pakket</w:t>
      </w:r>
      <w:r w:rsidRPr="00EE6EA9">
        <w:rPr>
          <w:rFonts w:eastAsia="Aptos"/>
          <w:kern w:val="2"/>
          <w:szCs w:val="18"/>
          <w:lang w:eastAsia="en-US"/>
          <w14:ligatures w14:val="standardContextual"/>
        </w:rPr>
        <w:t xml:space="preserve"> volgt naar verwachting in 2026 nadat de EU overeenstemming heeft bereikt over de hoogte van dit doel. Het Europese beleidspakket zal ook gericht zijn op de versterking van de positie van de EU in de wereld, bijvoorbeeld door inzet op economische kansen voor schone industrie, duurzame waardeketens en zelfvoorziening in energie en grondstoffen.</w:t>
      </w:r>
      <w:r w:rsidRPr="008D13A6">
        <w:rPr>
          <w:rFonts w:eastAsia="Aptos"/>
          <w:kern w:val="2"/>
          <w:szCs w:val="18"/>
          <w:lang w:eastAsia="en-US"/>
          <w14:ligatures w14:val="standardContextual"/>
        </w:rPr>
        <w:t xml:space="preserve"> </w:t>
      </w:r>
      <w:r w:rsidRPr="00475B06">
        <w:rPr>
          <w:szCs w:val="18"/>
        </w:rPr>
        <w:t xml:space="preserve">Daarbij is een blijvende inzet op een Europees en internationaal gelijk speelveld essentieel voor de betaalbaarheid en het realiseren van groene groei – de klimaatopgave en duurzame toekomstige verdienkansen – in Nederland. </w:t>
      </w:r>
    </w:p>
    <w:p w:rsidR="00A6748A" w:rsidP="00201BBD" w:rsidRDefault="00A6748A" w14:paraId="39CAF0B1" w14:textId="77777777">
      <w:pPr>
        <w:rPr>
          <w:rFonts w:eastAsia="Aptos"/>
          <w:kern w:val="2"/>
          <w:szCs w:val="18"/>
          <w:lang w:eastAsia="en-US"/>
          <w14:ligatures w14:val="standardContextual"/>
        </w:rPr>
      </w:pPr>
    </w:p>
    <w:p w:rsidR="00A6748A" w:rsidP="00201BBD" w:rsidRDefault="00A6748A" w14:paraId="6591D515" w14:textId="68F00C45">
      <w:pPr>
        <w:rPr>
          <w:szCs w:val="18"/>
        </w:rPr>
      </w:pPr>
      <w:r w:rsidRPr="008D13A6">
        <w:rPr>
          <w:rFonts w:eastAsia="Aptos"/>
          <w:kern w:val="2"/>
          <w:szCs w:val="18"/>
          <w:lang w:eastAsia="en-US"/>
          <w14:ligatures w14:val="standardContextual"/>
        </w:rPr>
        <w:t xml:space="preserve">Gezamenlijk optrekken in Europees verband heeft als voordeel dat er samengewerkt kan worden bij het ontwikkelen van de benodigde technologie. </w:t>
      </w:r>
      <w:r w:rsidRPr="00A6748A">
        <w:rPr>
          <w:rFonts w:eastAsia="Aptos"/>
          <w:kern w:val="2"/>
          <w:szCs w:val="18"/>
          <w:lang w:eastAsia="en-US"/>
          <w14:ligatures w14:val="standardContextual"/>
        </w:rPr>
        <w:t>Om die reden zet het kabinet in op Europese vraagstimulering en marktcreatie om vraag naar groene producten te bewerkstelligen. Denk hierbij niet alleen aan subsidies, maar aan definities en normering voor groen staal, plastic en overheidsinkoop in Europees verband.</w:t>
      </w:r>
      <w:r w:rsidRPr="008D13A6">
        <w:rPr>
          <w:rFonts w:eastAsia="Aptos"/>
          <w:kern w:val="2"/>
          <w:szCs w:val="18"/>
          <w:lang w:eastAsia="en-US"/>
          <w14:ligatures w14:val="standardContextual"/>
        </w:rPr>
        <w:t xml:space="preserve"> Als Nederland ver vooruit</w:t>
      </w:r>
      <w:r w:rsidR="00CC30BA">
        <w:rPr>
          <w:rFonts w:eastAsia="Aptos"/>
          <w:kern w:val="2"/>
          <w:szCs w:val="18"/>
          <w:lang w:eastAsia="en-US"/>
          <w14:ligatures w14:val="standardContextual"/>
        </w:rPr>
        <w:t xml:space="preserve"> zou </w:t>
      </w:r>
      <w:r w:rsidRPr="008D13A6">
        <w:rPr>
          <w:rFonts w:eastAsia="Aptos"/>
          <w:kern w:val="2"/>
          <w:szCs w:val="18"/>
          <w:lang w:eastAsia="en-US"/>
          <w14:ligatures w14:val="standardContextual"/>
        </w:rPr>
        <w:t>lo</w:t>
      </w:r>
      <w:r w:rsidR="00CC30BA">
        <w:rPr>
          <w:rFonts w:eastAsia="Aptos"/>
          <w:kern w:val="2"/>
          <w:szCs w:val="18"/>
          <w:lang w:eastAsia="en-US"/>
          <w14:ligatures w14:val="standardContextual"/>
        </w:rPr>
        <w:t>pen</w:t>
      </w:r>
      <w:r w:rsidRPr="008D13A6">
        <w:rPr>
          <w:rFonts w:eastAsia="Aptos"/>
          <w:kern w:val="2"/>
          <w:szCs w:val="18"/>
          <w:lang w:eastAsia="en-US"/>
          <w14:ligatures w14:val="standardContextual"/>
        </w:rPr>
        <w:t xml:space="preserve"> op de rest van de EU, </w:t>
      </w:r>
      <w:r w:rsidR="00CC30BA">
        <w:rPr>
          <w:rFonts w:eastAsia="Aptos"/>
          <w:kern w:val="2"/>
          <w:szCs w:val="18"/>
          <w:lang w:eastAsia="en-US"/>
          <w14:ligatures w14:val="standardContextual"/>
        </w:rPr>
        <w:t xml:space="preserve">zou </w:t>
      </w:r>
      <w:r w:rsidRPr="008D13A6">
        <w:rPr>
          <w:rFonts w:eastAsia="Aptos"/>
          <w:kern w:val="2"/>
          <w:szCs w:val="18"/>
          <w:lang w:eastAsia="en-US"/>
          <w14:ligatures w14:val="standardContextual"/>
        </w:rPr>
        <w:t xml:space="preserve">Nederland de benodigde technologie </w:t>
      </w:r>
      <w:r w:rsidR="00CC30BA">
        <w:rPr>
          <w:rFonts w:eastAsia="Aptos"/>
          <w:kern w:val="2"/>
          <w:szCs w:val="18"/>
          <w:lang w:eastAsia="en-US"/>
          <w14:ligatures w14:val="standardContextual"/>
        </w:rPr>
        <w:t xml:space="preserve">zelfstandig moeten </w:t>
      </w:r>
      <w:r w:rsidRPr="008D13A6">
        <w:rPr>
          <w:rFonts w:eastAsia="Aptos"/>
          <w:kern w:val="2"/>
          <w:szCs w:val="18"/>
          <w:lang w:eastAsia="en-US"/>
          <w14:ligatures w14:val="standardContextual"/>
        </w:rPr>
        <w:t>ontwikkelen. Het is dan niet mogelijk de inzet van bepaalde technologie te verplichten waardoor de kosten sterk zullen stijgen.</w:t>
      </w:r>
      <w:r>
        <w:rPr>
          <w:rFonts w:eastAsia="Aptos"/>
          <w:kern w:val="2"/>
          <w:szCs w:val="18"/>
          <w:lang w:eastAsia="en-US"/>
          <w14:ligatures w14:val="standardContextual"/>
        </w:rPr>
        <w:t xml:space="preserve"> </w:t>
      </w:r>
    </w:p>
    <w:p w:rsidR="00A6748A" w:rsidP="00201BBD" w:rsidRDefault="00A6748A" w14:paraId="26A884BC" w14:textId="77777777">
      <w:pPr>
        <w:rPr>
          <w:szCs w:val="18"/>
        </w:rPr>
      </w:pPr>
    </w:p>
    <w:p w:rsidR="00A6748A" w:rsidP="00201BBD" w:rsidRDefault="00A6748A" w14:paraId="02048016" w14:textId="77777777">
      <w:pPr>
        <w:rPr>
          <w:szCs w:val="18"/>
        </w:rPr>
      </w:pPr>
    </w:p>
    <w:p w:rsidR="00201BBD" w:rsidP="00201BBD" w:rsidRDefault="00201BBD" w14:paraId="1C5DFD32" w14:textId="77777777">
      <w:pPr>
        <w:rPr>
          <w:szCs w:val="18"/>
        </w:rPr>
      </w:pPr>
    </w:p>
    <w:p w:rsidRPr="00E04E24" w:rsidR="00A6748A" w:rsidP="00201BBD" w:rsidRDefault="00A6748A" w14:paraId="01B28744" w14:textId="77777777">
      <w:pPr>
        <w:rPr>
          <w:szCs w:val="18"/>
        </w:rPr>
      </w:pPr>
    </w:p>
    <w:p w:rsidR="00201BBD" w:rsidP="00201BBD" w:rsidRDefault="00201BBD" w14:paraId="28E81045" w14:textId="77777777">
      <w:pPr>
        <w:rPr>
          <w:szCs w:val="18"/>
        </w:rPr>
      </w:pPr>
    </w:p>
    <w:p w:rsidRPr="00E04E24" w:rsidR="00A6748A" w:rsidP="00201BBD" w:rsidRDefault="00A6748A" w14:paraId="38FBE2D2" w14:textId="35B62CF9">
      <w:pPr>
        <w:rPr>
          <w:szCs w:val="18"/>
        </w:rPr>
      </w:pPr>
      <w:r w:rsidRPr="00E04E24">
        <w:rPr>
          <w:szCs w:val="18"/>
        </w:rPr>
        <w:t>Sophie Hermans</w:t>
      </w:r>
    </w:p>
    <w:p w:rsidRPr="005461DA" w:rsidR="001D128F" w:rsidP="00201BBD" w:rsidRDefault="00A6748A" w14:paraId="14254C00" w14:textId="31EC0528">
      <w:pPr>
        <w:rPr>
          <w:szCs w:val="18"/>
        </w:rPr>
      </w:pPr>
      <w:r w:rsidRPr="00E04E24">
        <w:rPr>
          <w:szCs w:val="18"/>
        </w:rPr>
        <w:t>Minister van Klimaat en Groene Groei</w:t>
      </w:r>
    </w:p>
    <w:sectPr w:rsidRPr="005461DA" w:rsidR="001D128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534A" w14:textId="77777777" w:rsidR="005178D4" w:rsidRDefault="005178D4">
      <w:r>
        <w:separator/>
      </w:r>
    </w:p>
    <w:p w14:paraId="57D8FFBE" w14:textId="77777777" w:rsidR="005178D4" w:rsidRDefault="005178D4"/>
  </w:endnote>
  <w:endnote w:type="continuationSeparator" w:id="0">
    <w:p w14:paraId="0DCE651E" w14:textId="77777777" w:rsidR="005178D4" w:rsidRDefault="005178D4">
      <w:r>
        <w:continuationSeparator/>
      </w:r>
    </w:p>
    <w:p w14:paraId="4209F954" w14:textId="77777777" w:rsidR="005178D4" w:rsidRDefault="0051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4B2A" w14:textId="3935881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E14301" w14:paraId="7C768F92" w14:textId="77777777" w:rsidTr="006D1737">
      <w:trPr>
        <w:trHeight w:hRule="exact" w:val="240"/>
      </w:trPr>
      <w:tc>
        <w:tcPr>
          <w:tcW w:w="7601" w:type="dxa"/>
          <w:shd w:val="clear" w:color="auto" w:fill="auto"/>
        </w:tcPr>
        <w:p w14:paraId="533D4946" w14:textId="77777777" w:rsidR="006D1737" w:rsidRDefault="006D1737" w:rsidP="006D1737">
          <w:pPr>
            <w:pStyle w:val="Huisstijl-Rubricering"/>
          </w:pPr>
        </w:p>
      </w:tc>
      <w:tc>
        <w:tcPr>
          <w:tcW w:w="2156" w:type="dxa"/>
        </w:tcPr>
        <w:p w14:paraId="7130D30D" w14:textId="6B9A595E" w:rsidR="006D1737" w:rsidRPr="00645414" w:rsidRDefault="00BA1D92"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8F763E">
              <w:t>3</w:t>
            </w:r>
          </w:fldSimple>
          <w:r w:rsidR="00266AAE">
            <w:rPr>
              <w:rStyle w:val="Huisstijl-GegevenCharChar"/>
            </w:rPr>
            <w:t xml:space="preserve"> </w:t>
          </w:r>
        </w:p>
      </w:tc>
      <w:tc>
        <w:tcPr>
          <w:tcW w:w="2156" w:type="dxa"/>
        </w:tcPr>
        <w:p w14:paraId="791D84A4" w14:textId="77777777" w:rsidR="006D1737" w:rsidRPr="00645414" w:rsidRDefault="00BA1D92" w:rsidP="006D1737">
          <w:pPr>
            <w:pStyle w:val="Huisstijl-Paginanummering"/>
          </w:pPr>
          <w:r w:rsidRPr="00645414">
            <w:t xml:space="preserve"> </w:t>
          </w:r>
        </w:p>
      </w:tc>
    </w:tr>
  </w:tbl>
  <w:p w14:paraId="6B6EC7F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14301" w14:paraId="36AC1CFC" w14:textId="77777777" w:rsidTr="00CA6A25">
      <w:trPr>
        <w:trHeight w:hRule="exact" w:val="240"/>
      </w:trPr>
      <w:tc>
        <w:tcPr>
          <w:tcW w:w="7601" w:type="dxa"/>
          <w:shd w:val="clear" w:color="auto" w:fill="auto"/>
        </w:tcPr>
        <w:p w14:paraId="7E4EF068" w14:textId="7CB4A547" w:rsidR="00527BD4" w:rsidRDefault="00527BD4" w:rsidP="008C356D">
          <w:pPr>
            <w:pStyle w:val="Huisstijl-Rubricering"/>
          </w:pPr>
        </w:p>
      </w:tc>
      <w:tc>
        <w:tcPr>
          <w:tcW w:w="2170" w:type="dxa"/>
        </w:tcPr>
        <w:p w14:paraId="3569CB61" w14:textId="301C9E32" w:rsidR="00527BD4" w:rsidRPr="00ED539E" w:rsidRDefault="00BA1D92"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8F763E">
              <w:t>3</w:t>
            </w:r>
          </w:fldSimple>
        </w:p>
      </w:tc>
    </w:tr>
  </w:tbl>
  <w:p w14:paraId="03E0B3BC" w14:textId="77777777" w:rsidR="00527BD4" w:rsidRPr="00BC3B53" w:rsidRDefault="00527BD4" w:rsidP="008C356D">
    <w:pPr>
      <w:pStyle w:val="Voettekst"/>
      <w:spacing w:line="240" w:lineRule="auto"/>
      <w:rPr>
        <w:sz w:val="2"/>
        <w:szCs w:val="2"/>
      </w:rPr>
    </w:pPr>
  </w:p>
  <w:p w14:paraId="5E5BF20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A299" w14:textId="77777777" w:rsidR="005178D4" w:rsidRDefault="005178D4">
      <w:r>
        <w:separator/>
      </w:r>
    </w:p>
    <w:p w14:paraId="58CD9B93" w14:textId="77777777" w:rsidR="005178D4" w:rsidRDefault="005178D4"/>
  </w:footnote>
  <w:footnote w:type="continuationSeparator" w:id="0">
    <w:p w14:paraId="5194C333" w14:textId="77777777" w:rsidR="005178D4" w:rsidRDefault="005178D4">
      <w:r>
        <w:continuationSeparator/>
      </w:r>
    </w:p>
    <w:p w14:paraId="531152E5" w14:textId="77777777" w:rsidR="005178D4" w:rsidRDefault="005178D4"/>
  </w:footnote>
  <w:footnote w:id="1">
    <w:p w14:paraId="0B07945E" w14:textId="77777777" w:rsidR="00A6748A" w:rsidRDefault="00A6748A" w:rsidP="00A6748A">
      <w:pPr>
        <w:pStyle w:val="Voetnoottekst"/>
      </w:pPr>
      <w:r>
        <w:rPr>
          <w:rStyle w:val="Voetnootmarkering"/>
        </w:rPr>
        <w:footnoteRef/>
      </w:r>
      <w:r>
        <w:t xml:space="preserve"> Te raadplegen via: </w:t>
      </w:r>
      <w:r w:rsidRPr="00D47E66">
        <w:t>https://www.netbeheernederland.nl/publicatie/rapport-ii3050-scenarios</w:t>
      </w:r>
      <w:r>
        <w:t>.</w:t>
      </w:r>
    </w:p>
  </w:footnote>
  <w:footnote w:id="2">
    <w:p w14:paraId="3CD38455" w14:textId="77777777" w:rsidR="00A6748A" w:rsidRPr="00A51B1E" w:rsidRDefault="00A6748A" w:rsidP="00A6748A">
      <w:pPr>
        <w:pStyle w:val="Voetnoottekst"/>
      </w:pPr>
      <w:r>
        <w:rPr>
          <w:rStyle w:val="Voetnootmarkering"/>
        </w:rPr>
        <w:footnoteRef/>
      </w:r>
      <w:r>
        <w:t xml:space="preserve"> Kamerstuk </w:t>
      </w:r>
      <w:r w:rsidRPr="00A51B1E">
        <w:t>KGG / 98465657</w:t>
      </w:r>
    </w:p>
  </w:footnote>
  <w:footnote w:id="3">
    <w:p w14:paraId="22ADD2F5" w14:textId="77777777" w:rsidR="00A6748A" w:rsidRPr="005065D6" w:rsidRDefault="00A6748A" w:rsidP="00A6748A">
      <w:pPr>
        <w:pStyle w:val="Voetnoottekst"/>
      </w:pPr>
      <w:r>
        <w:rPr>
          <w:rStyle w:val="Voetnootmarkering"/>
        </w:rPr>
        <w:footnoteRef/>
      </w:r>
      <w:r w:rsidRPr="005065D6">
        <w:t xml:space="preserve"> </w:t>
      </w:r>
      <w:r>
        <w:t xml:space="preserve">PBL (2023), </w:t>
      </w:r>
      <w:r w:rsidRPr="00027569">
        <w:t>Trajectverkenning Klimaatneutraal voor 2050 (TVKN)</w:t>
      </w:r>
    </w:p>
  </w:footnote>
  <w:footnote w:id="4">
    <w:p w14:paraId="0182D766" w14:textId="36F43176" w:rsidR="00A6748A" w:rsidRPr="00FF073A" w:rsidRDefault="00A6748A" w:rsidP="00A6748A">
      <w:pPr>
        <w:pStyle w:val="Voetnoottekst"/>
      </w:pPr>
      <w:r w:rsidRPr="00FF073A">
        <w:rPr>
          <w:rStyle w:val="Voetnootmarkering"/>
        </w:rPr>
        <w:footnoteRef/>
      </w:r>
      <w:r w:rsidRPr="00FF073A">
        <w:t xml:space="preserve"> TNO</w:t>
      </w:r>
      <w:r w:rsidR="00FF073A" w:rsidRPr="00FF073A">
        <w:t xml:space="preserve"> (2024), Toekomst van het Nederlandse energiesysteem</w:t>
      </w:r>
    </w:p>
  </w:footnote>
  <w:footnote w:id="5">
    <w:p w14:paraId="138E2818" w14:textId="77777777" w:rsidR="00A6748A" w:rsidRPr="008423BB" w:rsidRDefault="00A6748A" w:rsidP="00A6748A">
      <w:pPr>
        <w:pStyle w:val="Voetnoottekst"/>
      </w:pPr>
      <w:r>
        <w:rPr>
          <w:rStyle w:val="Voetnootmarkering"/>
        </w:rPr>
        <w:footnoteRef/>
      </w:r>
      <w:r w:rsidRPr="008423BB">
        <w:t xml:space="preserve"> </w:t>
      </w:r>
      <w:r>
        <w:t xml:space="preserve">PBL (2023), </w:t>
      </w:r>
      <w:r w:rsidRPr="00027569">
        <w:t>Trajectverkenning Klimaatneutraal voor 2050 (TVKN)</w:t>
      </w:r>
    </w:p>
  </w:footnote>
  <w:footnote w:id="6">
    <w:p w14:paraId="4FA4D17F" w14:textId="77777777" w:rsidR="00A6748A" w:rsidRPr="00C745A6" w:rsidRDefault="00A6748A" w:rsidP="00A6748A">
      <w:pPr>
        <w:pStyle w:val="Voetnoottekst"/>
        <w:rPr>
          <w:lang w:val="en-US"/>
        </w:rPr>
      </w:pPr>
      <w:r>
        <w:rPr>
          <w:rStyle w:val="Voetnootmarkering"/>
        </w:rPr>
        <w:footnoteRef/>
      </w:r>
      <w:r w:rsidRPr="002B4303">
        <w:t xml:space="preserve"> CE Delft. (2023). Koolstofverwijdering voor klimaatbeleid. Analyse van behoefte, aanbod en beleid voor negatieve emissies in Nederland. </w:t>
      </w:r>
      <w:r w:rsidRPr="00C745A6">
        <w:rPr>
          <w:lang w:val="en-US"/>
        </w:rPr>
        <w:t xml:space="preserve">Delft, CE Delft.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14301" w14:paraId="2995D028" w14:textId="77777777" w:rsidTr="00A50CF6">
      <w:tc>
        <w:tcPr>
          <w:tcW w:w="2156" w:type="dxa"/>
          <w:shd w:val="clear" w:color="auto" w:fill="auto"/>
        </w:tcPr>
        <w:p w14:paraId="0BC898AD" w14:textId="77777777" w:rsidR="00527BD4" w:rsidRPr="00624D22" w:rsidRDefault="00BA1D92" w:rsidP="00A50CF6">
          <w:pPr>
            <w:pStyle w:val="Huisstijl-Adres"/>
            <w:rPr>
              <w:b/>
            </w:rPr>
          </w:pPr>
          <w:r>
            <w:rPr>
              <w:b/>
            </w:rPr>
            <w:t>Directoraat-generaal Klimaat en Energie</w:t>
          </w:r>
        </w:p>
      </w:tc>
    </w:tr>
    <w:tr w:rsidR="00E14301" w14:paraId="2E2296F6" w14:textId="77777777" w:rsidTr="00A50CF6">
      <w:trPr>
        <w:trHeight w:hRule="exact" w:val="200"/>
      </w:trPr>
      <w:tc>
        <w:tcPr>
          <w:tcW w:w="2156" w:type="dxa"/>
          <w:shd w:val="clear" w:color="auto" w:fill="auto"/>
        </w:tcPr>
        <w:p w14:paraId="735F67EB" w14:textId="77777777" w:rsidR="00527BD4" w:rsidRPr="005819CE" w:rsidRDefault="00527BD4" w:rsidP="00A50CF6"/>
      </w:tc>
    </w:tr>
    <w:tr w:rsidR="00E14301" w14:paraId="1A81D52C" w14:textId="77777777" w:rsidTr="00502512">
      <w:trPr>
        <w:trHeight w:hRule="exact" w:val="774"/>
      </w:trPr>
      <w:tc>
        <w:tcPr>
          <w:tcW w:w="2156" w:type="dxa"/>
          <w:shd w:val="clear" w:color="auto" w:fill="auto"/>
        </w:tcPr>
        <w:p w14:paraId="00062720" w14:textId="77777777" w:rsidR="00527BD4" w:rsidRDefault="00527BD4" w:rsidP="003A5290">
          <w:pPr>
            <w:pStyle w:val="Huisstijl-Kopje"/>
          </w:pPr>
        </w:p>
        <w:p w14:paraId="07179C3E" w14:textId="4166476D" w:rsidR="00502512" w:rsidRPr="00502512" w:rsidRDefault="00BA1D92" w:rsidP="003A5290">
          <w:pPr>
            <w:pStyle w:val="Huisstijl-Kopje"/>
            <w:rPr>
              <w:b w:val="0"/>
            </w:rPr>
          </w:pPr>
          <w:r>
            <w:rPr>
              <w:b w:val="0"/>
            </w:rPr>
            <w:t>DGKE-K</w:t>
          </w:r>
          <w:r w:rsidRPr="00502512">
            <w:rPr>
              <w:b w:val="0"/>
            </w:rPr>
            <w:t xml:space="preserve"> / </w:t>
          </w:r>
          <w:r w:rsidR="00583D24" w:rsidRPr="00583D24">
            <w:rPr>
              <w:b w:val="0"/>
            </w:rPr>
            <w:t>98671880</w:t>
          </w:r>
        </w:p>
        <w:p w14:paraId="2FD1B10C" w14:textId="77777777" w:rsidR="00527BD4" w:rsidRPr="005819CE" w:rsidRDefault="00527BD4" w:rsidP="00361A56">
          <w:pPr>
            <w:pStyle w:val="Huisstijl-Kopje"/>
          </w:pPr>
        </w:p>
      </w:tc>
    </w:tr>
  </w:tbl>
  <w:p w14:paraId="14093E2A" w14:textId="77777777" w:rsidR="00527BD4" w:rsidRPr="00217880" w:rsidRDefault="00527BD4" w:rsidP="008C356D">
    <w:pPr>
      <w:spacing w:line="0" w:lineRule="atLeast"/>
      <w:rPr>
        <w:sz w:val="2"/>
        <w:szCs w:val="2"/>
      </w:rPr>
    </w:pPr>
  </w:p>
  <w:p w14:paraId="1A1AE8DE" w14:textId="77777777" w:rsidR="00624D22" w:rsidRDefault="00624D22" w:rsidP="004F44C2"/>
  <w:p w14:paraId="15645F13" w14:textId="77777777" w:rsidR="00624D22" w:rsidRDefault="00624D22" w:rsidP="004F44C2"/>
  <w:p w14:paraId="46A007E3" w14:textId="77777777" w:rsidR="00527BD4" w:rsidRPr="00740712" w:rsidRDefault="00527BD4" w:rsidP="004F44C2"/>
  <w:p w14:paraId="045B5AD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14301" w14:paraId="167D490C" w14:textId="77777777" w:rsidTr="00751A6A">
      <w:trPr>
        <w:trHeight w:val="2636"/>
      </w:trPr>
      <w:tc>
        <w:tcPr>
          <w:tcW w:w="737" w:type="dxa"/>
          <w:shd w:val="clear" w:color="auto" w:fill="auto"/>
        </w:tcPr>
        <w:p w14:paraId="6DB4016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DA7B952" w14:textId="467E0CB2" w:rsidR="00527BD4" w:rsidRDefault="00266AAE" w:rsidP="00651CEE">
          <w:pPr>
            <w:framePr w:w="6340" w:h="2750" w:hRule="exact" w:hSpace="180" w:wrap="around" w:vAnchor="page" w:hAnchor="text" w:x="3873" w:y="-140"/>
            <w:spacing w:line="240" w:lineRule="auto"/>
          </w:pPr>
          <w:r>
            <w:t xml:space="preserve">  </w:t>
          </w:r>
          <w:r w:rsidR="00BA1D92">
            <w:rPr>
              <w:noProof/>
            </w:rPr>
            <w:drawing>
              <wp:inline distT="0" distB="0" distL="0" distR="0" wp14:anchorId="0E792886" wp14:editId="59144B5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F68050F" w14:textId="77777777" w:rsidR="00527BD4" w:rsidRDefault="00527BD4" w:rsidP="00D0609E">
    <w:pPr>
      <w:framePr w:w="6340" w:h="2750" w:hRule="exact" w:hSpace="180" w:wrap="around" w:vAnchor="page" w:hAnchor="text" w:x="3873" w:y="-140"/>
    </w:pPr>
  </w:p>
  <w:p w14:paraId="3496F70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14301" w:rsidRPr="00201BBD" w14:paraId="6E100676" w14:textId="77777777" w:rsidTr="00A50CF6">
      <w:tc>
        <w:tcPr>
          <w:tcW w:w="2160" w:type="dxa"/>
          <w:shd w:val="clear" w:color="auto" w:fill="auto"/>
        </w:tcPr>
        <w:p w14:paraId="1E8F9492" w14:textId="77777777" w:rsidR="00527BD4" w:rsidRPr="00781DCA" w:rsidRDefault="00BA1D92" w:rsidP="00A50CF6">
          <w:pPr>
            <w:pStyle w:val="Huisstijl-Adres"/>
            <w:rPr>
              <w:b/>
            </w:rPr>
          </w:pPr>
          <w:r>
            <w:rPr>
              <w:b/>
            </w:rPr>
            <w:t>Directoraat-generaal Klimaat en Energie</w:t>
          </w:r>
          <w:r w:rsidRPr="005819CE">
            <w:rPr>
              <w:b/>
            </w:rPr>
            <w:br/>
          </w:r>
          <w:r>
            <w:t>Directie Klimaat</w:t>
          </w:r>
        </w:p>
        <w:p w14:paraId="05437464" w14:textId="77777777" w:rsidR="00527BD4" w:rsidRPr="00BE5ED9" w:rsidRDefault="00BA1D92" w:rsidP="00A50CF6">
          <w:pPr>
            <w:pStyle w:val="Huisstijl-Adres"/>
          </w:pPr>
          <w:r>
            <w:rPr>
              <w:b/>
            </w:rPr>
            <w:t>Bezoekadres</w:t>
          </w:r>
          <w:r>
            <w:rPr>
              <w:b/>
            </w:rPr>
            <w:br/>
          </w:r>
          <w:r>
            <w:t>Bezuidenhoutseweg 73</w:t>
          </w:r>
          <w:r w:rsidRPr="005819CE">
            <w:br/>
          </w:r>
          <w:r>
            <w:t>2594 AC Den Haag</w:t>
          </w:r>
        </w:p>
        <w:p w14:paraId="07D4E185" w14:textId="77777777" w:rsidR="00EF495B" w:rsidRDefault="00BA1D92" w:rsidP="0098788A">
          <w:pPr>
            <w:pStyle w:val="Huisstijl-Adres"/>
          </w:pPr>
          <w:r>
            <w:rPr>
              <w:b/>
            </w:rPr>
            <w:t>Postadres</w:t>
          </w:r>
          <w:r>
            <w:rPr>
              <w:b/>
            </w:rPr>
            <w:br/>
          </w:r>
          <w:r>
            <w:t>Postbus 20401</w:t>
          </w:r>
          <w:r w:rsidRPr="005819CE">
            <w:br/>
            <w:t>2500 E</w:t>
          </w:r>
          <w:r>
            <w:t>K</w:t>
          </w:r>
          <w:r w:rsidRPr="005819CE">
            <w:t xml:space="preserve"> Den Haag</w:t>
          </w:r>
        </w:p>
        <w:p w14:paraId="0CDC5FD8" w14:textId="77777777" w:rsidR="00EF495B" w:rsidRPr="005B3814" w:rsidRDefault="00BA1D92" w:rsidP="0098788A">
          <w:pPr>
            <w:pStyle w:val="Huisstijl-Adres"/>
          </w:pPr>
          <w:r>
            <w:rPr>
              <w:b/>
            </w:rPr>
            <w:t>Overheidsidentificatienr</w:t>
          </w:r>
          <w:r>
            <w:rPr>
              <w:b/>
            </w:rPr>
            <w:br/>
          </w:r>
          <w:r w:rsidR="002D0DDB" w:rsidRPr="002D0DDB">
            <w:t>00000003952069570000</w:t>
          </w:r>
        </w:p>
        <w:p w14:paraId="1407107B" w14:textId="76A816B3" w:rsidR="00527BD4" w:rsidRPr="00201BBD" w:rsidRDefault="00BA1D92"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14301" w:rsidRPr="00201BBD" w14:paraId="3C430C83" w14:textId="77777777" w:rsidTr="00A50CF6">
      <w:trPr>
        <w:trHeight w:hRule="exact" w:val="200"/>
      </w:trPr>
      <w:tc>
        <w:tcPr>
          <w:tcW w:w="2160" w:type="dxa"/>
          <w:shd w:val="clear" w:color="auto" w:fill="auto"/>
        </w:tcPr>
        <w:p w14:paraId="77D4DD84" w14:textId="77777777" w:rsidR="00527BD4" w:rsidRPr="00D71182" w:rsidRDefault="00527BD4" w:rsidP="00A50CF6">
          <w:pPr>
            <w:rPr>
              <w:lang w:val="fr-FR"/>
            </w:rPr>
          </w:pPr>
        </w:p>
      </w:tc>
    </w:tr>
    <w:tr w:rsidR="00E14301" w14:paraId="4704CC9C" w14:textId="77777777" w:rsidTr="00A50CF6">
      <w:tc>
        <w:tcPr>
          <w:tcW w:w="2160" w:type="dxa"/>
          <w:shd w:val="clear" w:color="auto" w:fill="auto"/>
        </w:tcPr>
        <w:p w14:paraId="7343C54B" w14:textId="77777777" w:rsidR="000C0163" w:rsidRPr="005819CE" w:rsidRDefault="00BA1D92" w:rsidP="000C0163">
          <w:pPr>
            <w:pStyle w:val="Huisstijl-Kopje"/>
          </w:pPr>
          <w:r>
            <w:t>Ons kenmerk</w:t>
          </w:r>
        </w:p>
        <w:p w14:paraId="4F77EE7B" w14:textId="3721329C" w:rsidR="00527BD4" w:rsidRPr="005819CE" w:rsidRDefault="00BA1D92" w:rsidP="00201BBD">
          <w:pPr>
            <w:pStyle w:val="Huisstijl-Gegeven"/>
          </w:pPr>
          <w:r>
            <w:t>DGKE-K</w:t>
          </w:r>
          <w:r w:rsidR="00926AE2">
            <w:t xml:space="preserve"> / </w:t>
          </w:r>
          <w:r w:rsidR="00201BBD" w:rsidRPr="00201BBD">
            <w:t>98671880</w:t>
          </w:r>
        </w:p>
      </w:tc>
    </w:tr>
  </w:tbl>
  <w:p w14:paraId="1E2A540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14301" w14:paraId="2A9A8A57" w14:textId="77777777" w:rsidTr="00C37826">
      <w:trPr>
        <w:trHeight w:val="400"/>
      </w:trPr>
      <w:tc>
        <w:tcPr>
          <w:tcW w:w="7371" w:type="dxa"/>
          <w:gridSpan w:val="2"/>
          <w:shd w:val="clear" w:color="auto" w:fill="auto"/>
        </w:tcPr>
        <w:p w14:paraId="58E6D587" w14:textId="77777777" w:rsidR="00527BD4" w:rsidRPr="00BC3B53" w:rsidRDefault="00BA1D92"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E14301" w14:paraId="48D7E178" w14:textId="77777777" w:rsidTr="00C37826">
      <w:tc>
        <w:tcPr>
          <w:tcW w:w="7371" w:type="dxa"/>
          <w:gridSpan w:val="2"/>
          <w:shd w:val="clear" w:color="auto" w:fill="auto"/>
        </w:tcPr>
        <w:p w14:paraId="05B9ED79" w14:textId="77777777" w:rsidR="00527BD4" w:rsidRPr="00983E8F" w:rsidRDefault="00527BD4" w:rsidP="00A50CF6">
          <w:pPr>
            <w:pStyle w:val="Huisstijl-Rubricering"/>
          </w:pPr>
        </w:p>
      </w:tc>
    </w:tr>
    <w:tr w:rsidR="00E14301" w14:paraId="31B6DEE6" w14:textId="77777777" w:rsidTr="00C37826">
      <w:trPr>
        <w:trHeight w:hRule="exact" w:val="2440"/>
      </w:trPr>
      <w:tc>
        <w:tcPr>
          <w:tcW w:w="7371" w:type="dxa"/>
          <w:gridSpan w:val="2"/>
          <w:shd w:val="clear" w:color="auto" w:fill="auto"/>
        </w:tcPr>
        <w:p w14:paraId="1CF1A05F" w14:textId="77777777" w:rsidR="00527BD4" w:rsidRDefault="00BA1D92" w:rsidP="00A50CF6">
          <w:pPr>
            <w:pStyle w:val="Huisstijl-NAW"/>
          </w:pPr>
          <w:r>
            <w:t xml:space="preserve">De Voorzitter van de Tweede Kamer </w:t>
          </w:r>
        </w:p>
        <w:p w14:paraId="7CA225F0" w14:textId="77777777" w:rsidR="00D87195" w:rsidRDefault="00BA1D92" w:rsidP="00D87195">
          <w:pPr>
            <w:pStyle w:val="Huisstijl-NAW"/>
          </w:pPr>
          <w:r>
            <w:t>der Staten-Generaal</w:t>
          </w:r>
        </w:p>
        <w:p w14:paraId="739668B0" w14:textId="77777777" w:rsidR="00EA0F13" w:rsidRDefault="00BA1D92" w:rsidP="00EA0F13">
          <w:pPr>
            <w:rPr>
              <w:szCs w:val="18"/>
            </w:rPr>
          </w:pPr>
          <w:r>
            <w:rPr>
              <w:szCs w:val="18"/>
            </w:rPr>
            <w:t>Prinses Irenestraat 6</w:t>
          </w:r>
        </w:p>
        <w:p w14:paraId="6C3B158E" w14:textId="77407C5C" w:rsidR="00985E56" w:rsidRDefault="00BA1D92" w:rsidP="00EA0F13">
          <w:r>
            <w:rPr>
              <w:szCs w:val="18"/>
            </w:rPr>
            <w:t>2595 BD</w:t>
          </w:r>
          <w:r w:rsidR="00266AAE">
            <w:rPr>
              <w:szCs w:val="18"/>
            </w:rPr>
            <w:t xml:space="preserve"> </w:t>
          </w:r>
          <w:r w:rsidR="00201BBD">
            <w:rPr>
              <w:szCs w:val="18"/>
            </w:rPr>
            <w:t xml:space="preserve"> </w:t>
          </w:r>
          <w:r>
            <w:rPr>
              <w:szCs w:val="18"/>
            </w:rPr>
            <w:t>DEN HAAG</w:t>
          </w:r>
        </w:p>
      </w:tc>
    </w:tr>
    <w:tr w:rsidR="00E14301" w14:paraId="2CB8BBC8" w14:textId="77777777" w:rsidTr="00C37826">
      <w:trPr>
        <w:trHeight w:hRule="exact" w:val="400"/>
      </w:trPr>
      <w:tc>
        <w:tcPr>
          <w:tcW w:w="7371" w:type="dxa"/>
          <w:gridSpan w:val="2"/>
          <w:shd w:val="clear" w:color="auto" w:fill="auto"/>
        </w:tcPr>
        <w:p w14:paraId="4F91F03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14301" w14:paraId="6BD827BB" w14:textId="77777777" w:rsidTr="00C37826">
      <w:trPr>
        <w:trHeight w:val="240"/>
      </w:trPr>
      <w:tc>
        <w:tcPr>
          <w:tcW w:w="709" w:type="dxa"/>
          <w:shd w:val="clear" w:color="auto" w:fill="auto"/>
        </w:tcPr>
        <w:p w14:paraId="4608A6AC" w14:textId="77777777" w:rsidR="00527BD4" w:rsidRPr="00C37826" w:rsidRDefault="00BA1D92" w:rsidP="00A50CF6">
          <w:pPr>
            <w:rPr>
              <w:szCs w:val="18"/>
            </w:rPr>
          </w:pPr>
          <w:r>
            <w:rPr>
              <w:szCs w:val="18"/>
            </w:rPr>
            <w:t>Datum</w:t>
          </w:r>
        </w:p>
      </w:tc>
      <w:tc>
        <w:tcPr>
          <w:tcW w:w="6662" w:type="dxa"/>
          <w:shd w:val="clear" w:color="auto" w:fill="auto"/>
        </w:tcPr>
        <w:p w14:paraId="54EEE51B" w14:textId="293CD443" w:rsidR="00527BD4" w:rsidRPr="007709EF" w:rsidRDefault="00583D24" w:rsidP="00A50CF6">
          <w:r>
            <w:t>15 mei 2025</w:t>
          </w:r>
        </w:p>
      </w:tc>
    </w:tr>
    <w:tr w:rsidR="00E14301" w14:paraId="25E68AD1" w14:textId="77777777" w:rsidTr="00C37826">
      <w:trPr>
        <w:trHeight w:val="240"/>
      </w:trPr>
      <w:tc>
        <w:tcPr>
          <w:tcW w:w="709" w:type="dxa"/>
          <w:shd w:val="clear" w:color="auto" w:fill="auto"/>
        </w:tcPr>
        <w:p w14:paraId="5E79127D" w14:textId="6ABE1458" w:rsidR="00527BD4" w:rsidRPr="00C37826" w:rsidRDefault="00BA1D92" w:rsidP="00A50CF6">
          <w:pPr>
            <w:rPr>
              <w:szCs w:val="18"/>
            </w:rPr>
          </w:pPr>
          <w:r>
            <w:rPr>
              <w:szCs w:val="18"/>
            </w:rPr>
            <w:t>Betreft</w:t>
          </w:r>
          <w:r w:rsidR="00266AAE">
            <w:rPr>
              <w:szCs w:val="18"/>
            </w:rPr>
            <w:t xml:space="preserve"> </w:t>
          </w:r>
        </w:p>
      </w:tc>
      <w:tc>
        <w:tcPr>
          <w:tcW w:w="6662" w:type="dxa"/>
          <w:shd w:val="clear" w:color="auto" w:fill="auto"/>
        </w:tcPr>
        <w:p w14:paraId="65C7326E" w14:textId="63BC6CE7" w:rsidR="00527BD4" w:rsidRPr="007709EF" w:rsidRDefault="00266AAE" w:rsidP="00A50CF6">
          <w:r>
            <w:t>Kabinetsreactie rapport NL klimaatneutraal in 2040</w:t>
          </w:r>
        </w:p>
      </w:tc>
    </w:tr>
  </w:tbl>
  <w:p w14:paraId="18683A2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6748654">
      <w:start w:val="1"/>
      <w:numFmt w:val="bullet"/>
      <w:pStyle w:val="Lijstopsomteken"/>
      <w:lvlText w:val="•"/>
      <w:lvlJc w:val="left"/>
      <w:pPr>
        <w:tabs>
          <w:tab w:val="num" w:pos="227"/>
        </w:tabs>
        <w:ind w:left="227" w:hanging="227"/>
      </w:pPr>
      <w:rPr>
        <w:rFonts w:ascii="Verdana" w:hAnsi="Verdana" w:hint="default"/>
        <w:sz w:val="18"/>
        <w:szCs w:val="18"/>
      </w:rPr>
    </w:lvl>
    <w:lvl w:ilvl="1" w:tplc="E3DC319C" w:tentative="1">
      <w:start w:val="1"/>
      <w:numFmt w:val="bullet"/>
      <w:lvlText w:val="o"/>
      <w:lvlJc w:val="left"/>
      <w:pPr>
        <w:tabs>
          <w:tab w:val="num" w:pos="1440"/>
        </w:tabs>
        <w:ind w:left="1440" w:hanging="360"/>
      </w:pPr>
      <w:rPr>
        <w:rFonts w:ascii="Courier New" w:hAnsi="Courier New" w:cs="Courier New" w:hint="default"/>
      </w:rPr>
    </w:lvl>
    <w:lvl w:ilvl="2" w:tplc="85B6F87A" w:tentative="1">
      <w:start w:val="1"/>
      <w:numFmt w:val="bullet"/>
      <w:lvlText w:val=""/>
      <w:lvlJc w:val="left"/>
      <w:pPr>
        <w:tabs>
          <w:tab w:val="num" w:pos="2160"/>
        </w:tabs>
        <w:ind w:left="2160" w:hanging="360"/>
      </w:pPr>
      <w:rPr>
        <w:rFonts w:ascii="Wingdings" w:hAnsi="Wingdings" w:hint="default"/>
      </w:rPr>
    </w:lvl>
    <w:lvl w:ilvl="3" w:tplc="030E8952" w:tentative="1">
      <w:start w:val="1"/>
      <w:numFmt w:val="bullet"/>
      <w:lvlText w:val=""/>
      <w:lvlJc w:val="left"/>
      <w:pPr>
        <w:tabs>
          <w:tab w:val="num" w:pos="2880"/>
        </w:tabs>
        <w:ind w:left="2880" w:hanging="360"/>
      </w:pPr>
      <w:rPr>
        <w:rFonts w:ascii="Symbol" w:hAnsi="Symbol" w:hint="default"/>
      </w:rPr>
    </w:lvl>
    <w:lvl w:ilvl="4" w:tplc="99E2DB0E" w:tentative="1">
      <w:start w:val="1"/>
      <w:numFmt w:val="bullet"/>
      <w:lvlText w:val="o"/>
      <w:lvlJc w:val="left"/>
      <w:pPr>
        <w:tabs>
          <w:tab w:val="num" w:pos="3600"/>
        </w:tabs>
        <w:ind w:left="3600" w:hanging="360"/>
      </w:pPr>
      <w:rPr>
        <w:rFonts w:ascii="Courier New" w:hAnsi="Courier New" w:cs="Courier New" w:hint="default"/>
      </w:rPr>
    </w:lvl>
    <w:lvl w:ilvl="5" w:tplc="68E48C02" w:tentative="1">
      <w:start w:val="1"/>
      <w:numFmt w:val="bullet"/>
      <w:lvlText w:val=""/>
      <w:lvlJc w:val="left"/>
      <w:pPr>
        <w:tabs>
          <w:tab w:val="num" w:pos="4320"/>
        </w:tabs>
        <w:ind w:left="4320" w:hanging="360"/>
      </w:pPr>
      <w:rPr>
        <w:rFonts w:ascii="Wingdings" w:hAnsi="Wingdings" w:hint="default"/>
      </w:rPr>
    </w:lvl>
    <w:lvl w:ilvl="6" w:tplc="8A0E9CBE" w:tentative="1">
      <w:start w:val="1"/>
      <w:numFmt w:val="bullet"/>
      <w:lvlText w:val=""/>
      <w:lvlJc w:val="left"/>
      <w:pPr>
        <w:tabs>
          <w:tab w:val="num" w:pos="5040"/>
        </w:tabs>
        <w:ind w:left="5040" w:hanging="360"/>
      </w:pPr>
      <w:rPr>
        <w:rFonts w:ascii="Symbol" w:hAnsi="Symbol" w:hint="default"/>
      </w:rPr>
    </w:lvl>
    <w:lvl w:ilvl="7" w:tplc="C0D6867C" w:tentative="1">
      <w:start w:val="1"/>
      <w:numFmt w:val="bullet"/>
      <w:lvlText w:val="o"/>
      <w:lvlJc w:val="left"/>
      <w:pPr>
        <w:tabs>
          <w:tab w:val="num" w:pos="5760"/>
        </w:tabs>
        <w:ind w:left="5760" w:hanging="360"/>
      </w:pPr>
      <w:rPr>
        <w:rFonts w:ascii="Courier New" w:hAnsi="Courier New" w:cs="Courier New" w:hint="default"/>
      </w:rPr>
    </w:lvl>
    <w:lvl w:ilvl="8" w:tplc="E500C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CA5078">
      <w:start w:val="1"/>
      <w:numFmt w:val="bullet"/>
      <w:pStyle w:val="Lijstopsomteken2"/>
      <w:lvlText w:val="–"/>
      <w:lvlJc w:val="left"/>
      <w:pPr>
        <w:tabs>
          <w:tab w:val="num" w:pos="227"/>
        </w:tabs>
        <w:ind w:left="227" w:firstLine="0"/>
      </w:pPr>
      <w:rPr>
        <w:rFonts w:ascii="Verdana" w:hAnsi="Verdana" w:hint="default"/>
      </w:rPr>
    </w:lvl>
    <w:lvl w:ilvl="1" w:tplc="6AB05C90" w:tentative="1">
      <w:start w:val="1"/>
      <w:numFmt w:val="bullet"/>
      <w:lvlText w:val="o"/>
      <w:lvlJc w:val="left"/>
      <w:pPr>
        <w:tabs>
          <w:tab w:val="num" w:pos="1440"/>
        </w:tabs>
        <w:ind w:left="1440" w:hanging="360"/>
      </w:pPr>
      <w:rPr>
        <w:rFonts w:ascii="Courier New" w:hAnsi="Courier New" w:cs="Courier New" w:hint="default"/>
      </w:rPr>
    </w:lvl>
    <w:lvl w:ilvl="2" w:tplc="7B607682" w:tentative="1">
      <w:start w:val="1"/>
      <w:numFmt w:val="bullet"/>
      <w:lvlText w:val=""/>
      <w:lvlJc w:val="left"/>
      <w:pPr>
        <w:tabs>
          <w:tab w:val="num" w:pos="2160"/>
        </w:tabs>
        <w:ind w:left="2160" w:hanging="360"/>
      </w:pPr>
      <w:rPr>
        <w:rFonts w:ascii="Wingdings" w:hAnsi="Wingdings" w:hint="default"/>
      </w:rPr>
    </w:lvl>
    <w:lvl w:ilvl="3" w:tplc="E2349EF8" w:tentative="1">
      <w:start w:val="1"/>
      <w:numFmt w:val="bullet"/>
      <w:lvlText w:val=""/>
      <w:lvlJc w:val="left"/>
      <w:pPr>
        <w:tabs>
          <w:tab w:val="num" w:pos="2880"/>
        </w:tabs>
        <w:ind w:left="2880" w:hanging="360"/>
      </w:pPr>
      <w:rPr>
        <w:rFonts w:ascii="Symbol" w:hAnsi="Symbol" w:hint="default"/>
      </w:rPr>
    </w:lvl>
    <w:lvl w:ilvl="4" w:tplc="0C0ED596" w:tentative="1">
      <w:start w:val="1"/>
      <w:numFmt w:val="bullet"/>
      <w:lvlText w:val="o"/>
      <w:lvlJc w:val="left"/>
      <w:pPr>
        <w:tabs>
          <w:tab w:val="num" w:pos="3600"/>
        </w:tabs>
        <w:ind w:left="3600" w:hanging="360"/>
      </w:pPr>
      <w:rPr>
        <w:rFonts w:ascii="Courier New" w:hAnsi="Courier New" w:cs="Courier New" w:hint="default"/>
      </w:rPr>
    </w:lvl>
    <w:lvl w:ilvl="5" w:tplc="62D4C992" w:tentative="1">
      <w:start w:val="1"/>
      <w:numFmt w:val="bullet"/>
      <w:lvlText w:val=""/>
      <w:lvlJc w:val="left"/>
      <w:pPr>
        <w:tabs>
          <w:tab w:val="num" w:pos="4320"/>
        </w:tabs>
        <w:ind w:left="4320" w:hanging="360"/>
      </w:pPr>
      <w:rPr>
        <w:rFonts w:ascii="Wingdings" w:hAnsi="Wingdings" w:hint="default"/>
      </w:rPr>
    </w:lvl>
    <w:lvl w:ilvl="6" w:tplc="91CE18E2" w:tentative="1">
      <w:start w:val="1"/>
      <w:numFmt w:val="bullet"/>
      <w:lvlText w:val=""/>
      <w:lvlJc w:val="left"/>
      <w:pPr>
        <w:tabs>
          <w:tab w:val="num" w:pos="5040"/>
        </w:tabs>
        <w:ind w:left="5040" w:hanging="360"/>
      </w:pPr>
      <w:rPr>
        <w:rFonts w:ascii="Symbol" w:hAnsi="Symbol" w:hint="default"/>
      </w:rPr>
    </w:lvl>
    <w:lvl w:ilvl="7" w:tplc="F7A88096" w:tentative="1">
      <w:start w:val="1"/>
      <w:numFmt w:val="bullet"/>
      <w:lvlText w:val="o"/>
      <w:lvlJc w:val="left"/>
      <w:pPr>
        <w:tabs>
          <w:tab w:val="num" w:pos="5760"/>
        </w:tabs>
        <w:ind w:left="5760" w:hanging="360"/>
      </w:pPr>
      <w:rPr>
        <w:rFonts w:ascii="Courier New" w:hAnsi="Courier New" w:cs="Courier New" w:hint="default"/>
      </w:rPr>
    </w:lvl>
    <w:lvl w:ilvl="8" w:tplc="93549E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E5E8F"/>
    <w:multiLevelType w:val="hybridMultilevel"/>
    <w:tmpl w:val="A77E0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0EB203E8">
      <w:numFmt w:val="bullet"/>
      <w:lvlText w:val="-"/>
      <w:lvlJc w:val="left"/>
      <w:pPr>
        <w:ind w:left="720" w:hanging="360"/>
      </w:pPr>
      <w:rPr>
        <w:rFonts w:ascii="Calibri" w:eastAsia="Times New Roman" w:hAnsi="Calibri" w:cs="Calibri" w:hint="default"/>
      </w:rPr>
    </w:lvl>
    <w:lvl w:ilvl="1" w:tplc="229E56E0">
      <w:start w:val="1"/>
      <w:numFmt w:val="bullet"/>
      <w:lvlText w:val="o"/>
      <w:lvlJc w:val="left"/>
      <w:pPr>
        <w:ind w:left="1440" w:hanging="360"/>
      </w:pPr>
      <w:rPr>
        <w:rFonts w:ascii="Courier New" w:hAnsi="Courier New" w:cs="Courier New" w:hint="default"/>
      </w:rPr>
    </w:lvl>
    <w:lvl w:ilvl="2" w:tplc="51E8B9E4">
      <w:start w:val="1"/>
      <w:numFmt w:val="bullet"/>
      <w:lvlText w:val=""/>
      <w:lvlJc w:val="left"/>
      <w:pPr>
        <w:ind w:left="2160" w:hanging="360"/>
      </w:pPr>
      <w:rPr>
        <w:rFonts w:ascii="Wingdings" w:hAnsi="Wingdings" w:hint="default"/>
      </w:rPr>
    </w:lvl>
    <w:lvl w:ilvl="3" w:tplc="F37C73B4">
      <w:start w:val="1"/>
      <w:numFmt w:val="bullet"/>
      <w:lvlText w:val=""/>
      <w:lvlJc w:val="left"/>
      <w:pPr>
        <w:ind w:left="2880" w:hanging="360"/>
      </w:pPr>
      <w:rPr>
        <w:rFonts w:ascii="Symbol" w:hAnsi="Symbol" w:hint="default"/>
      </w:rPr>
    </w:lvl>
    <w:lvl w:ilvl="4" w:tplc="56568D50">
      <w:start w:val="1"/>
      <w:numFmt w:val="bullet"/>
      <w:lvlText w:val="o"/>
      <w:lvlJc w:val="left"/>
      <w:pPr>
        <w:ind w:left="3600" w:hanging="360"/>
      </w:pPr>
      <w:rPr>
        <w:rFonts w:ascii="Courier New" w:hAnsi="Courier New" w:cs="Courier New" w:hint="default"/>
      </w:rPr>
    </w:lvl>
    <w:lvl w:ilvl="5" w:tplc="C37ABCD4">
      <w:start w:val="1"/>
      <w:numFmt w:val="bullet"/>
      <w:lvlText w:val=""/>
      <w:lvlJc w:val="left"/>
      <w:pPr>
        <w:ind w:left="4320" w:hanging="360"/>
      </w:pPr>
      <w:rPr>
        <w:rFonts w:ascii="Wingdings" w:hAnsi="Wingdings" w:hint="default"/>
      </w:rPr>
    </w:lvl>
    <w:lvl w:ilvl="6" w:tplc="BF0493B8">
      <w:start w:val="1"/>
      <w:numFmt w:val="bullet"/>
      <w:lvlText w:val=""/>
      <w:lvlJc w:val="left"/>
      <w:pPr>
        <w:ind w:left="5040" w:hanging="360"/>
      </w:pPr>
      <w:rPr>
        <w:rFonts w:ascii="Symbol" w:hAnsi="Symbol" w:hint="default"/>
      </w:rPr>
    </w:lvl>
    <w:lvl w:ilvl="7" w:tplc="95BCF606">
      <w:start w:val="1"/>
      <w:numFmt w:val="bullet"/>
      <w:lvlText w:val="o"/>
      <w:lvlJc w:val="left"/>
      <w:pPr>
        <w:ind w:left="5760" w:hanging="360"/>
      </w:pPr>
      <w:rPr>
        <w:rFonts w:ascii="Courier New" w:hAnsi="Courier New" w:cs="Courier New" w:hint="default"/>
      </w:rPr>
    </w:lvl>
    <w:lvl w:ilvl="8" w:tplc="F0848FD8">
      <w:start w:val="1"/>
      <w:numFmt w:val="bullet"/>
      <w:lvlText w:val=""/>
      <w:lvlJc w:val="left"/>
      <w:pPr>
        <w:ind w:left="6480" w:hanging="360"/>
      </w:pPr>
      <w:rPr>
        <w:rFonts w:ascii="Wingdings" w:hAnsi="Wingdings" w:hint="default"/>
      </w:rPr>
    </w:lvl>
  </w:abstractNum>
  <w:abstractNum w:abstractNumId="15" w15:restartNumberingAfterBreak="0">
    <w:nsid w:val="43D8038D"/>
    <w:multiLevelType w:val="hybridMultilevel"/>
    <w:tmpl w:val="CC568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3F7EB6"/>
    <w:multiLevelType w:val="hybridMultilevel"/>
    <w:tmpl w:val="DFBE3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7675270">
    <w:abstractNumId w:val="10"/>
  </w:num>
  <w:num w:numId="2" w16cid:durableId="1967469101">
    <w:abstractNumId w:val="7"/>
  </w:num>
  <w:num w:numId="3" w16cid:durableId="1934970717">
    <w:abstractNumId w:val="6"/>
  </w:num>
  <w:num w:numId="4" w16cid:durableId="1390570402">
    <w:abstractNumId w:val="5"/>
  </w:num>
  <w:num w:numId="5" w16cid:durableId="1412199474">
    <w:abstractNumId w:val="4"/>
  </w:num>
  <w:num w:numId="6" w16cid:durableId="646864701">
    <w:abstractNumId w:val="8"/>
  </w:num>
  <w:num w:numId="7" w16cid:durableId="747071215">
    <w:abstractNumId w:val="3"/>
  </w:num>
  <w:num w:numId="8" w16cid:durableId="779446981">
    <w:abstractNumId w:val="2"/>
  </w:num>
  <w:num w:numId="9" w16cid:durableId="2103060857">
    <w:abstractNumId w:val="1"/>
  </w:num>
  <w:num w:numId="10" w16cid:durableId="1353267024">
    <w:abstractNumId w:val="0"/>
  </w:num>
  <w:num w:numId="11" w16cid:durableId="1051421572">
    <w:abstractNumId w:val="9"/>
  </w:num>
  <w:num w:numId="12" w16cid:durableId="140927460">
    <w:abstractNumId w:val="11"/>
  </w:num>
  <w:num w:numId="13" w16cid:durableId="315766565">
    <w:abstractNumId w:val="16"/>
  </w:num>
  <w:num w:numId="14" w16cid:durableId="677584440">
    <w:abstractNumId w:val="12"/>
  </w:num>
  <w:num w:numId="15" w16cid:durableId="1283029863">
    <w:abstractNumId w:val="14"/>
  </w:num>
  <w:num w:numId="16" w16cid:durableId="2133131281">
    <w:abstractNumId w:val="13"/>
  </w:num>
  <w:num w:numId="17" w16cid:durableId="658970663">
    <w:abstractNumId w:val="15"/>
  </w:num>
  <w:num w:numId="18" w16cid:durableId="137719878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27569"/>
    <w:rsid w:val="00033CDD"/>
    <w:rsid w:val="00034A84"/>
    <w:rsid w:val="00035E67"/>
    <w:rsid w:val="000366F3"/>
    <w:rsid w:val="00045E2C"/>
    <w:rsid w:val="000573D6"/>
    <w:rsid w:val="0006024D"/>
    <w:rsid w:val="00071F28"/>
    <w:rsid w:val="00074079"/>
    <w:rsid w:val="0007467E"/>
    <w:rsid w:val="00076B0F"/>
    <w:rsid w:val="000834EC"/>
    <w:rsid w:val="00090BC3"/>
    <w:rsid w:val="00092799"/>
    <w:rsid w:val="00092C5F"/>
    <w:rsid w:val="00096680"/>
    <w:rsid w:val="000A0F36"/>
    <w:rsid w:val="000A174A"/>
    <w:rsid w:val="000A3E0A"/>
    <w:rsid w:val="000A65AC"/>
    <w:rsid w:val="000B024B"/>
    <w:rsid w:val="000B7281"/>
    <w:rsid w:val="000B7FAB"/>
    <w:rsid w:val="000C0163"/>
    <w:rsid w:val="000C1BA1"/>
    <w:rsid w:val="000C32F8"/>
    <w:rsid w:val="000C3EA9"/>
    <w:rsid w:val="000C6F7E"/>
    <w:rsid w:val="000D0225"/>
    <w:rsid w:val="000D6CCE"/>
    <w:rsid w:val="000E7895"/>
    <w:rsid w:val="000F161D"/>
    <w:rsid w:val="000F3CAA"/>
    <w:rsid w:val="00121BF0"/>
    <w:rsid w:val="00122ED1"/>
    <w:rsid w:val="00123704"/>
    <w:rsid w:val="001270C7"/>
    <w:rsid w:val="00132540"/>
    <w:rsid w:val="0014786A"/>
    <w:rsid w:val="001516A4"/>
    <w:rsid w:val="00151E5F"/>
    <w:rsid w:val="00153E28"/>
    <w:rsid w:val="00154703"/>
    <w:rsid w:val="00154908"/>
    <w:rsid w:val="001569AB"/>
    <w:rsid w:val="00164D63"/>
    <w:rsid w:val="0016725C"/>
    <w:rsid w:val="001726F3"/>
    <w:rsid w:val="00173C51"/>
    <w:rsid w:val="001748D8"/>
    <w:rsid w:val="00174CC2"/>
    <w:rsid w:val="00176CC6"/>
    <w:rsid w:val="00181BE4"/>
    <w:rsid w:val="00185576"/>
    <w:rsid w:val="00185951"/>
    <w:rsid w:val="00196B8B"/>
    <w:rsid w:val="001A2BEA"/>
    <w:rsid w:val="001A6D93"/>
    <w:rsid w:val="001C32EC"/>
    <w:rsid w:val="001C38BD"/>
    <w:rsid w:val="001C4D5A"/>
    <w:rsid w:val="001D128F"/>
    <w:rsid w:val="001E34C6"/>
    <w:rsid w:val="001E4E7A"/>
    <w:rsid w:val="001E5581"/>
    <w:rsid w:val="001F3C70"/>
    <w:rsid w:val="00200D88"/>
    <w:rsid w:val="00201BBD"/>
    <w:rsid w:val="00201F68"/>
    <w:rsid w:val="00212F2A"/>
    <w:rsid w:val="00214F2B"/>
    <w:rsid w:val="00217880"/>
    <w:rsid w:val="00220EA5"/>
    <w:rsid w:val="00222D66"/>
    <w:rsid w:val="0022368E"/>
    <w:rsid w:val="00224A8A"/>
    <w:rsid w:val="00230238"/>
    <w:rsid w:val="002309A8"/>
    <w:rsid w:val="00231909"/>
    <w:rsid w:val="00236CFE"/>
    <w:rsid w:val="0024169F"/>
    <w:rsid w:val="002428E3"/>
    <w:rsid w:val="00243031"/>
    <w:rsid w:val="002570B4"/>
    <w:rsid w:val="00260BAF"/>
    <w:rsid w:val="002650F7"/>
    <w:rsid w:val="00266AAE"/>
    <w:rsid w:val="00273DE6"/>
    <w:rsid w:val="00273F3B"/>
    <w:rsid w:val="00274DB7"/>
    <w:rsid w:val="00275984"/>
    <w:rsid w:val="00280F74"/>
    <w:rsid w:val="002822CA"/>
    <w:rsid w:val="00282A36"/>
    <w:rsid w:val="00286998"/>
    <w:rsid w:val="00291AB7"/>
    <w:rsid w:val="00292EB2"/>
    <w:rsid w:val="0029422B"/>
    <w:rsid w:val="00296639"/>
    <w:rsid w:val="002A0938"/>
    <w:rsid w:val="002A78D2"/>
    <w:rsid w:val="002B153C"/>
    <w:rsid w:val="002B4303"/>
    <w:rsid w:val="002B52FC"/>
    <w:rsid w:val="002C2830"/>
    <w:rsid w:val="002D001A"/>
    <w:rsid w:val="002D0DDB"/>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6645B"/>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22D0"/>
    <w:rsid w:val="003D39EC"/>
    <w:rsid w:val="003D5DED"/>
    <w:rsid w:val="003E3DD5"/>
    <w:rsid w:val="003F07C6"/>
    <w:rsid w:val="003F1F6B"/>
    <w:rsid w:val="003F3757"/>
    <w:rsid w:val="003F38BD"/>
    <w:rsid w:val="003F44B7"/>
    <w:rsid w:val="004008E9"/>
    <w:rsid w:val="004120B6"/>
    <w:rsid w:val="00413D48"/>
    <w:rsid w:val="00413D8C"/>
    <w:rsid w:val="00441618"/>
    <w:rsid w:val="00441AC2"/>
    <w:rsid w:val="0044249B"/>
    <w:rsid w:val="0045023C"/>
    <w:rsid w:val="00451A5B"/>
    <w:rsid w:val="00452BCD"/>
    <w:rsid w:val="00452CEA"/>
    <w:rsid w:val="0045469E"/>
    <w:rsid w:val="00464243"/>
    <w:rsid w:val="00465B52"/>
    <w:rsid w:val="0046708E"/>
    <w:rsid w:val="00472A65"/>
    <w:rsid w:val="00474463"/>
    <w:rsid w:val="00474B75"/>
    <w:rsid w:val="0048112C"/>
    <w:rsid w:val="00483F0B"/>
    <w:rsid w:val="00496319"/>
    <w:rsid w:val="00497279"/>
    <w:rsid w:val="004A163B"/>
    <w:rsid w:val="004A44F2"/>
    <w:rsid w:val="004A670A"/>
    <w:rsid w:val="004B24D5"/>
    <w:rsid w:val="004B5465"/>
    <w:rsid w:val="004B70F0"/>
    <w:rsid w:val="004C0AF7"/>
    <w:rsid w:val="004D2DA3"/>
    <w:rsid w:val="004D505E"/>
    <w:rsid w:val="004D72CA"/>
    <w:rsid w:val="004E2242"/>
    <w:rsid w:val="004E4776"/>
    <w:rsid w:val="004E505E"/>
    <w:rsid w:val="004F42FF"/>
    <w:rsid w:val="004F44C2"/>
    <w:rsid w:val="004F6563"/>
    <w:rsid w:val="00502512"/>
    <w:rsid w:val="00503FD2"/>
    <w:rsid w:val="00505262"/>
    <w:rsid w:val="005065D6"/>
    <w:rsid w:val="00516022"/>
    <w:rsid w:val="005178D4"/>
    <w:rsid w:val="00521CEE"/>
    <w:rsid w:val="00524FB4"/>
    <w:rsid w:val="00527B67"/>
    <w:rsid w:val="00527BD4"/>
    <w:rsid w:val="00537095"/>
    <w:rsid w:val="005403C8"/>
    <w:rsid w:val="005429DC"/>
    <w:rsid w:val="005461DA"/>
    <w:rsid w:val="00550367"/>
    <w:rsid w:val="005565F9"/>
    <w:rsid w:val="00573041"/>
    <w:rsid w:val="00575B80"/>
    <w:rsid w:val="0057620F"/>
    <w:rsid w:val="005819CE"/>
    <w:rsid w:val="0058298D"/>
    <w:rsid w:val="00583D24"/>
    <w:rsid w:val="00584C1A"/>
    <w:rsid w:val="00593C2B"/>
    <w:rsid w:val="00595231"/>
    <w:rsid w:val="00596166"/>
    <w:rsid w:val="00597F64"/>
    <w:rsid w:val="005A207F"/>
    <w:rsid w:val="005A2F35"/>
    <w:rsid w:val="005B094A"/>
    <w:rsid w:val="005B3814"/>
    <w:rsid w:val="005B463E"/>
    <w:rsid w:val="005C2538"/>
    <w:rsid w:val="005C34E1"/>
    <w:rsid w:val="005C3B68"/>
    <w:rsid w:val="005C3FE0"/>
    <w:rsid w:val="005C525B"/>
    <w:rsid w:val="005C740C"/>
    <w:rsid w:val="005D32D1"/>
    <w:rsid w:val="005D625B"/>
    <w:rsid w:val="005F62D3"/>
    <w:rsid w:val="005F6D11"/>
    <w:rsid w:val="00600CF0"/>
    <w:rsid w:val="0060487C"/>
    <w:rsid w:val="006048F4"/>
    <w:rsid w:val="0060660A"/>
    <w:rsid w:val="00613B1D"/>
    <w:rsid w:val="00617A44"/>
    <w:rsid w:val="006202B6"/>
    <w:rsid w:val="00621DEC"/>
    <w:rsid w:val="0062352B"/>
    <w:rsid w:val="00624D22"/>
    <w:rsid w:val="00625CD0"/>
    <w:rsid w:val="0062627D"/>
    <w:rsid w:val="00627432"/>
    <w:rsid w:val="006448E4"/>
    <w:rsid w:val="00645414"/>
    <w:rsid w:val="00651CEE"/>
    <w:rsid w:val="00653606"/>
    <w:rsid w:val="006610E9"/>
    <w:rsid w:val="00661591"/>
    <w:rsid w:val="00664678"/>
    <w:rsid w:val="0066632F"/>
    <w:rsid w:val="006706FA"/>
    <w:rsid w:val="00674A89"/>
    <w:rsid w:val="00674F3D"/>
    <w:rsid w:val="00677319"/>
    <w:rsid w:val="00685545"/>
    <w:rsid w:val="006864B3"/>
    <w:rsid w:val="00686F7F"/>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6528"/>
    <w:rsid w:val="006D6C27"/>
    <w:rsid w:val="006E3546"/>
    <w:rsid w:val="006E3FA9"/>
    <w:rsid w:val="006E43F8"/>
    <w:rsid w:val="006E7D82"/>
    <w:rsid w:val="006F038F"/>
    <w:rsid w:val="006F0F93"/>
    <w:rsid w:val="006F31F2"/>
    <w:rsid w:val="006F7494"/>
    <w:rsid w:val="006F751F"/>
    <w:rsid w:val="007008C0"/>
    <w:rsid w:val="00714DC5"/>
    <w:rsid w:val="00715237"/>
    <w:rsid w:val="00721AE1"/>
    <w:rsid w:val="007232AE"/>
    <w:rsid w:val="007254A5"/>
    <w:rsid w:val="00725748"/>
    <w:rsid w:val="00735D88"/>
    <w:rsid w:val="0073720D"/>
    <w:rsid w:val="00737507"/>
    <w:rsid w:val="00740712"/>
    <w:rsid w:val="00742AB9"/>
    <w:rsid w:val="00751310"/>
    <w:rsid w:val="00751A6A"/>
    <w:rsid w:val="00754FBF"/>
    <w:rsid w:val="007610AA"/>
    <w:rsid w:val="007635F6"/>
    <w:rsid w:val="007709EF"/>
    <w:rsid w:val="0077554E"/>
    <w:rsid w:val="00781DCA"/>
    <w:rsid w:val="00782701"/>
    <w:rsid w:val="00783559"/>
    <w:rsid w:val="0079551B"/>
    <w:rsid w:val="00797AA5"/>
    <w:rsid w:val="007A061E"/>
    <w:rsid w:val="007A26BD"/>
    <w:rsid w:val="007A4105"/>
    <w:rsid w:val="007B4503"/>
    <w:rsid w:val="007B7905"/>
    <w:rsid w:val="007C406E"/>
    <w:rsid w:val="007C5183"/>
    <w:rsid w:val="007C53DC"/>
    <w:rsid w:val="007C7573"/>
    <w:rsid w:val="007D6108"/>
    <w:rsid w:val="007E2B20"/>
    <w:rsid w:val="007E6975"/>
    <w:rsid w:val="007F439C"/>
    <w:rsid w:val="007F4E68"/>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37306"/>
    <w:rsid w:val="008423BB"/>
    <w:rsid w:val="00842CD8"/>
    <w:rsid w:val="008431FA"/>
    <w:rsid w:val="00847444"/>
    <w:rsid w:val="008517C6"/>
    <w:rsid w:val="008547BA"/>
    <w:rsid w:val="008553C7"/>
    <w:rsid w:val="00857FEB"/>
    <w:rsid w:val="008601AF"/>
    <w:rsid w:val="008624AA"/>
    <w:rsid w:val="0086309F"/>
    <w:rsid w:val="00863CC3"/>
    <w:rsid w:val="00872271"/>
    <w:rsid w:val="00883137"/>
    <w:rsid w:val="00883A6F"/>
    <w:rsid w:val="00884CFF"/>
    <w:rsid w:val="00894A3B"/>
    <w:rsid w:val="008A15B4"/>
    <w:rsid w:val="008A1F5D"/>
    <w:rsid w:val="008A25F0"/>
    <w:rsid w:val="008A28F5"/>
    <w:rsid w:val="008B0333"/>
    <w:rsid w:val="008B1198"/>
    <w:rsid w:val="008B3471"/>
    <w:rsid w:val="008B3929"/>
    <w:rsid w:val="008B4125"/>
    <w:rsid w:val="008B4CB3"/>
    <w:rsid w:val="008B567B"/>
    <w:rsid w:val="008B7B24"/>
    <w:rsid w:val="008C356D"/>
    <w:rsid w:val="008D0066"/>
    <w:rsid w:val="008D43B5"/>
    <w:rsid w:val="008E0B3F"/>
    <w:rsid w:val="008E49AD"/>
    <w:rsid w:val="008E698E"/>
    <w:rsid w:val="008F2584"/>
    <w:rsid w:val="008F3246"/>
    <w:rsid w:val="008F3C1B"/>
    <w:rsid w:val="008F3DB1"/>
    <w:rsid w:val="008F508C"/>
    <w:rsid w:val="008F763E"/>
    <w:rsid w:val="0090271B"/>
    <w:rsid w:val="00910642"/>
    <w:rsid w:val="00910DDF"/>
    <w:rsid w:val="009168B9"/>
    <w:rsid w:val="0092177B"/>
    <w:rsid w:val="00922D92"/>
    <w:rsid w:val="00926AE2"/>
    <w:rsid w:val="00930B13"/>
    <w:rsid w:val="009311C8"/>
    <w:rsid w:val="00933376"/>
    <w:rsid w:val="00933A2F"/>
    <w:rsid w:val="00946E60"/>
    <w:rsid w:val="00967600"/>
    <w:rsid w:val="0097126C"/>
    <w:rsid w:val="009716D8"/>
    <w:rsid w:val="009718F9"/>
    <w:rsid w:val="00971F42"/>
    <w:rsid w:val="00972FB9"/>
    <w:rsid w:val="00975112"/>
    <w:rsid w:val="00977D6F"/>
    <w:rsid w:val="00981768"/>
    <w:rsid w:val="00983E8F"/>
    <w:rsid w:val="00985E56"/>
    <w:rsid w:val="00987145"/>
    <w:rsid w:val="0098788A"/>
    <w:rsid w:val="0099243B"/>
    <w:rsid w:val="00994FDA"/>
    <w:rsid w:val="0099699B"/>
    <w:rsid w:val="009969F2"/>
    <w:rsid w:val="009A31BF"/>
    <w:rsid w:val="009A3B71"/>
    <w:rsid w:val="009A61BC"/>
    <w:rsid w:val="009B0138"/>
    <w:rsid w:val="009B0FE9"/>
    <w:rsid w:val="009B173A"/>
    <w:rsid w:val="009C3F20"/>
    <w:rsid w:val="009C7CA1"/>
    <w:rsid w:val="009D043D"/>
    <w:rsid w:val="009D0B5A"/>
    <w:rsid w:val="009E107A"/>
    <w:rsid w:val="009E4091"/>
    <w:rsid w:val="009E5934"/>
    <w:rsid w:val="009F3259"/>
    <w:rsid w:val="00A04C33"/>
    <w:rsid w:val="00A056DE"/>
    <w:rsid w:val="00A128AD"/>
    <w:rsid w:val="00A21E76"/>
    <w:rsid w:val="00A23BC8"/>
    <w:rsid w:val="00A2456B"/>
    <w:rsid w:val="00A245F8"/>
    <w:rsid w:val="00A26B40"/>
    <w:rsid w:val="00A30E68"/>
    <w:rsid w:val="00A31933"/>
    <w:rsid w:val="00A329D2"/>
    <w:rsid w:val="00A32B2E"/>
    <w:rsid w:val="00A34213"/>
    <w:rsid w:val="00A34AA0"/>
    <w:rsid w:val="00A3715C"/>
    <w:rsid w:val="00A41FE2"/>
    <w:rsid w:val="00A46FEF"/>
    <w:rsid w:val="00A47948"/>
    <w:rsid w:val="00A50CF6"/>
    <w:rsid w:val="00A56946"/>
    <w:rsid w:val="00A6170E"/>
    <w:rsid w:val="00A63B8C"/>
    <w:rsid w:val="00A6748A"/>
    <w:rsid w:val="00A715F8"/>
    <w:rsid w:val="00A775BB"/>
    <w:rsid w:val="00A77F6F"/>
    <w:rsid w:val="00A831FD"/>
    <w:rsid w:val="00A83352"/>
    <w:rsid w:val="00A850A2"/>
    <w:rsid w:val="00A91FA3"/>
    <w:rsid w:val="00A927D3"/>
    <w:rsid w:val="00AA2B6F"/>
    <w:rsid w:val="00AA7FC9"/>
    <w:rsid w:val="00AB237D"/>
    <w:rsid w:val="00AB5933"/>
    <w:rsid w:val="00AB661C"/>
    <w:rsid w:val="00AE013D"/>
    <w:rsid w:val="00AE11B7"/>
    <w:rsid w:val="00AE75C9"/>
    <w:rsid w:val="00AE7F68"/>
    <w:rsid w:val="00AF0E20"/>
    <w:rsid w:val="00AF2321"/>
    <w:rsid w:val="00AF52F6"/>
    <w:rsid w:val="00AF54A8"/>
    <w:rsid w:val="00AF71AB"/>
    <w:rsid w:val="00AF7237"/>
    <w:rsid w:val="00B0043A"/>
    <w:rsid w:val="00B00D75"/>
    <w:rsid w:val="00B04649"/>
    <w:rsid w:val="00B070CB"/>
    <w:rsid w:val="00B12456"/>
    <w:rsid w:val="00B145F0"/>
    <w:rsid w:val="00B25272"/>
    <w:rsid w:val="00B259C8"/>
    <w:rsid w:val="00B26CCF"/>
    <w:rsid w:val="00B30FC2"/>
    <w:rsid w:val="00B331A2"/>
    <w:rsid w:val="00B340E0"/>
    <w:rsid w:val="00B425F0"/>
    <w:rsid w:val="00B42DFA"/>
    <w:rsid w:val="00B478DC"/>
    <w:rsid w:val="00B531DD"/>
    <w:rsid w:val="00B55014"/>
    <w:rsid w:val="00B57A66"/>
    <w:rsid w:val="00B62232"/>
    <w:rsid w:val="00B70BF3"/>
    <w:rsid w:val="00B71DC2"/>
    <w:rsid w:val="00B76459"/>
    <w:rsid w:val="00B80E8A"/>
    <w:rsid w:val="00B824BA"/>
    <w:rsid w:val="00B91CFC"/>
    <w:rsid w:val="00B93893"/>
    <w:rsid w:val="00BA1397"/>
    <w:rsid w:val="00BA1D92"/>
    <w:rsid w:val="00BA4961"/>
    <w:rsid w:val="00BA7E0A"/>
    <w:rsid w:val="00BC3B53"/>
    <w:rsid w:val="00BC3B96"/>
    <w:rsid w:val="00BC4AE3"/>
    <w:rsid w:val="00BC59B0"/>
    <w:rsid w:val="00BC5B28"/>
    <w:rsid w:val="00BD2370"/>
    <w:rsid w:val="00BE3F88"/>
    <w:rsid w:val="00BE4756"/>
    <w:rsid w:val="00BE5ED9"/>
    <w:rsid w:val="00BE77AE"/>
    <w:rsid w:val="00BE7B41"/>
    <w:rsid w:val="00C15A91"/>
    <w:rsid w:val="00C206F1"/>
    <w:rsid w:val="00C217E1"/>
    <w:rsid w:val="00C219B1"/>
    <w:rsid w:val="00C3722D"/>
    <w:rsid w:val="00C37826"/>
    <w:rsid w:val="00C4015B"/>
    <w:rsid w:val="00C40268"/>
    <w:rsid w:val="00C40C60"/>
    <w:rsid w:val="00C4124E"/>
    <w:rsid w:val="00C477E4"/>
    <w:rsid w:val="00C5258E"/>
    <w:rsid w:val="00C530C9"/>
    <w:rsid w:val="00C619A7"/>
    <w:rsid w:val="00C70951"/>
    <w:rsid w:val="00C73D5F"/>
    <w:rsid w:val="00C745A6"/>
    <w:rsid w:val="00C76D24"/>
    <w:rsid w:val="00C80455"/>
    <w:rsid w:val="00C82AFE"/>
    <w:rsid w:val="00C83DBC"/>
    <w:rsid w:val="00C83EAD"/>
    <w:rsid w:val="00C97C80"/>
    <w:rsid w:val="00CA47D3"/>
    <w:rsid w:val="00CA6533"/>
    <w:rsid w:val="00CA6A25"/>
    <w:rsid w:val="00CA6A3F"/>
    <w:rsid w:val="00CA7C99"/>
    <w:rsid w:val="00CB4D94"/>
    <w:rsid w:val="00CC30BA"/>
    <w:rsid w:val="00CC6290"/>
    <w:rsid w:val="00CD233D"/>
    <w:rsid w:val="00CD3499"/>
    <w:rsid w:val="00CD362D"/>
    <w:rsid w:val="00CE101D"/>
    <w:rsid w:val="00CE1814"/>
    <w:rsid w:val="00CE1A95"/>
    <w:rsid w:val="00CE1C84"/>
    <w:rsid w:val="00CE4F4F"/>
    <w:rsid w:val="00CE5055"/>
    <w:rsid w:val="00CF053F"/>
    <w:rsid w:val="00CF1A17"/>
    <w:rsid w:val="00CF71AB"/>
    <w:rsid w:val="00D0375A"/>
    <w:rsid w:val="00D0609E"/>
    <w:rsid w:val="00D078E1"/>
    <w:rsid w:val="00D100E9"/>
    <w:rsid w:val="00D12B57"/>
    <w:rsid w:val="00D15779"/>
    <w:rsid w:val="00D17942"/>
    <w:rsid w:val="00D21E4B"/>
    <w:rsid w:val="00D22441"/>
    <w:rsid w:val="00D23522"/>
    <w:rsid w:val="00D243B9"/>
    <w:rsid w:val="00D264D6"/>
    <w:rsid w:val="00D33BF0"/>
    <w:rsid w:val="00D33DE0"/>
    <w:rsid w:val="00D36447"/>
    <w:rsid w:val="00D516BE"/>
    <w:rsid w:val="00D52F3E"/>
    <w:rsid w:val="00D5423B"/>
    <w:rsid w:val="00D54E6A"/>
    <w:rsid w:val="00D54F4E"/>
    <w:rsid w:val="00D57A56"/>
    <w:rsid w:val="00D604B3"/>
    <w:rsid w:val="00D60BA4"/>
    <w:rsid w:val="00D62419"/>
    <w:rsid w:val="00D67958"/>
    <w:rsid w:val="00D71182"/>
    <w:rsid w:val="00D77870"/>
    <w:rsid w:val="00D80977"/>
    <w:rsid w:val="00D80CCE"/>
    <w:rsid w:val="00D86EEA"/>
    <w:rsid w:val="00D87195"/>
    <w:rsid w:val="00D87D03"/>
    <w:rsid w:val="00D9360B"/>
    <w:rsid w:val="00D95C88"/>
    <w:rsid w:val="00D97B2E"/>
    <w:rsid w:val="00DA0270"/>
    <w:rsid w:val="00DA241E"/>
    <w:rsid w:val="00DB36FE"/>
    <w:rsid w:val="00DB533A"/>
    <w:rsid w:val="00DB60AE"/>
    <w:rsid w:val="00DB6307"/>
    <w:rsid w:val="00DD1DCD"/>
    <w:rsid w:val="00DD338F"/>
    <w:rsid w:val="00DD66F2"/>
    <w:rsid w:val="00DD6BF7"/>
    <w:rsid w:val="00DE3FE0"/>
    <w:rsid w:val="00DE578A"/>
    <w:rsid w:val="00DE7842"/>
    <w:rsid w:val="00DF2583"/>
    <w:rsid w:val="00DF54D9"/>
    <w:rsid w:val="00DF7283"/>
    <w:rsid w:val="00DF7983"/>
    <w:rsid w:val="00E01A59"/>
    <w:rsid w:val="00E04E24"/>
    <w:rsid w:val="00E10DC6"/>
    <w:rsid w:val="00E11F8E"/>
    <w:rsid w:val="00E14301"/>
    <w:rsid w:val="00E15881"/>
    <w:rsid w:val="00E16A8F"/>
    <w:rsid w:val="00E21DE3"/>
    <w:rsid w:val="00E25A70"/>
    <w:rsid w:val="00E273C5"/>
    <w:rsid w:val="00E307D1"/>
    <w:rsid w:val="00E33B4C"/>
    <w:rsid w:val="00E3731D"/>
    <w:rsid w:val="00E41769"/>
    <w:rsid w:val="00E45B5B"/>
    <w:rsid w:val="00E51469"/>
    <w:rsid w:val="00E573A1"/>
    <w:rsid w:val="00E634E3"/>
    <w:rsid w:val="00E717C4"/>
    <w:rsid w:val="00E7210E"/>
    <w:rsid w:val="00E77E18"/>
    <w:rsid w:val="00E77F89"/>
    <w:rsid w:val="00E80330"/>
    <w:rsid w:val="00E806C5"/>
    <w:rsid w:val="00E80E71"/>
    <w:rsid w:val="00E850D3"/>
    <w:rsid w:val="00E853D6"/>
    <w:rsid w:val="00E876B9"/>
    <w:rsid w:val="00EA0F13"/>
    <w:rsid w:val="00EB4DF0"/>
    <w:rsid w:val="00EC0DFF"/>
    <w:rsid w:val="00EC237D"/>
    <w:rsid w:val="00EC2918"/>
    <w:rsid w:val="00EC4D0E"/>
    <w:rsid w:val="00EC4E2B"/>
    <w:rsid w:val="00ED072A"/>
    <w:rsid w:val="00ED539E"/>
    <w:rsid w:val="00EE4A1F"/>
    <w:rsid w:val="00EE4C2D"/>
    <w:rsid w:val="00EF1364"/>
    <w:rsid w:val="00EF1B5A"/>
    <w:rsid w:val="00EF24FB"/>
    <w:rsid w:val="00EF2CCA"/>
    <w:rsid w:val="00EF495B"/>
    <w:rsid w:val="00EF5DA8"/>
    <w:rsid w:val="00EF60DC"/>
    <w:rsid w:val="00F00F54"/>
    <w:rsid w:val="00F03963"/>
    <w:rsid w:val="00F11068"/>
    <w:rsid w:val="00F1256D"/>
    <w:rsid w:val="00F13A4E"/>
    <w:rsid w:val="00F14E45"/>
    <w:rsid w:val="00F172BB"/>
    <w:rsid w:val="00F17B10"/>
    <w:rsid w:val="00F21BEF"/>
    <w:rsid w:val="00F2315B"/>
    <w:rsid w:val="00F35940"/>
    <w:rsid w:val="00F41A6F"/>
    <w:rsid w:val="00F45A25"/>
    <w:rsid w:val="00F50F86"/>
    <w:rsid w:val="00F53F91"/>
    <w:rsid w:val="00F61132"/>
    <w:rsid w:val="00F61569"/>
    <w:rsid w:val="00F61A72"/>
    <w:rsid w:val="00F62B67"/>
    <w:rsid w:val="00F66F13"/>
    <w:rsid w:val="00F70956"/>
    <w:rsid w:val="00F71F3C"/>
    <w:rsid w:val="00F74073"/>
    <w:rsid w:val="00F748E6"/>
    <w:rsid w:val="00F7504D"/>
    <w:rsid w:val="00F75603"/>
    <w:rsid w:val="00F845B4"/>
    <w:rsid w:val="00F8713B"/>
    <w:rsid w:val="00F91476"/>
    <w:rsid w:val="00F93F9E"/>
    <w:rsid w:val="00FA12E9"/>
    <w:rsid w:val="00FA2CD7"/>
    <w:rsid w:val="00FA50A6"/>
    <w:rsid w:val="00FB06ED"/>
    <w:rsid w:val="00FC2311"/>
    <w:rsid w:val="00FC3165"/>
    <w:rsid w:val="00FC36AB"/>
    <w:rsid w:val="00FC4300"/>
    <w:rsid w:val="00FC7F66"/>
    <w:rsid w:val="00FD5776"/>
    <w:rsid w:val="00FE1CB6"/>
    <w:rsid w:val="00FE486B"/>
    <w:rsid w:val="00FE4F08"/>
    <w:rsid w:val="00FF073A"/>
    <w:rsid w:val="00FF1927"/>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6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52F3E"/>
    <w:rPr>
      <w:vertAlign w:val="superscript"/>
    </w:rPr>
  </w:style>
  <w:style w:type="paragraph" w:styleId="Revisie">
    <w:name w:val="Revision"/>
    <w:hidden/>
    <w:uiPriority w:val="99"/>
    <w:semiHidden/>
    <w:rsid w:val="00BC59B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751310"/>
    <w:rPr>
      <w:b/>
      <w:bCs/>
    </w:rPr>
  </w:style>
  <w:style w:type="character" w:customStyle="1" w:styleId="OnderwerpvanopmerkingChar">
    <w:name w:val="Onderwerp van opmerking Char"/>
    <w:basedOn w:val="TekstopmerkingChar"/>
    <w:link w:val="Onderwerpvanopmerking"/>
    <w:semiHidden/>
    <w:rsid w:val="00751310"/>
    <w:rPr>
      <w:rFonts w:ascii="Verdana" w:hAnsi="Verdana"/>
      <w:b/>
      <w:bCs/>
      <w:lang w:val="nl-NL" w:eastAsia="nl-NL"/>
    </w:rPr>
  </w:style>
  <w:style w:type="character" w:styleId="Onopgelostemelding">
    <w:name w:val="Unresolved Mention"/>
    <w:basedOn w:val="Standaardalinea-lettertype"/>
    <w:uiPriority w:val="99"/>
    <w:semiHidden/>
    <w:unhideWhenUsed/>
    <w:rsid w:val="00027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0592">
      <w:bodyDiv w:val="1"/>
      <w:marLeft w:val="0"/>
      <w:marRight w:val="0"/>
      <w:marTop w:val="0"/>
      <w:marBottom w:val="0"/>
      <w:divBdr>
        <w:top w:val="none" w:sz="0" w:space="0" w:color="auto"/>
        <w:left w:val="none" w:sz="0" w:space="0" w:color="auto"/>
        <w:bottom w:val="none" w:sz="0" w:space="0" w:color="auto"/>
        <w:right w:val="none" w:sz="0" w:space="0" w:color="auto"/>
      </w:divBdr>
    </w:div>
    <w:div w:id="57560665">
      <w:bodyDiv w:val="1"/>
      <w:marLeft w:val="0"/>
      <w:marRight w:val="0"/>
      <w:marTop w:val="0"/>
      <w:marBottom w:val="0"/>
      <w:divBdr>
        <w:top w:val="none" w:sz="0" w:space="0" w:color="auto"/>
        <w:left w:val="none" w:sz="0" w:space="0" w:color="auto"/>
        <w:bottom w:val="none" w:sz="0" w:space="0" w:color="auto"/>
        <w:right w:val="none" w:sz="0" w:space="0" w:color="auto"/>
      </w:divBdr>
    </w:div>
    <w:div w:id="240603927">
      <w:bodyDiv w:val="1"/>
      <w:marLeft w:val="0"/>
      <w:marRight w:val="0"/>
      <w:marTop w:val="0"/>
      <w:marBottom w:val="0"/>
      <w:divBdr>
        <w:top w:val="none" w:sz="0" w:space="0" w:color="auto"/>
        <w:left w:val="none" w:sz="0" w:space="0" w:color="auto"/>
        <w:bottom w:val="none" w:sz="0" w:space="0" w:color="auto"/>
        <w:right w:val="none" w:sz="0" w:space="0" w:color="auto"/>
      </w:divBdr>
    </w:div>
    <w:div w:id="343753663">
      <w:bodyDiv w:val="1"/>
      <w:marLeft w:val="0"/>
      <w:marRight w:val="0"/>
      <w:marTop w:val="0"/>
      <w:marBottom w:val="0"/>
      <w:divBdr>
        <w:top w:val="none" w:sz="0" w:space="0" w:color="auto"/>
        <w:left w:val="none" w:sz="0" w:space="0" w:color="auto"/>
        <w:bottom w:val="none" w:sz="0" w:space="0" w:color="auto"/>
        <w:right w:val="none" w:sz="0" w:space="0" w:color="auto"/>
      </w:divBdr>
    </w:div>
    <w:div w:id="346828708">
      <w:bodyDiv w:val="1"/>
      <w:marLeft w:val="0"/>
      <w:marRight w:val="0"/>
      <w:marTop w:val="0"/>
      <w:marBottom w:val="0"/>
      <w:divBdr>
        <w:top w:val="none" w:sz="0" w:space="0" w:color="auto"/>
        <w:left w:val="none" w:sz="0" w:space="0" w:color="auto"/>
        <w:bottom w:val="none" w:sz="0" w:space="0" w:color="auto"/>
        <w:right w:val="none" w:sz="0" w:space="0" w:color="auto"/>
      </w:divBdr>
    </w:div>
    <w:div w:id="392049408">
      <w:bodyDiv w:val="1"/>
      <w:marLeft w:val="0"/>
      <w:marRight w:val="0"/>
      <w:marTop w:val="0"/>
      <w:marBottom w:val="0"/>
      <w:divBdr>
        <w:top w:val="none" w:sz="0" w:space="0" w:color="auto"/>
        <w:left w:val="none" w:sz="0" w:space="0" w:color="auto"/>
        <w:bottom w:val="none" w:sz="0" w:space="0" w:color="auto"/>
        <w:right w:val="none" w:sz="0" w:space="0" w:color="auto"/>
      </w:divBdr>
    </w:div>
    <w:div w:id="1331443809">
      <w:bodyDiv w:val="1"/>
      <w:marLeft w:val="0"/>
      <w:marRight w:val="0"/>
      <w:marTop w:val="0"/>
      <w:marBottom w:val="0"/>
      <w:divBdr>
        <w:top w:val="none" w:sz="0" w:space="0" w:color="auto"/>
        <w:left w:val="none" w:sz="0" w:space="0" w:color="auto"/>
        <w:bottom w:val="none" w:sz="0" w:space="0" w:color="auto"/>
        <w:right w:val="none" w:sz="0" w:space="0" w:color="auto"/>
      </w:divBdr>
    </w:div>
    <w:div w:id="1401050705">
      <w:bodyDiv w:val="1"/>
      <w:marLeft w:val="0"/>
      <w:marRight w:val="0"/>
      <w:marTop w:val="0"/>
      <w:marBottom w:val="0"/>
      <w:divBdr>
        <w:top w:val="none" w:sz="0" w:space="0" w:color="auto"/>
        <w:left w:val="none" w:sz="0" w:space="0" w:color="auto"/>
        <w:bottom w:val="none" w:sz="0" w:space="0" w:color="auto"/>
        <w:right w:val="none" w:sz="0" w:space="0" w:color="auto"/>
      </w:divBdr>
    </w:div>
    <w:div w:id="1441025176">
      <w:bodyDiv w:val="1"/>
      <w:marLeft w:val="0"/>
      <w:marRight w:val="0"/>
      <w:marTop w:val="0"/>
      <w:marBottom w:val="0"/>
      <w:divBdr>
        <w:top w:val="none" w:sz="0" w:space="0" w:color="auto"/>
        <w:left w:val="none" w:sz="0" w:space="0" w:color="auto"/>
        <w:bottom w:val="none" w:sz="0" w:space="0" w:color="auto"/>
        <w:right w:val="none" w:sz="0" w:space="0" w:color="auto"/>
      </w:divBdr>
    </w:div>
    <w:div w:id="1473985944">
      <w:bodyDiv w:val="1"/>
      <w:marLeft w:val="0"/>
      <w:marRight w:val="0"/>
      <w:marTop w:val="0"/>
      <w:marBottom w:val="0"/>
      <w:divBdr>
        <w:top w:val="none" w:sz="0" w:space="0" w:color="auto"/>
        <w:left w:val="none" w:sz="0" w:space="0" w:color="auto"/>
        <w:bottom w:val="none" w:sz="0" w:space="0" w:color="auto"/>
        <w:right w:val="none" w:sz="0" w:space="0" w:color="auto"/>
      </w:divBdr>
    </w:div>
    <w:div w:id="1641616175">
      <w:bodyDiv w:val="1"/>
      <w:marLeft w:val="0"/>
      <w:marRight w:val="0"/>
      <w:marTop w:val="0"/>
      <w:marBottom w:val="0"/>
      <w:divBdr>
        <w:top w:val="none" w:sz="0" w:space="0" w:color="auto"/>
        <w:left w:val="none" w:sz="0" w:space="0" w:color="auto"/>
        <w:bottom w:val="none" w:sz="0" w:space="0" w:color="auto"/>
        <w:right w:val="none" w:sz="0" w:space="0" w:color="auto"/>
      </w:divBdr>
    </w:div>
    <w:div w:id="1667778493">
      <w:bodyDiv w:val="1"/>
      <w:marLeft w:val="0"/>
      <w:marRight w:val="0"/>
      <w:marTop w:val="0"/>
      <w:marBottom w:val="0"/>
      <w:divBdr>
        <w:top w:val="none" w:sz="0" w:space="0" w:color="auto"/>
        <w:left w:val="none" w:sz="0" w:space="0" w:color="auto"/>
        <w:bottom w:val="none" w:sz="0" w:space="0" w:color="auto"/>
        <w:right w:val="none" w:sz="0" w:space="0" w:color="auto"/>
      </w:divBdr>
    </w:div>
    <w:div w:id="1679310560">
      <w:bodyDiv w:val="1"/>
      <w:marLeft w:val="0"/>
      <w:marRight w:val="0"/>
      <w:marTop w:val="0"/>
      <w:marBottom w:val="0"/>
      <w:divBdr>
        <w:top w:val="none" w:sz="0" w:space="0" w:color="auto"/>
        <w:left w:val="none" w:sz="0" w:space="0" w:color="auto"/>
        <w:bottom w:val="none" w:sz="0" w:space="0" w:color="auto"/>
        <w:right w:val="none" w:sz="0" w:space="0" w:color="auto"/>
      </w:divBdr>
    </w:div>
    <w:div w:id="18809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1198</ap:Words>
  <ap:Characters>6592</ap:Characters>
  <ap:DocSecurity>0</ap:DocSecurity>
  <ap:Lines>54</ap:Lines>
  <ap:Paragraphs>15</ap:Paragraphs>
  <ap:ScaleCrop>false</ap:ScaleCrop>
  <ap:LinksUpToDate>false</ap:LinksUpToDate>
  <ap:CharactersWithSpaces>7775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2025-05-15T09:30:00.0000000Z</dcterms:created>
  <dcterms:modified xsi:type="dcterms:W3CDTF">2025-05-15T09:30:00.0000000Z</dcterms:modified>
  <dc:description>------------------------</dc:description>
  <dc:subject/>
  <keywords/>
  <version/>
  <category/>
</coreProperties>
</file>