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2025Z09385</w:t>
        <w:br/>
      </w:r>
      <w:proofErr w:type="spellEnd"/>
    </w:p>
    <w:p>
      <w:pPr>
        <w:pStyle w:val="Normal"/>
        <w:rPr>
          <w:b w:val="1"/>
          <w:bCs w:val="1"/>
        </w:rPr>
      </w:pPr>
      <w:r w:rsidR="250AE766">
        <w:rPr>
          <w:b w:val="0"/>
          <w:bCs w:val="0"/>
        </w:rPr>
        <w:t>(ingezonden 15 mei 2025)</w:t>
        <w:br/>
      </w:r>
    </w:p>
    <w:p>
      <w:r>
        <w:t xml:space="preserve">Vragen van het lid Paternotte (D66) aan de ministers van Buitenlandse Zaken en voor Buitenlandse Handel en Ontwikkelingshulp over het bericht ‘EU to roll back Ukraine trade perks to protect its farmers’</w:t>
      </w:r>
      <w:r>
        <w:br/>
      </w:r>
    </w:p>
    <w:p>
      <w:r>
        <w:t xml:space="preserve"> </w:t>
      </w:r>
      <w:r>
        <w:br/>
      </w:r>
    </w:p>
    <w:p>
      <w:r>
        <w:t xml:space="preserve">1. Bent u bekend met het bericht ‘EU to roll back Ukraine trade perks to protect its farmers’? 1)</w:t>
      </w:r>
      <w:r>
        <w:br/>
      </w:r>
    </w:p>
    <w:p>
      <w:r>
        <w:t xml:space="preserve">2. Bent u bereid er tijdens de Raad Buitenlandse Zaken Handel en Raad Buitenlandse Zaken, conform motie Paternotte/Kamminga (Kamerstuk 21501-02, nr. 3029), voor te pleiten dat de huidige handelsliberalisatie niet wordt afgezwakt? Zo nee, waarom niet?</w:t>
      </w:r>
      <w:r>
        <w:br/>
      </w:r>
    </w:p>
    <w:p>
      <w:r>
        <w:t xml:space="preserve">3. Kunt u deze vragen zo spoedig mogelijk, maar uiterlijk voor 19 mei, 17.00u beantwoorden?</w:t>
      </w:r>
      <w:r>
        <w:br/>
      </w:r>
    </w:p>
    <w:p>
      <w:r>
        <w:t xml:space="preserve"> </w:t>
      </w:r>
      <w:r>
        <w:br/>
      </w:r>
    </w:p>
    <w:p>
      <w:r>
        <w:t xml:space="preserve">1) https://www.politico.eu/article/brussels-to-tighten-ukraines-trade-access-to-eu-to-pre-war-levels/</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78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7860">
    <w:abstractNumId w:val="1004778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