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F5A" w:rsidR="78A04EF1" w:rsidP="00A401FF" w:rsidRDefault="78A04EF1" w14:paraId="7D4A05BC" w14:textId="27715A13">
      <w:pPr>
        <w:ind w:left="1410" w:hanging="1410"/>
        <w:rPr>
          <w:rFonts w:ascii="Times New Roman" w:hAnsi="Times New Roman" w:eastAsia="Times New Roman" w:cs="Times New Roman"/>
          <w:b/>
          <w:color w:val="000000"/>
          <w:sz w:val="24"/>
          <w:szCs w:val="24"/>
          <w:lang w:eastAsia="nl-NL"/>
        </w:rPr>
      </w:pPr>
      <w:r w:rsidRPr="78A04EF1">
        <w:rPr>
          <w:rFonts w:ascii="Times New Roman" w:hAnsi="Times New Roman" w:eastAsia="Times New Roman" w:cs="Times New Roman"/>
          <w:b/>
          <w:bCs/>
        </w:rPr>
        <w:t>36</w:t>
      </w:r>
      <w:r w:rsidR="00293920">
        <w:rPr>
          <w:rFonts w:ascii="Times New Roman" w:hAnsi="Times New Roman" w:eastAsia="Times New Roman" w:cs="Times New Roman"/>
          <w:b/>
          <w:bCs/>
        </w:rPr>
        <w:t xml:space="preserve"> </w:t>
      </w:r>
      <w:r w:rsidR="00565141">
        <w:rPr>
          <w:rFonts w:ascii="Times New Roman" w:hAnsi="Times New Roman" w:eastAsia="Times New Roman" w:cs="Times New Roman"/>
          <w:b/>
          <w:bCs/>
        </w:rPr>
        <w:t>70</w:t>
      </w:r>
      <w:r w:rsidRPr="78A04EF1">
        <w:rPr>
          <w:rFonts w:ascii="Times New Roman" w:hAnsi="Times New Roman" w:eastAsia="Times New Roman" w:cs="Times New Roman"/>
          <w:b/>
          <w:bCs/>
        </w:rPr>
        <w:t xml:space="preserve">3            </w:t>
      </w:r>
      <w:r w:rsidRPr="00A401FF">
        <w:rPr>
          <w:rFonts w:ascii="Times New Roman" w:hAnsi="Times New Roman" w:eastAsia="Times New Roman" w:cs="Times New Roman"/>
          <w:b/>
          <w:color w:val="000000"/>
          <w:sz w:val="24"/>
          <w:szCs w:val="24"/>
          <w:lang w:eastAsia="nl-NL"/>
        </w:rPr>
        <w:t xml:space="preserve">  </w:t>
      </w:r>
      <w:r w:rsidRPr="00565141" w:rsidR="00565141">
        <w:rPr>
          <w:rFonts w:ascii="Times New Roman" w:hAnsi="Times New Roman" w:eastAsia="Times New Roman" w:cs="Times New Roman"/>
          <w:b/>
          <w:color w:val="000000"/>
          <w:sz w:val="24"/>
          <w:szCs w:val="24"/>
          <w:lang w:eastAsia="nl-NL"/>
        </w:rPr>
        <w:tab/>
      </w:r>
      <w:r w:rsidRPr="00DD6F5A" w:rsidR="00565141">
        <w:rPr>
          <w:rFonts w:ascii="Times New Roman" w:hAnsi="Times New Roman" w:eastAsia="Times New Roman" w:cs="Times New Roman"/>
          <w:b/>
          <w:color w:val="000000"/>
          <w:sz w:val="24"/>
          <w:szCs w:val="24"/>
          <w:lang w:eastAsia="nl-NL"/>
        </w:rPr>
        <w:t>Wijziging van de Vreemdelingenwet 2000 in verband met de introductie van een tweestatusstelsel en het aanscherpen van de vereisten bij nareis (Wet invoering tweestatusstelsel)</w:t>
      </w:r>
    </w:p>
    <w:p w:rsidRPr="00DD6F5A" w:rsidR="78A04EF1" w:rsidRDefault="78A04EF1" w14:paraId="68AC16DB" w14:textId="72139896">
      <w:r w:rsidRPr="00DD6F5A">
        <w:rPr>
          <w:rFonts w:ascii="Times New Roman" w:hAnsi="Times New Roman" w:eastAsia="Times New Roman" w:cs="Times New Roman"/>
        </w:rPr>
        <w:t xml:space="preserve"> </w:t>
      </w:r>
      <w:r w:rsidRPr="00DD6F5A">
        <w:rPr>
          <w:rFonts w:ascii="Times New Roman" w:hAnsi="Times New Roman" w:eastAsia="Times New Roman" w:cs="Times New Roman"/>
          <w:b/>
          <w:bCs/>
          <w:sz w:val="24"/>
          <w:szCs w:val="24"/>
        </w:rPr>
        <w:t xml:space="preserve"> </w:t>
      </w:r>
    </w:p>
    <w:p w:rsidRPr="00DD6F5A" w:rsidR="78A04EF1" w:rsidP="00A401FF" w:rsidRDefault="78A04EF1" w14:paraId="338A5EEC" w14:textId="3CD27D09">
      <w:pPr>
        <w:pStyle w:val="Geenafstand"/>
        <w:rPr>
          <w:rFonts w:ascii="Times New Roman" w:hAnsi="Times New Roman" w:cs="Times New Roman"/>
          <w:sz w:val="24"/>
          <w:szCs w:val="24"/>
        </w:rPr>
      </w:pPr>
      <w:r w:rsidRPr="00DD6F5A">
        <w:rPr>
          <w:rFonts w:ascii="Times New Roman" w:hAnsi="Times New Roman" w:cs="Times New Roman"/>
          <w:b/>
          <w:bCs/>
          <w:sz w:val="24"/>
          <w:szCs w:val="24"/>
        </w:rPr>
        <w:t xml:space="preserve">Nr.  </w:t>
      </w:r>
      <w:r w:rsidR="00293920">
        <w:rPr>
          <w:rFonts w:ascii="Times New Roman" w:hAnsi="Times New Roman" w:cs="Times New Roman"/>
          <w:b/>
          <w:bCs/>
          <w:sz w:val="24"/>
          <w:szCs w:val="24"/>
        </w:rPr>
        <w:t>23</w:t>
      </w:r>
      <w:r w:rsidRPr="00DD6F5A">
        <w:rPr>
          <w:rFonts w:ascii="Times New Roman" w:hAnsi="Times New Roman" w:cs="Times New Roman"/>
          <w:b/>
          <w:bCs/>
          <w:sz w:val="24"/>
          <w:szCs w:val="24"/>
        </w:rPr>
        <w:t xml:space="preserve">     </w:t>
      </w:r>
      <w:r w:rsidR="00293920">
        <w:rPr>
          <w:rFonts w:ascii="Times New Roman" w:hAnsi="Times New Roman" w:cs="Times New Roman"/>
          <w:b/>
          <w:bCs/>
          <w:sz w:val="24"/>
          <w:szCs w:val="24"/>
        </w:rPr>
        <w:tab/>
        <w:t>Nader v</w:t>
      </w:r>
      <w:r w:rsidRPr="00DD6F5A">
        <w:rPr>
          <w:rFonts w:ascii="Times New Roman" w:hAnsi="Times New Roman" w:cs="Times New Roman"/>
          <w:b/>
          <w:bCs/>
          <w:sz w:val="24"/>
          <w:szCs w:val="24"/>
        </w:rPr>
        <w:t>erslag</w:t>
      </w:r>
      <w:r w:rsidRPr="00DD6F5A" w:rsidR="00A401FF">
        <w:rPr>
          <w:rFonts w:ascii="Times New Roman" w:hAnsi="Times New Roman" w:cs="Times New Roman"/>
          <w:sz w:val="24"/>
          <w:szCs w:val="24"/>
        </w:rPr>
        <w:br/>
      </w:r>
      <w:r w:rsidRPr="00DD6F5A">
        <w:rPr>
          <w:rFonts w:ascii="Times New Roman" w:hAnsi="Times New Roman" w:cs="Times New Roman"/>
          <w:sz w:val="24"/>
          <w:szCs w:val="24"/>
        </w:rPr>
        <w:t xml:space="preserve">                        Vastgesteld</w:t>
      </w:r>
      <w:r w:rsidR="00012725">
        <w:rPr>
          <w:rFonts w:ascii="Times New Roman" w:hAnsi="Times New Roman" w:cs="Times New Roman"/>
          <w:sz w:val="24"/>
          <w:szCs w:val="24"/>
        </w:rPr>
        <w:t xml:space="preserve"> </w:t>
      </w:r>
      <w:r w:rsidR="00293920">
        <w:rPr>
          <w:rFonts w:ascii="Times New Roman" w:hAnsi="Times New Roman" w:cs="Times New Roman"/>
          <w:sz w:val="24"/>
          <w:szCs w:val="24"/>
        </w:rPr>
        <w:t>15 mei 2025</w:t>
      </w:r>
    </w:p>
    <w:p w:rsidRPr="00DD6F5A" w:rsidR="78A04EF1" w:rsidP="00A401FF" w:rsidRDefault="78A04EF1" w14:paraId="491B17BE" w14:textId="08686507">
      <w:pPr>
        <w:pStyle w:val="Geenafstand"/>
        <w:rPr>
          <w:rFonts w:ascii="Times New Roman" w:hAnsi="Times New Roman" w:cs="Times New Roman"/>
          <w:sz w:val="24"/>
          <w:szCs w:val="24"/>
        </w:rPr>
      </w:pPr>
      <w:r w:rsidRPr="00DD6F5A">
        <w:rPr>
          <w:rFonts w:ascii="Times New Roman" w:hAnsi="Times New Roman" w:cs="Times New Roman"/>
          <w:sz w:val="24"/>
          <w:szCs w:val="24"/>
        </w:rPr>
        <w:t xml:space="preserve">                        </w:t>
      </w:r>
    </w:p>
    <w:p w:rsidRPr="00DD6F5A" w:rsidR="78A04EF1" w:rsidP="00A401FF" w:rsidRDefault="78A04EF1" w14:paraId="49873A5C" w14:textId="74D195EB">
      <w:pPr>
        <w:pStyle w:val="Geenafstand"/>
        <w:ind w:left="1416"/>
        <w:rPr>
          <w:rFonts w:ascii="Times New Roman" w:hAnsi="Times New Roman" w:cs="Times New Roman"/>
          <w:sz w:val="24"/>
          <w:szCs w:val="24"/>
        </w:rPr>
      </w:pPr>
      <w:r w:rsidRPr="00DD6F5A">
        <w:rPr>
          <w:rFonts w:ascii="Times New Roman" w:hAnsi="Times New Roman" w:cs="Times New Roman"/>
          <w:sz w:val="24"/>
          <w:szCs w:val="24"/>
        </w:rPr>
        <w:t xml:space="preserve">De vaste commissie voor </w:t>
      </w:r>
      <w:r w:rsidRPr="00DD6F5A" w:rsidR="00A20A4F">
        <w:rPr>
          <w:rFonts w:ascii="Times New Roman" w:hAnsi="Times New Roman" w:cs="Times New Roman"/>
          <w:sz w:val="24"/>
          <w:szCs w:val="24"/>
        </w:rPr>
        <w:t>Asiel en Migratie</w:t>
      </w:r>
      <w:r w:rsidRPr="00DD6F5A">
        <w:rPr>
          <w:rFonts w:ascii="Times New Roman" w:hAnsi="Times New Roman" w:cs="Times New Roman"/>
          <w:sz w:val="24"/>
          <w:szCs w:val="24"/>
        </w:rPr>
        <w:t xml:space="preserve">, belast met het voorbereidend onderzoek van dit voorstel van wet, heeft de eer als volgt </w:t>
      </w:r>
      <w:r w:rsidR="00D61269">
        <w:rPr>
          <w:rFonts w:ascii="Times New Roman" w:hAnsi="Times New Roman" w:cs="Times New Roman"/>
          <w:sz w:val="24"/>
          <w:szCs w:val="24"/>
        </w:rPr>
        <w:t xml:space="preserve">nader </w:t>
      </w:r>
      <w:r w:rsidRPr="00DD6F5A">
        <w:rPr>
          <w:rFonts w:ascii="Times New Roman" w:hAnsi="Times New Roman" w:cs="Times New Roman"/>
          <w:sz w:val="24"/>
          <w:szCs w:val="24"/>
        </w:rPr>
        <w:t>verslag uit te brengen</w:t>
      </w:r>
      <w:r w:rsidRPr="00E64E66" w:rsidR="00D61269">
        <w:rPr>
          <w:rFonts w:ascii="Times New Roman" w:hAnsi="Times New Roman" w:cs="Times New Roman"/>
          <w:sz w:val="24"/>
          <w:szCs w:val="24"/>
        </w:rPr>
        <w:t>, n.a.v. het advies van de tijdelijke commissie Grondrechten en constitutionele toetsing</w:t>
      </w:r>
      <w:r w:rsidR="00D61269">
        <w:rPr>
          <w:rFonts w:ascii="Times New Roman" w:hAnsi="Times New Roman" w:cs="Times New Roman"/>
          <w:sz w:val="24"/>
          <w:szCs w:val="24"/>
        </w:rPr>
        <w:t xml:space="preserve"> (Kamerstuk 36</w:t>
      </w:r>
      <w:r w:rsidR="00293920">
        <w:rPr>
          <w:rFonts w:ascii="Times New Roman" w:hAnsi="Times New Roman" w:cs="Times New Roman"/>
          <w:sz w:val="24"/>
          <w:szCs w:val="24"/>
        </w:rPr>
        <w:t xml:space="preserve"> </w:t>
      </w:r>
      <w:r w:rsidR="00D61269">
        <w:rPr>
          <w:rFonts w:ascii="Times New Roman" w:hAnsi="Times New Roman" w:cs="Times New Roman"/>
          <w:sz w:val="24"/>
          <w:szCs w:val="24"/>
        </w:rPr>
        <w:t>703, nr. 21)</w:t>
      </w:r>
      <w:r w:rsidRPr="00DD6F5A">
        <w:rPr>
          <w:rFonts w:ascii="Times New Roman" w:hAnsi="Times New Roman" w:cs="Times New Roman"/>
          <w:sz w:val="24"/>
          <w:szCs w:val="24"/>
        </w:rPr>
        <w:t>. Onder het voorbehoud dat de hierin gestelde vragen en gemaakte opmerkingen voldoende zullen zijn beantwoord, acht de commissie de openbare behandeling van het voorstel van wet genoegzaam voorbereid.</w:t>
      </w:r>
    </w:p>
    <w:p w:rsidRPr="00DD6F5A" w:rsidR="78A04EF1" w:rsidRDefault="78A04EF1" w14:paraId="00BA8061" w14:textId="00E328E7">
      <w:pPr>
        <w:rPr>
          <w:rFonts w:ascii="Times New Roman" w:hAnsi="Times New Roman" w:eastAsia="Times New Roman" w:cs="Times New Roman"/>
          <w:b/>
          <w:bCs/>
          <w:sz w:val="24"/>
          <w:szCs w:val="24"/>
        </w:rPr>
      </w:pPr>
      <w:r w:rsidRPr="00DD6F5A">
        <w:rPr>
          <w:rFonts w:ascii="Times New Roman" w:hAnsi="Times New Roman" w:eastAsia="Times New Roman" w:cs="Times New Roman"/>
          <w:b/>
          <w:bCs/>
          <w:sz w:val="24"/>
          <w:szCs w:val="24"/>
        </w:rPr>
        <w:t xml:space="preserve"> </w:t>
      </w:r>
    </w:p>
    <w:p w:rsidRPr="00DD6F5A" w:rsidR="007C762A" w:rsidRDefault="007C762A" w14:paraId="3060524D" w14:textId="77777777"/>
    <w:p w:rsidRPr="00CE4F30" w:rsidR="78A04EF1" w:rsidP="00A401FF" w:rsidRDefault="78A04EF1" w14:paraId="7BE0C3FD" w14:textId="767C8BD0">
      <w:pPr>
        <w:pStyle w:val="Geenafstand"/>
        <w:ind w:left="708" w:firstLine="708"/>
        <w:rPr>
          <w:rFonts w:ascii="Times New Roman" w:hAnsi="Times New Roman" w:cs="Times New Roman"/>
          <w:b/>
          <w:bCs/>
          <w:sz w:val="24"/>
          <w:szCs w:val="24"/>
        </w:rPr>
      </w:pPr>
      <w:r w:rsidRPr="00CE4F30">
        <w:rPr>
          <w:rFonts w:ascii="Times New Roman" w:hAnsi="Times New Roman" w:cs="Times New Roman"/>
          <w:b/>
          <w:bCs/>
          <w:sz w:val="24"/>
          <w:szCs w:val="24"/>
        </w:rPr>
        <w:t>INHOUDSOPGAVE</w:t>
      </w:r>
    </w:p>
    <w:p w:rsidRPr="00CE4F30" w:rsidR="007C762A" w:rsidP="00A401FF" w:rsidRDefault="007C762A" w14:paraId="05B67ACE" w14:textId="77777777">
      <w:pPr>
        <w:pStyle w:val="Geenafstand"/>
        <w:ind w:left="708" w:firstLine="708"/>
        <w:rPr>
          <w:rFonts w:ascii="Times New Roman" w:hAnsi="Times New Roman" w:cs="Times New Roman"/>
          <w:b/>
          <w:bCs/>
          <w:sz w:val="24"/>
          <w:szCs w:val="24"/>
        </w:rPr>
      </w:pPr>
    </w:p>
    <w:p w:rsidRPr="00CE4F30" w:rsidR="007C762A" w:rsidP="007C762A" w:rsidRDefault="007C762A" w14:paraId="74811AA4"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Algemeen deel</w:t>
      </w:r>
    </w:p>
    <w:p w:rsidRPr="00CE4F30" w:rsidR="007C762A" w:rsidP="007C762A" w:rsidRDefault="007C762A" w14:paraId="382A7E52" w14:textId="10A860FC">
      <w:pPr>
        <w:ind w:left="708" w:firstLine="708"/>
        <w:rPr>
          <w:rFonts w:ascii="Times New Roman" w:hAnsi="Times New Roman" w:cs="Times New Roman"/>
          <w:b/>
          <w:sz w:val="24"/>
          <w:szCs w:val="24"/>
        </w:rPr>
      </w:pPr>
      <w:r w:rsidRPr="00CE4F30">
        <w:rPr>
          <w:rFonts w:ascii="Times New Roman" w:hAnsi="Times New Roman" w:cs="Times New Roman"/>
          <w:b/>
          <w:sz w:val="24"/>
          <w:szCs w:val="24"/>
        </w:rPr>
        <w:t>1. Inleiding</w:t>
      </w:r>
    </w:p>
    <w:p w:rsidRPr="00CE4F30" w:rsidR="007C762A" w:rsidP="007C762A" w:rsidRDefault="007C762A" w14:paraId="513CF04C"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2. Aanleiding en hoofdlijnen </w:t>
      </w:r>
    </w:p>
    <w:p w:rsidRPr="00CE4F30" w:rsidR="007C762A" w:rsidP="007C762A" w:rsidRDefault="007C762A" w14:paraId="29DB6BA7"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2.1 Tweestatusstelsel</w:t>
      </w:r>
    </w:p>
    <w:p w:rsidRPr="00CE4F30" w:rsidR="007C762A" w:rsidP="007C762A" w:rsidRDefault="007C762A" w14:paraId="61BDA98D"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2.2 Aanvullende voorwaarden nareis subsidiair beschermden</w:t>
      </w:r>
    </w:p>
    <w:p w:rsidRPr="00CE4F30" w:rsidR="007C762A" w:rsidP="00B93186" w:rsidRDefault="007C762A" w14:paraId="5F99B1FA" w14:textId="0114078D">
      <w:pPr>
        <w:ind w:left="708" w:firstLine="708"/>
        <w:rPr>
          <w:rFonts w:ascii="Times New Roman" w:hAnsi="Times New Roman" w:cs="Times New Roman"/>
          <w:b/>
          <w:sz w:val="24"/>
          <w:szCs w:val="24"/>
        </w:rPr>
      </w:pPr>
      <w:r w:rsidRPr="00CE4F30">
        <w:rPr>
          <w:rFonts w:ascii="Times New Roman" w:hAnsi="Times New Roman" w:cs="Times New Roman"/>
          <w:bCs/>
          <w:sz w:val="24"/>
          <w:szCs w:val="24"/>
        </w:rPr>
        <w:t>2.3 Beperken nareis tot kerngezin</w:t>
      </w:r>
    </w:p>
    <w:p w:rsidRPr="00CE4F30" w:rsidR="007C762A" w:rsidP="007C762A" w:rsidRDefault="007C762A" w14:paraId="264DBDB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3. Verhouding tot hoger recht</w:t>
      </w:r>
    </w:p>
    <w:p w:rsidRPr="00CE4F30" w:rsidR="007C762A" w:rsidP="007C762A" w:rsidRDefault="007C762A" w14:paraId="0F7476B8"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3.1 Gezinsherenigingsrichtlijn</w:t>
      </w:r>
    </w:p>
    <w:p w:rsidRPr="00CE4F30" w:rsidR="007C762A" w:rsidP="00B93186" w:rsidRDefault="007C762A" w14:paraId="1ABE6EB0" w14:textId="7508A674">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3.2 EVRM</w:t>
      </w:r>
    </w:p>
    <w:p w:rsidRPr="00CE4F30" w:rsidR="007C762A" w:rsidP="007C762A" w:rsidRDefault="007C762A" w14:paraId="16A9169B" w14:textId="1AAD61C1">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4. Financiële- en uitvoeringsgevolgen </w:t>
      </w:r>
    </w:p>
    <w:p w:rsidRPr="00CE4F30" w:rsidR="007C762A" w:rsidP="007C762A" w:rsidRDefault="007C762A" w14:paraId="6FD4F96B"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4.1 Tweestatusstelsel</w:t>
      </w:r>
    </w:p>
    <w:p w:rsidRPr="00CE4F30" w:rsidR="007C762A" w:rsidP="007C762A" w:rsidRDefault="007C762A" w14:paraId="06F36B23" w14:textId="77777777">
      <w:pPr>
        <w:ind w:left="708" w:firstLine="708"/>
        <w:rPr>
          <w:rFonts w:ascii="Times New Roman" w:hAnsi="Times New Roman" w:cs="Times New Roman"/>
          <w:b/>
          <w:sz w:val="24"/>
          <w:szCs w:val="24"/>
        </w:rPr>
      </w:pPr>
      <w:proofErr w:type="spellStart"/>
      <w:r w:rsidRPr="00CE4F30">
        <w:rPr>
          <w:rFonts w:ascii="Times New Roman" w:hAnsi="Times New Roman" w:cs="Times New Roman"/>
          <w:b/>
          <w:sz w:val="24"/>
          <w:szCs w:val="24"/>
        </w:rPr>
        <w:t>Artikelgewijs</w:t>
      </w:r>
      <w:proofErr w:type="spellEnd"/>
      <w:r w:rsidRPr="00CE4F30">
        <w:rPr>
          <w:rFonts w:ascii="Times New Roman" w:hAnsi="Times New Roman" w:cs="Times New Roman"/>
          <w:b/>
          <w:sz w:val="24"/>
          <w:szCs w:val="24"/>
        </w:rPr>
        <w:t xml:space="preserve"> deel </w:t>
      </w:r>
    </w:p>
    <w:p w:rsidRPr="00CE4F30" w:rsidR="007C762A" w:rsidP="007C762A" w:rsidRDefault="007C762A" w14:paraId="1C15E5C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II (samenloopbepaling)</w:t>
      </w:r>
    </w:p>
    <w:p w:rsidR="007C762A" w:rsidP="007C762A" w:rsidRDefault="007C762A" w14:paraId="0F1D553F"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III (inwerkingtreding)</w:t>
      </w:r>
    </w:p>
    <w:p w:rsidR="00984733" w:rsidP="007C762A" w:rsidRDefault="00984733" w14:paraId="4442051C" w14:textId="10BD2DBA">
      <w:pPr>
        <w:ind w:left="708" w:firstLine="708"/>
        <w:rPr>
          <w:rFonts w:ascii="Times New Roman" w:hAnsi="Times New Roman" w:cs="Times New Roman"/>
          <w:b/>
          <w:sz w:val="24"/>
          <w:szCs w:val="24"/>
        </w:rPr>
      </w:pPr>
      <w:r>
        <w:rPr>
          <w:rFonts w:ascii="Times New Roman" w:hAnsi="Times New Roman" w:cs="Times New Roman"/>
          <w:b/>
          <w:sz w:val="24"/>
          <w:szCs w:val="24"/>
        </w:rPr>
        <w:t>Overig</w:t>
      </w:r>
    </w:p>
    <w:p w:rsidR="00984733" w:rsidP="00DD6F5A" w:rsidRDefault="00984733" w14:paraId="2A4FC370" w14:textId="77777777">
      <w:pPr>
        <w:spacing w:line="280" w:lineRule="exact"/>
        <w:rPr>
          <w:rFonts w:ascii="Times New Roman" w:hAnsi="Times New Roman" w:cs="Times New Roman"/>
          <w:b/>
          <w:sz w:val="24"/>
          <w:szCs w:val="24"/>
        </w:rPr>
      </w:pPr>
    </w:p>
    <w:p w:rsidR="00984733" w:rsidP="00DD6F5A" w:rsidRDefault="00984733" w14:paraId="728B0D18" w14:textId="77777777">
      <w:pPr>
        <w:spacing w:line="280" w:lineRule="exact"/>
        <w:rPr>
          <w:rFonts w:ascii="Times New Roman" w:hAnsi="Times New Roman" w:cs="Times New Roman"/>
          <w:b/>
          <w:sz w:val="24"/>
          <w:szCs w:val="24"/>
        </w:rPr>
      </w:pPr>
    </w:p>
    <w:p w:rsidR="00984733" w:rsidP="00DD6F5A" w:rsidRDefault="00984733" w14:paraId="2E578178" w14:textId="77777777">
      <w:pPr>
        <w:spacing w:line="280" w:lineRule="exact"/>
        <w:rPr>
          <w:rFonts w:ascii="Times New Roman" w:hAnsi="Times New Roman" w:cs="Times New Roman"/>
          <w:b/>
          <w:sz w:val="24"/>
          <w:szCs w:val="24"/>
        </w:rPr>
      </w:pPr>
    </w:p>
    <w:p w:rsidRPr="00DD6F5A" w:rsidR="00117D35" w:rsidP="00DD6F5A" w:rsidRDefault="00117D35" w14:paraId="65F89E51" w14:textId="5B823C7D">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lastRenderedPageBreak/>
        <w:t>Algemeen deel</w:t>
      </w:r>
    </w:p>
    <w:p w:rsidR="00265DC8" w:rsidP="00DD6F5A" w:rsidRDefault="00117D35" w14:paraId="6C2A4688" w14:textId="3EC740E3">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1. Inleiding</w:t>
      </w:r>
    </w:p>
    <w:p w:rsidRPr="00A079CE" w:rsidR="00A079CE" w:rsidP="00A079CE" w:rsidRDefault="00A079CE" w14:paraId="219AF119" w14:textId="39CE7FAB">
      <w:pPr>
        <w:spacing w:line="257" w:lineRule="auto"/>
        <w:rPr>
          <w:rFonts w:ascii="Times New Roman" w:hAnsi="Times New Roman" w:eastAsia="Times New Roman" w:cs="Times New Roman"/>
          <w:color w:val="000000" w:themeColor="text1"/>
          <w:sz w:val="24"/>
          <w:szCs w:val="24"/>
        </w:rPr>
      </w:pPr>
      <w:r w:rsidRPr="00A079CE">
        <w:rPr>
          <w:rFonts w:ascii="Times New Roman" w:hAnsi="Times New Roman" w:eastAsia="Times New Roman" w:cs="Times New Roman"/>
          <w:color w:val="000000" w:themeColor="text1"/>
          <w:sz w:val="24"/>
          <w:szCs w:val="24"/>
        </w:rPr>
        <w:t>De leden van de GroenLinks-PvdA</w:t>
      </w:r>
      <w:r w:rsidR="0088432C">
        <w:rPr>
          <w:rFonts w:ascii="Times New Roman" w:hAnsi="Times New Roman" w:eastAsia="Times New Roman" w:cs="Times New Roman"/>
          <w:color w:val="000000" w:themeColor="text1"/>
          <w:sz w:val="24"/>
          <w:szCs w:val="24"/>
        </w:rPr>
        <w:t>-fractie</w:t>
      </w:r>
      <w:r w:rsidRPr="00A079CE">
        <w:rPr>
          <w:rFonts w:ascii="Times New Roman" w:hAnsi="Times New Roman" w:eastAsia="Times New Roman" w:cs="Times New Roman"/>
          <w:color w:val="000000" w:themeColor="text1"/>
          <w:sz w:val="24"/>
          <w:szCs w:val="24"/>
        </w:rPr>
        <w:t xml:space="preserve"> hebben met veel belangstelling kennisgenomen  </w:t>
      </w:r>
      <w:r w:rsidRPr="032DEB03" w:rsidR="00F071CD">
        <w:rPr>
          <w:rFonts w:ascii="Times New Roman" w:hAnsi="Times New Roman" w:eastAsia="Times New Roman" w:cs="Times New Roman"/>
          <w:color w:val="000000" w:themeColor="text1"/>
          <w:sz w:val="24"/>
          <w:szCs w:val="24"/>
        </w:rPr>
        <w:t xml:space="preserve">van </w:t>
      </w:r>
      <w:r w:rsidR="007F767D">
        <w:rPr>
          <w:rFonts w:ascii="Times New Roman" w:hAnsi="Times New Roman" w:eastAsia="Times New Roman" w:cs="Times New Roman"/>
          <w:color w:val="000000" w:themeColor="text1"/>
          <w:sz w:val="24"/>
          <w:szCs w:val="24"/>
        </w:rPr>
        <w:t>het advies</w:t>
      </w:r>
      <w:r w:rsidRPr="032DEB03" w:rsidR="00F071CD">
        <w:rPr>
          <w:rFonts w:ascii="Times New Roman" w:hAnsi="Times New Roman" w:eastAsia="Times New Roman" w:cs="Times New Roman"/>
          <w:color w:val="000000" w:themeColor="text1"/>
          <w:sz w:val="24"/>
          <w:szCs w:val="24"/>
        </w:rPr>
        <w:t xml:space="preserve"> van de Tijdelijke Commissie Grondrechten en Constitutionele Toetsing</w:t>
      </w:r>
      <w:r w:rsidR="00D40110">
        <w:rPr>
          <w:rFonts w:ascii="Times New Roman" w:hAnsi="Times New Roman" w:eastAsia="Times New Roman" w:cs="Times New Roman"/>
          <w:color w:val="000000" w:themeColor="text1"/>
          <w:sz w:val="24"/>
          <w:szCs w:val="24"/>
        </w:rPr>
        <w:t xml:space="preserve"> (TCGCT)</w:t>
      </w:r>
      <w:r w:rsidRPr="032DEB03" w:rsidR="00F071CD">
        <w:rPr>
          <w:rFonts w:ascii="Times New Roman" w:hAnsi="Times New Roman" w:eastAsia="Times New Roman" w:cs="Times New Roman"/>
          <w:color w:val="000000" w:themeColor="text1"/>
          <w:sz w:val="24"/>
          <w:szCs w:val="24"/>
        </w:rPr>
        <w:t xml:space="preserve"> </w:t>
      </w:r>
      <w:r w:rsidR="007F767D">
        <w:rPr>
          <w:rFonts w:ascii="Times New Roman" w:hAnsi="Times New Roman" w:eastAsia="Times New Roman" w:cs="Times New Roman"/>
          <w:color w:val="000000" w:themeColor="text1"/>
          <w:sz w:val="24"/>
          <w:szCs w:val="24"/>
        </w:rPr>
        <w:t xml:space="preserve">(Kamerstuk 36703, nr. 21) </w:t>
      </w:r>
      <w:r w:rsidRPr="032DEB03" w:rsidR="00F071CD">
        <w:rPr>
          <w:rFonts w:ascii="Times New Roman" w:hAnsi="Times New Roman" w:eastAsia="Times New Roman" w:cs="Times New Roman"/>
          <w:color w:val="000000" w:themeColor="text1"/>
          <w:sz w:val="24"/>
          <w:szCs w:val="24"/>
        </w:rPr>
        <w:t>met betrekking tot het wetsvoorstel Wet invoering tweestatusstelsel</w:t>
      </w:r>
      <w:r w:rsidR="00F071CD">
        <w:rPr>
          <w:rFonts w:ascii="Times New Roman" w:hAnsi="Times New Roman" w:eastAsia="Times New Roman" w:cs="Times New Roman"/>
          <w:color w:val="000000" w:themeColor="text1"/>
          <w:sz w:val="24"/>
          <w:szCs w:val="24"/>
        </w:rPr>
        <w:t xml:space="preserve"> (hierna: het wetsvoorstel)</w:t>
      </w:r>
      <w:r w:rsidRPr="00A079CE">
        <w:rPr>
          <w:rFonts w:ascii="Times New Roman" w:hAnsi="Times New Roman" w:eastAsia="Times New Roman" w:cs="Times New Roman"/>
          <w:color w:val="000000" w:themeColor="text1"/>
          <w:sz w:val="24"/>
          <w:szCs w:val="24"/>
        </w:rPr>
        <w:t xml:space="preserve">. Deze leden willen allereerst waardering uitspreken voor de commissie voor het uitvoering van het adviestraject. Voorts hebben deze leden enkele vragen aan de regering over de bevindingen van de commissie. </w:t>
      </w:r>
    </w:p>
    <w:p w:rsidRPr="00A079CE" w:rsidR="00A079CE" w:rsidP="00A079CE" w:rsidRDefault="0088432C" w14:paraId="50200015" w14:textId="0C223E5D">
      <w:pPr>
        <w:spacing w:line="257" w:lineRule="auto"/>
        <w:rPr>
          <w:rFonts w:ascii="Times New Roman" w:hAnsi="Times New Roman" w:eastAsia="Times New Roman" w:cs="Times New Roman"/>
          <w:color w:val="000000" w:themeColor="text1"/>
          <w:sz w:val="24"/>
          <w:szCs w:val="24"/>
        </w:rPr>
      </w:pPr>
      <w:r w:rsidRPr="00A079CE">
        <w:rPr>
          <w:rFonts w:ascii="Times New Roman" w:hAnsi="Times New Roman" w:eastAsia="Times New Roman" w:cs="Times New Roman"/>
          <w:color w:val="000000" w:themeColor="text1"/>
          <w:sz w:val="24"/>
          <w:szCs w:val="24"/>
        </w:rPr>
        <w:t>De leden van de GroenLinks-PvdA</w:t>
      </w:r>
      <w:r>
        <w:rPr>
          <w:rFonts w:ascii="Times New Roman" w:hAnsi="Times New Roman" w:eastAsia="Times New Roman" w:cs="Times New Roman"/>
          <w:color w:val="000000" w:themeColor="text1"/>
          <w:sz w:val="24"/>
          <w:szCs w:val="24"/>
        </w:rPr>
        <w:t>-fractie</w:t>
      </w:r>
      <w:r w:rsidRPr="00A079CE">
        <w:rPr>
          <w:rFonts w:ascii="Times New Roman" w:hAnsi="Times New Roman" w:eastAsia="Times New Roman" w:cs="Times New Roman"/>
          <w:color w:val="000000" w:themeColor="text1"/>
          <w:sz w:val="24"/>
          <w:szCs w:val="24"/>
        </w:rPr>
        <w:t xml:space="preserve"> </w:t>
      </w:r>
      <w:r w:rsidRPr="00A079CE" w:rsidR="00A079CE">
        <w:rPr>
          <w:rFonts w:ascii="Times New Roman" w:hAnsi="Times New Roman" w:eastAsia="Times New Roman" w:cs="Times New Roman"/>
          <w:color w:val="000000" w:themeColor="text1"/>
          <w:sz w:val="24"/>
          <w:szCs w:val="24"/>
        </w:rPr>
        <w:t xml:space="preserve">onderschrijven het advies van de </w:t>
      </w:r>
      <w:r w:rsidR="007F767D">
        <w:rPr>
          <w:rFonts w:ascii="Times New Roman" w:hAnsi="Times New Roman" w:eastAsia="Times New Roman" w:cs="Times New Roman"/>
          <w:color w:val="000000" w:themeColor="text1"/>
          <w:sz w:val="24"/>
          <w:szCs w:val="24"/>
        </w:rPr>
        <w:t>TCGCT</w:t>
      </w:r>
      <w:r w:rsidRPr="00A079CE" w:rsidR="00A079CE">
        <w:rPr>
          <w:rFonts w:ascii="Times New Roman" w:hAnsi="Times New Roman" w:eastAsia="Times New Roman" w:cs="Times New Roman"/>
          <w:color w:val="000000" w:themeColor="text1"/>
          <w:sz w:val="24"/>
          <w:szCs w:val="24"/>
        </w:rPr>
        <w:t xml:space="preserve"> dat stelt dat de regering alsnog op een adequate wijze ingaat op door de</w:t>
      </w:r>
      <w:r w:rsidR="00F071CD">
        <w:rPr>
          <w:rFonts w:ascii="Times New Roman" w:hAnsi="Times New Roman" w:eastAsia="Times New Roman" w:cs="Times New Roman"/>
          <w:color w:val="000000" w:themeColor="text1"/>
          <w:sz w:val="24"/>
          <w:szCs w:val="24"/>
        </w:rPr>
        <w:t xml:space="preserve"> Afdeling Advisering van de</w:t>
      </w:r>
      <w:r w:rsidRPr="00A079CE" w:rsidR="00A079CE">
        <w:rPr>
          <w:rFonts w:ascii="Times New Roman" w:hAnsi="Times New Roman" w:eastAsia="Times New Roman" w:cs="Times New Roman"/>
          <w:color w:val="000000" w:themeColor="text1"/>
          <w:sz w:val="24"/>
          <w:szCs w:val="24"/>
        </w:rPr>
        <w:t xml:space="preserve"> Raad van State</w:t>
      </w:r>
      <w:r w:rsidR="00F071CD">
        <w:rPr>
          <w:rFonts w:ascii="Times New Roman" w:hAnsi="Times New Roman" w:eastAsia="Times New Roman" w:cs="Times New Roman"/>
          <w:color w:val="000000" w:themeColor="text1"/>
          <w:sz w:val="24"/>
          <w:szCs w:val="24"/>
        </w:rPr>
        <w:t xml:space="preserve"> (hierna: de Afdeling)</w:t>
      </w:r>
      <w:r w:rsidRPr="00A079CE" w:rsidR="00A079CE">
        <w:rPr>
          <w:rFonts w:ascii="Times New Roman" w:hAnsi="Times New Roman" w:eastAsia="Times New Roman" w:cs="Times New Roman"/>
          <w:color w:val="000000" w:themeColor="text1"/>
          <w:sz w:val="24"/>
          <w:szCs w:val="24"/>
        </w:rPr>
        <w:t xml:space="preserve"> gesignaleerde grondrechtelijke aandachtspunten en per punt inzichtelijk maakt welke grondrechten in het geding zijn en welke belangenafweging daarbij is gemaakt. Kan de regering dit alsnog doen? Zo nee, waarom niet? </w:t>
      </w:r>
    </w:p>
    <w:p w:rsidRPr="00A079CE" w:rsidR="00A079CE" w:rsidP="00A079CE" w:rsidRDefault="0088432C" w14:paraId="76B001B6" w14:textId="4D20B6C3">
      <w:pPr>
        <w:spacing w:line="257" w:lineRule="auto"/>
        <w:rPr>
          <w:rFonts w:ascii="Times New Roman" w:hAnsi="Times New Roman" w:eastAsia="Times New Roman" w:cs="Times New Roman"/>
          <w:color w:val="000000" w:themeColor="text1"/>
          <w:sz w:val="24"/>
          <w:szCs w:val="24"/>
        </w:rPr>
      </w:pPr>
      <w:r w:rsidRPr="00A079CE">
        <w:rPr>
          <w:rFonts w:ascii="Times New Roman" w:hAnsi="Times New Roman" w:eastAsia="Times New Roman" w:cs="Times New Roman"/>
          <w:color w:val="000000" w:themeColor="text1"/>
          <w:sz w:val="24"/>
          <w:szCs w:val="24"/>
        </w:rPr>
        <w:t>De leden van de GroenLinks-PvdA</w:t>
      </w:r>
      <w:r>
        <w:rPr>
          <w:rFonts w:ascii="Times New Roman" w:hAnsi="Times New Roman" w:eastAsia="Times New Roman" w:cs="Times New Roman"/>
          <w:color w:val="000000" w:themeColor="text1"/>
          <w:sz w:val="24"/>
          <w:szCs w:val="24"/>
        </w:rPr>
        <w:t>-fractie</w:t>
      </w:r>
      <w:r w:rsidRPr="00A079CE">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vragen de regering</w:t>
      </w:r>
      <w:r w:rsidRPr="00A079CE" w:rsidR="00A079CE">
        <w:rPr>
          <w:rFonts w:ascii="Times New Roman" w:hAnsi="Times New Roman" w:eastAsia="Times New Roman" w:cs="Times New Roman"/>
          <w:color w:val="000000" w:themeColor="text1"/>
          <w:sz w:val="24"/>
          <w:szCs w:val="24"/>
        </w:rPr>
        <w:t xml:space="preserve"> toe</w:t>
      </w:r>
      <w:r>
        <w:rPr>
          <w:rFonts w:ascii="Times New Roman" w:hAnsi="Times New Roman" w:eastAsia="Times New Roman" w:cs="Times New Roman"/>
          <w:color w:val="000000" w:themeColor="text1"/>
          <w:sz w:val="24"/>
          <w:szCs w:val="24"/>
        </w:rPr>
        <w:t xml:space="preserve"> te </w:t>
      </w:r>
      <w:r w:rsidRPr="00A079CE" w:rsidR="00A079CE">
        <w:rPr>
          <w:rFonts w:ascii="Times New Roman" w:hAnsi="Times New Roman" w:eastAsia="Times New Roman" w:cs="Times New Roman"/>
          <w:color w:val="000000" w:themeColor="text1"/>
          <w:sz w:val="24"/>
          <w:szCs w:val="24"/>
        </w:rPr>
        <w:t>lichten of en hoe met het onderhavig wetsvoorstel en de nieuwe nareisvoorwaarden wordt voldaan aan de rechtspraak van het E</w:t>
      </w:r>
      <w:r w:rsidR="007F767D">
        <w:rPr>
          <w:rFonts w:ascii="Times New Roman" w:hAnsi="Times New Roman" w:eastAsia="Times New Roman" w:cs="Times New Roman"/>
          <w:color w:val="000000" w:themeColor="text1"/>
          <w:sz w:val="24"/>
          <w:szCs w:val="24"/>
        </w:rPr>
        <w:t xml:space="preserve">uropees </w:t>
      </w:r>
      <w:r w:rsidRPr="00A079CE" w:rsidR="00A079CE">
        <w:rPr>
          <w:rFonts w:ascii="Times New Roman" w:hAnsi="Times New Roman" w:eastAsia="Times New Roman" w:cs="Times New Roman"/>
          <w:color w:val="000000" w:themeColor="text1"/>
          <w:sz w:val="24"/>
          <w:szCs w:val="24"/>
        </w:rPr>
        <w:t>H</w:t>
      </w:r>
      <w:r w:rsidR="007F767D">
        <w:rPr>
          <w:rFonts w:ascii="Times New Roman" w:hAnsi="Times New Roman" w:eastAsia="Times New Roman" w:cs="Times New Roman"/>
          <w:color w:val="000000" w:themeColor="text1"/>
          <w:sz w:val="24"/>
          <w:szCs w:val="24"/>
        </w:rPr>
        <w:t xml:space="preserve">of voor de </w:t>
      </w:r>
      <w:r w:rsidRPr="00A079CE" w:rsidR="00A079CE">
        <w:rPr>
          <w:rFonts w:ascii="Times New Roman" w:hAnsi="Times New Roman" w:eastAsia="Times New Roman" w:cs="Times New Roman"/>
          <w:color w:val="000000" w:themeColor="text1"/>
          <w:sz w:val="24"/>
          <w:szCs w:val="24"/>
        </w:rPr>
        <w:t>R</w:t>
      </w:r>
      <w:r w:rsidR="007F767D">
        <w:rPr>
          <w:rFonts w:ascii="Times New Roman" w:hAnsi="Times New Roman" w:eastAsia="Times New Roman" w:cs="Times New Roman"/>
          <w:color w:val="000000" w:themeColor="text1"/>
          <w:sz w:val="24"/>
          <w:szCs w:val="24"/>
        </w:rPr>
        <w:t xml:space="preserve">echten van de </w:t>
      </w:r>
      <w:r w:rsidRPr="00A079CE" w:rsidR="00A079CE">
        <w:rPr>
          <w:rFonts w:ascii="Times New Roman" w:hAnsi="Times New Roman" w:eastAsia="Times New Roman" w:cs="Times New Roman"/>
          <w:color w:val="000000" w:themeColor="text1"/>
          <w:sz w:val="24"/>
          <w:szCs w:val="24"/>
        </w:rPr>
        <w:t>M</w:t>
      </w:r>
      <w:r w:rsidR="007F767D">
        <w:rPr>
          <w:rFonts w:ascii="Times New Roman" w:hAnsi="Times New Roman" w:eastAsia="Times New Roman" w:cs="Times New Roman"/>
          <w:color w:val="000000" w:themeColor="text1"/>
          <w:sz w:val="24"/>
          <w:szCs w:val="24"/>
        </w:rPr>
        <w:t>ens (</w:t>
      </w:r>
      <w:r w:rsidRPr="00A079CE" w:rsidR="00A079CE">
        <w:rPr>
          <w:rFonts w:ascii="Times New Roman" w:hAnsi="Times New Roman" w:eastAsia="Times New Roman" w:cs="Times New Roman"/>
          <w:color w:val="000000" w:themeColor="text1"/>
          <w:sz w:val="24"/>
          <w:szCs w:val="24"/>
        </w:rPr>
        <w:t>EHRM</w:t>
      </w:r>
      <w:r w:rsidR="007F767D">
        <w:rPr>
          <w:rFonts w:ascii="Times New Roman" w:hAnsi="Times New Roman" w:eastAsia="Times New Roman" w:cs="Times New Roman"/>
          <w:color w:val="000000" w:themeColor="text1"/>
          <w:sz w:val="24"/>
          <w:szCs w:val="24"/>
        </w:rPr>
        <w:t>)</w:t>
      </w:r>
      <w:r w:rsidRPr="00A079CE" w:rsidR="00A079CE">
        <w:rPr>
          <w:rFonts w:ascii="Times New Roman" w:hAnsi="Times New Roman" w:eastAsia="Times New Roman" w:cs="Times New Roman"/>
          <w:color w:val="000000" w:themeColor="text1"/>
          <w:sz w:val="24"/>
          <w:szCs w:val="24"/>
        </w:rPr>
        <w:t xml:space="preserve"> waarbij blijkt dat het recht op eerbiediging van het gezinsleven moet worden verzekerd door staten op een manier die het recht praktisch en effectief maakt en niet theoretisch of denkbeeldig. Biedt volgens de regering de nationale besluitvormingsprocedure voor gezinshereniging met deze wetswijziging garanties voor flexibiliteit, snelheid en effectiviteit om het recht op eerbiediging van het familieleven onder artikel 8 EVRM te verzekeren. Zo ja, op welke wijze? Zo nee, welke aanpassingen zijn daarvoor nodig? Kan de regering alsnog specifiek ingaan op de kritiek van de </w:t>
      </w:r>
      <w:r w:rsidR="007F767D">
        <w:rPr>
          <w:rFonts w:ascii="Times New Roman" w:hAnsi="Times New Roman" w:eastAsia="Times New Roman" w:cs="Times New Roman"/>
          <w:color w:val="000000" w:themeColor="text1"/>
          <w:sz w:val="24"/>
          <w:szCs w:val="24"/>
        </w:rPr>
        <w:t>Afdeling</w:t>
      </w:r>
      <w:r w:rsidRPr="00A079CE" w:rsidR="00A079CE">
        <w:rPr>
          <w:rFonts w:ascii="Times New Roman" w:hAnsi="Times New Roman" w:eastAsia="Times New Roman" w:cs="Times New Roman"/>
          <w:color w:val="000000" w:themeColor="text1"/>
          <w:sz w:val="24"/>
          <w:szCs w:val="24"/>
        </w:rPr>
        <w:t xml:space="preserve"> over de disproportionaliteit van de wachttermijn van twee jaar voor alleenstaande minderjarige vreemdelingen? Zo nee, waarom niet?</w:t>
      </w:r>
    </w:p>
    <w:p w:rsidR="00CE358C" w:rsidP="00121E58" w:rsidRDefault="0088432C" w14:paraId="3BCB2AEC" w14:textId="543C5D57">
      <w:pPr>
        <w:spacing w:line="257" w:lineRule="auto"/>
        <w:rPr>
          <w:rFonts w:ascii="Times New Roman" w:hAnsi="Times New Roman" w:eastAsia="Times New Roman" w:cs="Times New Roman"/>
          <w:color w:val="000000" w:themeColor="text1"/>
          <w:sz w:val="24"/>
          <w:szCs w:val="24"/>
        </w:rPr>
      </w:pPr>
      <w:r w:rsidRPr="00A079CE">
        <w:rPr>
          <w:rFonts w:ascii="Times New Roman" w:hAnsi="Times New Roman" w:eastAsia="Times New Roman" w:cs="Times New Roman"/>
          <w:color w:val="000000" w:themeColor="text1"/>
          <w:sz w:val="24"/>
          <w:szCs w:val="24"/>
        </w:rPr>
        <w:t>De leden van de GroenLinks-PvdA</w:t>
      </w:r>
      <w:r>
        <w:rPr>
          <w:rFonts w:ascii="Times New Roman" w:hAnsi="Times New Roman" w:eastAsia="Times New Roman" w:cs="Times New Roman"/>
          <w:color w:val="000000" w:themeColor="text1"/>
          <w:sz w:val="24"/>
          <w:szCs w:val="24"/>
        </w:rPr>
        <w:t>-fractie</w:t>
      </w:r>
      <w:r w:rsidRPr="00A079CE">
        <w:rPr>
          <w:rFonts w:ascii="Times New Roman" w:hAnsi="Times New Roman" w:eastAsia="Times New Roman" w:cs="Times New Roman"/>
          <w:color w:val="000000" w:themeColor="text1"/>
          <w:sz w:val="24"/>
          <w:szCs w:val="24"/>
        </w:rPr>
        <w:t xml:space="preserve"> </w:t>
      </w:r>
      <w:r w:rsidRPr="00A079CE" w:rsidR="00A079CE">
        <w:rPr>
          <w:rFonts w:ascii="Times New Roman" w:hAnsi="Times New Roman" w:eastAsia="Times New Roman" w:cs="Times New Roman"/>
          <w:color w:val="000000" w:themeColor="text1"/>
          <w:sz w:val="24"/>
          <w:szCs w:val="24"/>
        </w:rPr>
        <w:t xml:space="preserve">constateren dat ook de </w:t>
      </w:r>
      <w:r w:rsidR="007F767D">
        <w:rPr>
          <w:rFonts w:ascii="Times New Roman" w:hAnsi="Times New Roman" w:eastAsia="Times New Roman" w:cs="Times New Roman"/>
          <w:color w:val="000000" w:themeColor="text1"/>
          <w:sz w:val="24"/>
          <w:szCs w:val="24"/>
        </w:rPr>
        <w:t>TCGCT</w:t>
      </w:r>
      <w:r w:rsidRPr="00A079CE" w:rsidR="00A079CE">
        <w:rPr>
          <w:rFonts w:ascii="Times New Roman" w:hAnsi="Times New Roman" w:eastAsia="Times New Roman" w:cs="Times New Roman"/>
          <w:color w:val="000000" w:themeColor="text1"/>
          <w:sz w:val="24"/>
          <w:szCs w:val="24"/>
        </w:rPr>
        <w:t xml:space="preserve"> grote bedenkingen heeft bij het directe inwerkingtreden van onderhavig wetsvoorstel. Kan de regering bij deze keuze alsnog ingaan op het belang van rechtszekerheid en het recht op gelijke behandeling? Kan de regering reageren op de interpretatie van de Gezinsherenigingsrichtlijn door het Hof van Justitie van de EU dat het indruist tegen de beginselen van rechtszekerheid en gelijke behandeling wanneer tijdverloop dat door een lidstaat is veroorzaakt, bij de behandeling van een aanvraag wordt aangerekend aan een statushouder? Erkent de regering dat met de directe inwerkingtreding van het wetsvoorstel ze haaks handelt met deze interpretatie? Zo nee, waarom niet?</w:t>
      </w:r>
    </w:p>
    <w:p w:rsidR="00CE358C" w:rsidP="00121E58" w:rsidRDefault="00CE358C" w14:paraId="69F23299" w14:textId="7A751ADE">
      <w:pPr>
        <w:spacing w:line="257" w:lineRule="auto"/>
        <w:rPr>
          <w:rFonts w:ascii="Times New Roman" w:hAnsi="Times New Roman" w:eastAsia="Times New Roman" w:cs="Times New Roman"/>
          <w:color w:val="000000" w:themeColor="text1"/>
          <w:sz w:val="24"/>
          <w:szCs w:val="24"/>
        </w:rPr>
      </w:pPr>
      <w:r w:rsidRPr="00CE358C">
        <w:rPr>
          <w:rFonts w:ascii="Times New Roman" w:hAnsi="Times New Roman" w:eastAsia="Times New Roman" w:cs="Times New Roman"/>
          <w:color w:val="000000" w:themeColor="text1"/>
          <w:sz w:val="24"/>
          <w:szCs w:val="24"/>
        </w:rPr>
        <w:t xml:space="preserve">De </w:t>
      </w:r>
      <w:r>
        <w:rPr>
          <w:rFonts w:ascii="Times New Roman" w:hAnsi="Times New Roman" w:eastAsia="Times New Roman" w:cs="Times New Roman"/>
          <w:color w:val="000000" w:themeColor="text1"/>
          <w:sz w:val="24"/>
          <w:szCs w:val="24"/>
        </w:rPr>
        <w:t>l</w:t>
      </w:r>
      <w:r w:rsidRPr="00CE358C">
        <w:rPr>
          <w:rFonts w:ascii="Times New Roman" w:hAnsi="Times New Roman" w:eastAsia="Times New Roman" w:cs="Times New Roman"/>
          <w:color w:val="000000" w:themeColor="text1"/>
          <w:sz w:val="24"/>
          <w:szCs w:val="24"/>
        </w:rPr>
        <w:t xml:space="preserve">eden van de </w:t>
      </w:r>
      <w:r>
        <w:rPr>
          <w:rFonts w:ascii="Times New Roman" w:hAnsi="Times New Roman" w:eastAsia="Times New Roman" w:cs="Times New Roman"/>
          <w:color w:val="000000" w:themeColor="text1"/>
          <w:sz w:val="24"/>
          <w:szCs w:val="24"/>
        </w:rPr>
        <w:t>NSC-</w:t>
      </w:r>
      <w:r w:rsidRPr="00CE358C">
        <w:rPr>
          <w:rFonts w:ascii="Times New Roman" w:hAnsi="Times New Roman" w:eastAsia="Times New Roman" w:cs="Times New Roman"/>
          <w:color w:val="000000" w:themeColor="text1"/>
          <w:sz w:val="24"/>
          <w:szCs w:val="24"/>
        </w:rPr>
        <w:t xml:space="preserve">fractie hebben wederom met grote belangstelling kennisgenomen van het wetsvoorstel en danken ook de leden van de </w:t>
      </w:r>
      <w:r w:rsidR="00D40110">
        <w:rPr>
          <w:rFonts w:ascii="Times New Roman" w:hAnsi="Times New Roman" w:eastAsia="Times New Roman" w:cs="Times New Roman"/>
          <w:color w:val="000000" w:themeColor="text1"/>
          <w:sz w:val="24"/>
          <w:szCs w:val="24"/>
        </w:rPr>
        <w:t>TCGCT</w:t>
      </w:r>
      <w:r w:rsidRPr="00CE358C" w:rsidR="00D40110">
        <w:rPr>
          <w:rFonts w:ascii="Times New Roman" w:hAnsi="Times New Roman" w:eastAsia="Times New Roman" w:cs="Times New Roman"/>
          <w:color w:val="000000" w:themeColor="text1"/>
          <w:sz w:val="24"/>
          <w:szCs w:val="24"/>
        </w:rPr>
        <w:t xml:space="preserve"> </w:t>
      </w:r>
      <w:r w:rsidRPr="00CE358C">
        <w:rPr>
          <w:rFonts w:ascii="Times New Roman" w:hAnsi="Times New Roman" w:eastAsia="Times New Roman" w:cs="Times New Roman"/>
          <w:color w:val="000000" w:themeColor="text1"/>
          <w:sz w:val="24"/>
          <w:szCs w:val="24"/>
        </w:rPr>
        <w:t xml:space="preserve">voor hun </w:t>
      </w:r>
      <w:r w:rsidR="007F767D">
        <w:rPr>
          <w:rFonts w:ascii="Times New Roman" w:hAnsi="Times New Roman" w:eastAsia="Times New Roman" w:cs="Times New Roman"/>
          <w:color w:val="000000" w:themeColor="text1"/>
          <w:sz w:val="24"/>
          <w:szCs w:val="24"/>
        </w:rPr>
        <w:t>advies</w:t>
      </w:r>
      <w:r w:rsidRPr="00CE358C">
        <w:rPr>
          <w:rFonts w:ascii="Times New Roman" w:hAnsi="Times New Roman" w:eastAsia="Times New Roman" w:cs="Times New Roman"/>
          <w:color w:val="000000" w:themeColor="text1"/>
          <w:sz w:val="24"/>
          <w:szCs w:val="24"/>
        </w:rPr>
        <w:t>.</w:t>
      </w:r>
    </w:p>
    <w:p w:rsidR="00121E58" w:rsidP="00121E58" w:rsidRDefault="00121E58" w14:paraId="43814A48" w14:textId="24678458">
      <w:pPr>
        <w:spacing w:line="257" w:lineRule="auto"/>
        <w:rPr>
          <w:rFonts w:ascii="Times New Roman" w:hAnsi="Times New Roman" w:eastAsia="Times New Roman" w:cs="Times New Roman"/>
        </w:rPr>
      </w:pPr>
      <w:r w:rsidRPr="032DEB03">
        <w:rPr>
          <w:rFonts w:ascii="Times New Roman" w:hAnsi="Times New Roman" w:eastAsia="Times New Roman" w:cs="Times New Roman"/>
          <w:color w:val="000000" w:themeColor="text1"/>
          <w:sz w:val="24"/>
          <w:szCs w:val="24"/>
        </w:rPr>
        <w:t xml:space="preserve">De leden van de D66-fractie hebben kennisgenomen van </w:t>
      </w:r>
      <w:r w:rsidR="00F00EE8">
        <w:rPr>
          <w:rFonts w:ascii="Times New Roman" w:hAnsi="Times New Roman" w:eastAsia="Times New Roman" w:cs="Times New Roman"/>
          <w:color w:val="000000" w:themeColor="text1"/>
          <w:sz w:val="24"/>
          <w:szCs w:val="24"/>
        </w:rPr>
        <w:t>het advies</w:t>
      </w:r>
      <w:r w:rsidRPr="032DEB03">
        <w:rPr>
          <w:rFonts w:ascii="Times New Roman" w:hAnsi="Times New Roman" w:eastAsia="Times New Roman" w:cs="Times New Roman"/>
          <w:color w:val="000000" w:themeColor="text1"/>
          <w:sz w:val="24"/>
          <w:szCs w:val="24"/>
        </w:rPr>
        <w:t xml:space="preserve"> van de </w:t>
      </w:r>
      <w:r w:rsidR="00F00EE8">
        <w:rPr>
          <w:rFonts w:ascii="Times New Roman" w:hAnsi="Times New Roman" w:eastAsia="Times New Roman" w:cs="Times New Roman"/>
          <w:color w:val="000000" w:themeColor="text1"/>
          <w:sz w:val="24"/>
          <w:szCs w:val="24"/>
        </w:rPr>
        <w:t>TCGCT</w:t>
      </w:r>
      <w:r w:rsidRPr="032DEB03">
        <w:rPr>
          <w:rFonts w:ascii="Times New Roman" w:hAnsi="Times New Roman" w:eastAsia="Times New Roman" w:cs="Times New Roman"/>
          <w:color w:val="000000" w:themeColor="text1"/>
          <w:sz w:val="24"/>
          <w:szCs w:val="24"/>
        </w:rPr>
        <w:t xml:space="preserve"> met betrekking tot het wetsvoorstel Wet invoering tweestatusstelsel</w:t>
      </w:r>
      <w:r w:rsidR="00F00EE8">
        <w:rPr>
          <w:rFonts w:ascii="Times New Roman" w:hAnsi="Times New Roman" w:eastAsia="Times New Roman" w:cs="Times New Roman"/>
          <w:color w:val="000000" w:themeColor="text1"/>
          <w:sz w:val="24"/>
          <w:szCs w:val="24"/>
        </w:rPr>
        <w:t>.</w:t>
      </w:r>
      <w:r w:rsidRPr="032DEB03">
        <w:rPr>
          <w:rFonts w:ascii="Times New Roman" w:hAnsi="Times New Roman" w:eastAsia="Times New Roman" w:cs="Times New Roman"/>
          <w:color w:val="000000" w:themeColor="text1"/>
          <w:sz w:val="24"/>
          <w:szCs w:val="24"/>
        </w:rPr>
        <w:t xml:space="preserve"> Zij hechten er grote waarde aan de regering te bevragen over de adviezen van deze tijdelijke commissie.</w:t>
      </w:r>
    </w:p>
    <w:p w:rsidR="00121E58" w:rsidP="00121E58" w:rsidRDefault="00121E58" w14:paraId="520B8F96" w14:textId="5C6C01C1">
      <w:pPr>
        <w:spacing w:line="257" w:lineRule="auto"/>
        <w:rPr>
          <w:rFonts w:ascii="Times New Roman" w:hAnsi="Times New Roman" w:eastAsia="Times New Roman" w:cs="Times New Roman"/>
          <w:color w:val="000000" w:themeColor="text1"/>
        </w:rPr>
      </w:pPr>
      <w:r w:rsidRPr="032DEB03">
        <w:rPr>
          <w:rFonts w:ascii="Times New Roman" w:hAnsi="Times New Roman" w:eastAsia="Times New Roman" w:cs="Times New Roman"/>
          <w:color w:val="000000" w:themeColor="text1"/>
          <w:sz w:val="24"/>
          <w:szCs w:val="24"/>
        </w:rPr>
        <w:t>Daarnaast vragen zij de regering enkele documenten met de Kamer te delen</w:t>
      </w:r>
      <w:r w:rsidR="00C62056">
        <w:rPr>
          <w:rFonts w:ascii="Times New Roman" w:hAnsi="Times New Roman" w:eastAsia="Times New Roman" w:cs="Times New Roman"/>
          <w:color w:val="000000" w:themeColor="text1"/>
          <w:sz w:val="24"/>
          <w:szCs w:val="24"/>
        </w:rPr>
        <w:t>, te weten de volgende documenten</w:t>
      </w:r>
      <w:r w:rsidRPr="032DEB03">
        <w:rPr>
          <w:rFonts w:ascii="Times New Roman" w:hAnsi="Times New Roman" w:eastAsia="Times New Roman" w:cs="Times New Roman"/>
          <w:color w:val="000000" w:themeColor="text1"/>
          <w:sz w:val="24"/>
          <w:szCs w:val="24"/>
        </w:rPr>
        <w:t>:</w:t>
      </w:r>
    </w:p>
    <w:p w:rsidR="00121E58" w:rsidP="00121E58" w:rsidRDefault="00121E58" w14:paraId="209048C2" w14:textId="77777777">
      <w:pPr>
        <w:pStyle w:val="Lijstalinea"/>
        <w:numPr>
          <w:ilvl w:val="0"/>
          <w:numId w:val="9"/>
        </w:numPr>
        <w:spacing w:line="257" w:lineRule="auto"/>
        <w:rPr>
          <w:rFonts w:ascii="Times New Roman" w:hAnsi="Times New Roman" w:eastAsia="Times New Roman" w:cs="Times New Roman"/>
          <w:color w:val="000000" w:themeColor="text1"/>
        </w:rPr>
      </w:pPr>
      <w:r w:rsidRPr="032DEB03">
        <w:rPr>
          <w:rFonts w:ascii="Times New Roman" w:hAnsi="Times New Roman" w:eastAsia="Times New Roman" w:cs="Times New Roman"/>
          <w:color w:val="000000" w:themeColor="text1"/>
          <w:sz w:val="24"/>
          <w:szCs w:val="24"/>
        </w:rPr>
        <w:t>Nota’s DMB, bijlage 4 bij de beslisnota van 22 november 2024 (2025D09786)</w:t>
      </w:r>
    </w:p>
    <w:p w:rsidR="00121E58" w:rsidP="00121E58" w:rsidRDefault="00121E58" w14:paraId="5A43F718" w14:textId="77777777">
      <w:pPr>
        <w:pStyle w:val="Lijstalinea"/>
        <w:numPr>
          <w:ilvl w:val="0"/>
          <w:numId w:val="9"/>
        </w:numPr>
        <w:spacing w:line="257" w:lineRule="auto"/>
        <w:rPr>
          <w:rFonts w:ascii="Times New Roman" w:hAnsi="Times New Roman" w:eastAsia="Times New Roman" w:cs="Times New Roman"/>
          <w:color w:val="000000" w:themeColor="text1"/>
        </w:rPr>
      </w:pPr>
      <w:r w:rsidRPr="032DEB03">
        <w:rPr>
          <w:rFonts w:ascii="Times New Roman" w:hAnsi="Times New Roman" w:eastAsia="Times New Roman" w:cs="Times New Roman"/>
          <w:color w:val="000000" w:themeColor="text1"/>
          <w:sz w:val="24"/>
          <w:szCs w:val="24"/>
        </w:rPr>
        <w:lastRenderedPageBreak/>
        <w:t>Resultaat wetgevingstoets, bijlage 5 bij de beslisnota van 9 december 2024 (2025D09785)</w:t>
      </w:r>
    </w:p>
    <w:p w:rsidR="00121E58" w:rsidP="00121E58" w:rsidRDefault="00121E58" w14:paraId="7C6B2B88" w14:textId="77777777">
      <w:pPr>
        <w:pStyle w:val="Lijstalinea"/>
        <w:numPr>
          <w:ilvl w:val="0"/>
          <w:numId w:val="9"/>
        </w:numPr>
        <w:spacing w:line="257" w:lineRule="auto"/>
        <w:rPr>
          <w:rFonts w:ascii="Times New Roman" w:hAnsi="Times New Roman" w:eastAsia="Times New Roman" w:cs="Times New Roman"/>
          <w:color w:val="000000" w:themeColor="text1"/>
        </w:rPr>
      </w:pPr>
      <w:r w:rsidRPr="032DEB03">
        <w:rPr>
          <w:rFonts w:ascii="Times New Roman" w:hAnsi="Times New Roman" w:eastAsia="Times New Roman" w:cs="Times New Roman"/>
          <w:color w:val="000000" w:themeColor="text1"/>
          <w:sz w:val="24"/>
          <w:szCs w:val="24"/>
        </w:rPr>
        <w:t>Advies WO3.24.00362, bijlage 2 bij de beslisnota van 14 februari 2025 (2025D09835)</w:t>
      </w:r>
    </w:p>
    <w:p w:rsidR="00121E58" w:rsidP="00C62056" w:rsidRDefault="00121E58" w14:paraId="1FDEC7DD" w14:textId="44B269F8">
      <w:pPr>
        <w:spacing w:line="257" w:lineRule="auto"/>
        <w:rPr>
          <w:rFonts w:ascii="Times New Roman" w:hAnsi="Times New Roman" w:eastAsia="Times New Roman" w:cs="Times New Roman"/>
          <w:color w:val="000000" w:themeColor="text1"/>
          <w:sz w:val="24"/>
          <w:szCs w:val="24"/>
        </w:rPr>
      </w:pPr>
      <w:r w:rsidRPr="00121E58">
        <w:rPr>
          <w:rFonts w:ascii="Times New Roman" w:hAnsi="Times New Roman" w:eastAsia="Times New Roman" w:cs="Times New Roman"/>
          <w:color w:val="000000" w:themeColor="text1"/>
          <w:sz w:val="24"/>
          <w:szCs w:val="24"/>
        </w:rPr>
        <w:t xml:space="preserve">De leden van de D66-fractie lezen dat de TCGCT de regering en Staten-Generaal als wetgever wijst op hun verantwoordelijkheid om wetgeving in overeenstemming met grondrechten te houden. Zij scharen zich achter de verontrustende constatering van de TCGCT dat de regering desondanks niet het belang toelicht van degene wiens grondrechten worden geraakt in de memorie van toelichting. Deze leden vragen de regering of zij moeten concluderen dat de regering geen belangenafweging met betrekking tot grondrechten heeft gemaakt. </w:t>
      </w:r>
      <w:r w:rsidR="00C62056">
        <w:rPr>
          <w:rFonts w:ascii="Times New Roman" w:hAnsi="Times New Roman" w:eastAsia="Times New Roman" w:cs="Times New Roman"/>
          <w:color w:val="000000" w:themeColor="text1"/>
          <w:sz w:val="24"/>
          <w:szCs w:val="24"/>
        </w:rPr>
        <w:t>Voornoemde</w:t>
      </w:r>
      <w:r w:rsidRPr="00121E58">
        <w:rPr>
          <w:rFonts w:ascii="Times New Roman" w:hAnsi="Times New Roman" w:eastAsia="Times New Roman" w:cs="Times New Roman"/>
          <w:color w:val="000000" w:themeColor="text1"/>
          <w:sz w:val="24"/>
          <w:szCs w:val="24"/>
        </w:rPr>
        <w:t xml:space="preserve"> leden vragen de regering uiteen te zetten hoe deze werkwijze te verenigen is met het expliciete uitgangspunt in het regeerprogramma om grondrechten te borgen en een prominentere rol te geven. Ook verzoeken zij de regering met klem om deze belangenafweging desalniettemin te maken en te delen.</w:t>
      </w:r>
    </w:p>
    <w:p w:rsidRPr="007B34B1" w:rsidR="00C87390" w:rsidP="00C87390" w:rsidRDefault="00C87390" w14:paraId="1070F574" w14:textId="5E251FB3">
      <w:pPr>
        <w:spacing w:line="257" w:lineRule="auto"/>
        <w:rPr>
          <w:rFonts w:ascii="Times New Roman" w:hAnsi="Times New Roman" w:eastAsia="Times New Roman" w:cs="Times New Roman"/>
          <w:sz w:val="24"/>
          <w:szCs w:val="24"/>
        </w:rPr>
      </w:pPr>
      <w:r w:rsidRPr="007B34B1">
        <w:rPr>
          <w:rFonts w:ascii="Times New Roman" w:hAnsi="Times New Roman" w:eastAsia="Times New Roman" w:cs="Times New Roman"/>
          <w:sz w:val="24"/>
          <w:szCs w:val="24"/>
        </w:rPr>
        <w:t>De leden van de BBB</w:t>
      </w:r>
      <w:r>
        <w:rPr>
          <w:rFonts w:ascii="Times New Roman" w:hAnsi="Times New Roman" w:eastAsia="Times New Roman" w:cs="Times New Roman"/>
          <w:sz w:val="24"/>
          <w:szCs w:val="24"/>
        </w:rPr>
        <w:t>-fractie</w:t>
      </w:r>
      <w:r w:rsidRPr="007B34B1">
        <w:rPr>
          <w:rFonts w:ascii="Times New Roman" w:hAnsi="Times New Roman" w:eastAsia="Times New Roman" w:cs="Times New Roman"/>
          <w:sz w:val="24"/>
          <w:szCs w:val="24"/>
        </w:rPr>
        <w:t xml:space="preserve"> hebben kennisgenomen van</w:t>
      </w:r>
      <w:r w:rsidRPr="76881716">
        <w:rPr>
          <w:rFonts w:ascii="Times New Roman" w:hAnsi="Times New Roman" w:eastAsia="Times New Roman" w:cs="Times New Roman"/>
          <w:sz w:val="24"/>
          <w:szCs w:val="24"/>
        </w:rPr>
        <w:t xml:space="preserve"> </w:t>
      </w:r>
      <w:r w:rsidR="00F00EE8">
        <w:rPr>
          <w:rFonts w:ascii="Times New Roman" w:hAnsi="Times New Roman" w:eastAsia="Times New Roman" w:cs="Times New Roman"/>
          <w:sz w:val="24"/>
          <w:szCs w:val="24"/>
        </w:rPr>
        <w:t>het advies</w:t>
      </w:r>
      <w:r w:rsidRPr="76881716">
        <w:rPr>
          <w:rFonts w:ascii="Times New Roman" w:hAnsi="Times New Roman" w:eastAsia="Times New Roman" w:cs="Times New Roman"/>
          <w:sz w:val="24"/>
          <w:szCs w:val="24"/>
        </w:rPr>
        <w:t xml:space="preserve"> van de TCGCT met betrekking tot het wetsvoorstel</w:t>
      </w:r>
      <w:r w:rsidRPr="007B34B1">
        <w:rPr>
          <w:rFonts w:ascii="Times New Roman" w:hAnsi="Times New Roman" w:eastAsia="Times New Roman" w:cs="Times New Roman"/>
          <w:sz w:val="24"/>
          <w:szCs w:val="24"/>
        </w:rPr>
        <w:t>. Hier zijn geen vragen over.</w:t>
      </w:r>
    </w:p>
    <w:p w:rsidRPr="00FE0732" w:rsidR="001B4D58" w:rsidP="001B4D58" w:rsidRDefault="001B4D58" w14:paraId="33B5A7E2" w14:textId="09D92AB2">
      <w:pPr>
        <w:rPr>
          <w:rFonts w:ascii="Times New Roman" w:hAnsi="Times New Roman" w:cs="Times New Roman"/>
          <w:b/>
          <w:bCs/>
          <w:sz w:val="24"/>
          <w:szCs w:val="24"/>
        </w:rPr>
      </w:pPr>
      <w:r w:rsidRPr="00FE0732">
        <w:rPr>
          <w:rFonts w:ascii="Times New Roman" w:hAnsi="Times New Roman" w:cs="Times New Roman"/>
          <w:sz w:val="24"/>
          <w:szCs w:val="24"/>
        </w:rPr>
        <w:t xml:space="preserve">De leden van de SP-fractie hebben kennisgenomen van </w:t>
      </w:r>
      <w:r w:rsidR="00C87390">
        <w:rPr>
          <w:rFonts w:ascii="Times New Roman" w:hAnsi="Times New Roman" w:cs="Times New Roman"/>
          <w:sz w:val="24"/>
          <w:szCs w:val="24"/>
        </w:rPr>
        <w:t>het wetsvoorstel</w:t>
      </w:r>
      <w:r w:rsidRPr="00FE0732">
        <w:rPr>
          <w:rFonts w:ascii="Times New Roman" w:hAnsi="Times New Roman" w:cs="Times New Roman"/>
          <w:sz w:val="24"/>
          <w:szCs w:val="24"/>
        </w:rPr>
        <w:t xml:space="preserve"> en hebben hierover, in verband met </w:t>
      </w:r>
      <w:r w:rsidR="00C62056">
        <w:rPr>
          <w:rFonts w:ascii="Times New Roman" w:hAnsi="Times New Roman" w:cs="Times New Roman"/>
          <w:sz w:val="24"/>
          <w:szCs w:val="24"/>
        </w:rPr>
        <w:t>het advies</w:t>
      </w:r>
      <w:r w:rsidRPr="00FE0732">
        <w:rPr>
          <w:rFonts w:ascii="Times New Roman" w:hAnsi="Times New Roman" w:cs="Times New Roman"/>
          <w:sz w:val="24"/>
          <w:szCs w:val="24"/>
        </w:rPr>
        <w:t xml:space="preserve"> van de TCGCT, nadere vragen aan de regering. </w:t>
      </w:r>
    </w:p>
    <w:p w:rsidR="001B4D58" w:rsidP="00F84A8D" w:rsidRDefault="001B4D58" w14:paraId="5ECE8448" w14:textId="085A5158">
      <w:pPr>
        <w:rPr>
          <w:rFonts w:ascii="Times New Roman" w:hAnsi="Times New Roman" w:cs="Times New Roman"/>
          <w:sz w:val="24"/>
          <w:szCs w:val="24"/>
        </w:rPr>
      </w:pPr>
      <w:r w:rsidRPr="00FE0732">
        <w:rPr>
          <w:rFonts w:ascii="Times New Roman" w:hAnsi="Times New Roman" w:cs="Times New Roman"/>
          <w:sz w:val="24"/>
          <w:szCs w:val="24"/>
        </w:rPr>
        <w:t xml:space="preserve">De leden van de SP-fractie vragen allereerst de regering om nog eens heel precies toe te lichten wat er aan het wetsvoorstel is gewijzigd naar aanleiding van de scherpe kritiek en de grondrechtelijke aandachtspunten </w:t>
      </w:r>
      <w:r w:rsidRPr="00F071CD">
        <w:rPr>
          <w:rFonts w:ascii="Times New Roman" w:hAnsi="Times New Roman" w:cs="Times New Roman"/>
          <w:sz w:val="24"/>
          <w:szCs w:val="24"/>
        </w:rPr>
        <w:t>van de Afdeling.</w:t>
      </w:r>
      <w:r w:rsidRPr="00FE0732">
        <w:rPr>
          <w:rFonts w:ascii="Times New Roman" w:hAnsi="Times New Roman" w:cs="Times New Roman"/>
          <w:sz w:val="24"/>
          <w:szCs w:val="24"/>
        </w:rPr>
        <w:t xml:space="preserve"> </w:t>
      </w:r>
    </w:p>
    <w:p w:rsidR="00C25B61" w:rsidP="00DD6F5A" w:rsidRDefault="00C25B61" w14:paraId="5FD901C1" w14:textId="77777777">
      <w:pPr>
        <w:spacing w:line="280" w:lineRule="exact"/>
        <w:rPr>
          <w:rFonts w:ascii="Times New Roman" w:hAnsi="Times New Roman" w:cs="Times New Roman"/>
          <w:b/>
          <w:sz w:val="24"/>
          <w:szCs w:val="24"/>
        </w:rPr>
      </w:pPr>
    </w:p>
    <w:p w:rsidRPr="00DD6F5A" w:rsidR="00117D35" w:rsidP="00DD6F5A" w:rsidRDefault="00117D35" w14:paraId="5B6E978F" w14:textId="4BC1AB64">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2. Aanleiding en hoofdlijnen </w:t>
      </w:r>
    </w:p>
    <w:p w:rsidR="001B4D58" w:rsidP="00DD6F5A" w:rsidRDefault="00117D35" w14:paraId="09CA29E4" w14:textId="07100EA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2.1 Tweestatusstelsel</w:t>
      </w:r>
    </w:p>
    <w:p w:rsidRPr="00CC4BFD" w:rsidR="001B4D58" w:rsidP="001B4D58" w:rsidRDefault="001B4D58" w14:paraId="4B395A8D" w14:textId="291491FC">
      <w:pPr>
        <w:rPr>
          <w:rFonts w:ascii="Times New Roman" w:hAnsi="Times New Roman" w:cs="Times New Roman"/>
          <w:sz w:val="24"/>
          <w:szCs w:val="24"/>
        </w:rPr>
      </w:pPr>
      <w:r w:rsidRPr="00CC4BFD">
        <w:rPr>
          <w:rFonts w:ascii="Times New Roman" w:hAnsi="Times New Roman" w:cs="Times New Roman"/>
          <w:sz w:val="24"/>
          <w:szCs w:val="24"/>
        </w:rPr>
        <w:t xml:space="preserve">De </w:t>
      </w:r>
      <w:r w:rsidR="00C62056">
        <w:rPr>
          <w:rFonts w:ascii="Times New Roman" w:hAnsi="Times New Roman" w:cs="Times New Roman"/>
          <w:sz w:val="24"/>
          <w:szCs w:val="24"/>
        </w:rPr>
        <w:t xml:space="preserve">leden van de SP-fractie constateren dat de </w:t>
      </w:r>
      <w:r w:rsidRPr="00CC4BFD">
        <w:rPr>
          <w:rFonts w:ascii="Times New Roman" w:hAnsi="Times New Roman" w:cs="Times New Roman"/>
          <w:sz w:val="24"/>
          <w:szCs w:val="24"/>
        </w:rPr>
        <w:t xml:space="preserve">regering vooral in algemene zin </w:t>
      </w:r>
      <w:r w:rsidR="00C62056">
        <w:rPr>
          <w:rFonts w:ascii="Times New Roman" w:hAnsi="Times New Roman" w:cs="Times New Roman"/>
          <w:sz w:val="24"/>
          <w:szCs w:val="24"/>
        </w:rPr>
        <w:t xml:space="preserve">stelt </w:t>
      </w:r>
      <w:r w:rsidRPr="00CC4BFD">
        <w:rPr>
          <w:rFonts w:ascii="Times New Roman" w:hAnsi="Times New Roman" w:cs="Times New Roman"/>
          <w:sz w:val="24"/>
          <w:szCs w:val="24"/>
        </w:rPr>
        <w:t>dat de voorgestelde maatregelen geen grondrechtenschendingen tot gevolg mogen hebben. Is de regering alsnog bereid heel precies per maatregel te onderbouwen hoe dat nou precies wordt voorkomen?</w:t>
      </w:r>
    </w:p>
    <w:p w:rsidRPr="00CC4BFD" w:rsidR="001B4D58" w:rsidP="001B4D58" w:rsidRDefault="00C87390" w14:paraId="0F56CE29" w14:textId="478619CB">
      <w:pPr>
        <w:rPr>
          <w:rFonts w:ascii="Times New Roman" w:hAnsi="Times New Roman" w:cs="Times New Roman"/>
          <w:sz w:val="24"/>
          <w:szCs w:val="24"/>
        </w:rPr>
      </w:pPr>
      <w:r>
        <w:rPr>
          <w:rFonts w:ascii="Times New Roman" w:hAnsi="Times New Roman" w:cs="Times New Roman"/>
          <w:sz w:val="24"/>
          <w:szCs w:val="24"/>
        </w:rPr>
        <w:t>De leden van de SP-fractie stellen dat b</w:t>
      </w:r>
      <w:r w:rsidRPr="00CC4BFD" w:rsidR="001B4D58">
        <w:rPr>
          <w:rFonts w:ascii="Times New Roman" w:hAnsi="Times New Roman" w:cs="Times New Roman"/>
          <w:sz w:val="24"/>
          <w:szCs w:val="24"/>
        </w:rPr>
        <w:t>ij iedere maatregel die raakt aan een grondrecht</w:t>
      </w:r>
      <w:r>
        <w:rPr>
          <w:rFonts w:ascii="Times New Roman" w:hAnsi="Times New Roman" w:cs="Times New Roman"/>
          <w:sz w:val="24"/>
          <w:szCs w:val="24"/>
        </w:rPr>
        <w:t>,</w:t>
      </w:r>
      <w:r w:rsidRPr="00CC4BFD" w:rsidR="001B4D58">
        <w:rPr>
          <w:rFonts w:ascii="Times New Roman" w:hAnsi="Times New Roman" w:cs="Times New Roman"/>
          <w:sz w:val="24"/>
          <w:szCs w:val="24"/>
        </w:rPr>
        <w:t xml:space="preserve"> of dit grondrecht inperkt</w:t>
      </w:r>
      <w:r>
        <w:rPr>
          <w:rFonts w:ascii="Times New Roman" w:hAnsi="Times New Roman" w:cs="Times New Roman"/>
          <w:sz w:val="24"/>
          <w:szCs w:val="24"/>
        </w:rPr>
        <w:t>,</w:t>
      </w:r>
      <w:r w:rsidRPr="00CC4BFD" w:rsidR="001B4D58">
        <w:rPr>
          <w:rFonts w:ascii="Times New Roman" w:hAnsi="Times New Roman" w:cs="Times New Roman"/>
          <w:sz w:val="24"/>
          <w:szCs w:val="24"/>
        </w:rPr>
        <w:t xml:space="preserve"> moet worden afgewogen of deze noodzakelijk en proportioneel is, waarbij het maatschappelijk belang dat beoogd wordt moet worden afgewogen tegen de belangen van diegenen die worden geraakt door de maatregel. Zoals de TCGCT terecht constateert wordt de belangenafweging steeds niet gemaakt. Is de regering bereid die belangenafweging per maatregel alsnog expliciet te maken en uit te schrijven, en niet te volstaan met algemene redeneringen? </w:t>
      </w:r>
      <w:r w:rsidR="00C62056">
        <w:rPr>
          <w:rFonts w:ascii="Times New Roman" w:hAnsi="Times New Roman" w:cs="Times New Roman"/>
          <w:sz w:val="24"/>
          <w:szCs w:val="24"/>
        </w:rPr>
        <w:t xml:space="preserve">Deelt de regering de mening </w:t>
      </w:r>
      <w:r w:rsidRPr="00CC4BFD" w:rsidR="001B4D58">
        <w:rPr>
          <w:rFonts w:ascii="Times New Roman" w:hAnsi="Times New Roman" w:cs="Times New Roman"/>
          <w:sz w:val="24"/>
          <w:szCs w:val="24"/>
        </w:rPr>
        <w:t>dat de wetgever zélf een belangrijke rol heeft om ervoor te zorgen dat wetten in overeenstemming zijn met de grondrechten en dit niet slechts kan worden overgelaten aan de uitvoering en de rechter?</w:t>
      </w:r>
    </w:p>
    <w:p w:rsidR="00C24BA2" w:rsidP="00DD6F5A" w:rsidRDefault="00117D35" w14:paraId="220671BF" w14:textId="5F58333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2.2 Aanvullende voorwaarden nareis subsidiair beschermden</w:t>
      </w:r>
    </w:p>
    <w:p w:rsidR="00121E58" w:rsidP="00121E58" w:rsidRDefault="00121E58" w14:paraId="43372D14" w14:textId="5180BD06">
      <w:pPr>
        <w:spacing w:line="257" w:lineRule="auto"/>
        <w:rPr>
          <w:rFonts w:ascii="Times New Roman" w:hAnsi="Times New Roman" w:eastAsia="Times New Roman" w:cs="Times New Roman"/>
        </w:rPr>
      </w:pPr>
      <w:r w:rsidRPr="032DEB03">
        <w:rPr>
          <w:rFonts w:ascii="Times New Roman" w:hAnsi="Times New Roman" w:eastAsia="Times New Roman" w:cs="Times New Roman"/>
          <w:sz w:val="24"/>
          <w:szCs w:val="24"/>
        </w:rPr>
        <w:t xml:space="preserve">De leden van de D66-fractie merken op dat de regering stelt rekening te houden met de belangen van het kind, maar tegelijkertijd vasthoudt aan het toepassen van een wachttermijn van twee jaar voor minderjarige alleenstaande asielzoekers. Deze leden lezen geen toelichting </w:t>
      </w:r>
      <w:r w:rsidRPr="032DEB03">
        <w:rPr>
          <w:rFonts w:ascii="Times New Roman" w:hAnsi="Times New Roman" w:eastAsia="Times New Roman" w:cs="Times New Roman"/>
          <w:sz w:val="24"/>
          <w:szCs w:val="24"/>
        </w:rPr>
        <w:lastRenderedPageBreak/>
        <w:t>hoe deze maatregel zich verhoudt tot de rechten van het kind. Mogen zij concluderen dat er geen dergelijke belangenafweging is gemaak</w:t>
      </w:r>
      <w:r w:rsidR="00626102">
        <w:rPr>
          <w:rFonts w:ascii="Times New Roman" w:hAnsi="Times New Roman" w:eastAsia="Times New Roman" w:cs="Times New Roman"/>
          <w:sz w:val="24"/>
          <w:szCs w:val="24"/>
        </w:rPr>
        <w:t xml:space="preserve">t? </w:t>
      </w:r>
      <w:r w:rsidRPr="032DEB03">
        <w:rPr>
          <w:rFonts w:ascii="Times New Roman" w:hAnsi="Times New Roman" w:eastAsia="Times New Roman" w:cs="Times New Roman"/>
          <w:sz w:val="24"/>
          <w:szCs w:val="24"/>
        </w:rPr>
        <w:t xml:space="preserve">Ook verzoeken </w:t>
      </w:r>
      <w:r w:rsidR="00626102">
        <w:rPr>
          <w:rFonts w:ascii="Times New Roman" w:hAnsi="Times New Roman" w:eastAsia="Times New Roman" w:cs="Times New Roman"/>
          <w:sz w:val="24"/>
          <w:szCs w:val="24"/>
        </w:rPr>
        <w:t>de aan het woord zijnde leden</w:t>
      </w:r>
      <w:r w:rsidRPr="032DEB03">
        <w:rPr>
          <w:rFonts w:ascii="Times New Roman" w:hAnsi="Times New Roman" w:eastAsia="Times New Roman" w:cs="Times New Roman"/>
          <w:sz w:val="24"/>
          <w:szCs w:val="24"/>
        </w:rPr>
        <w:t xml:space="preserve"> de regering deze afweging desalniettemin te maken en te delen.</w:t>
      </w:r>
    </w:p>
    <w:p w:rsidRPr="00CC4BFD" w:rsidR="001B4D58" w:rsidP="001B4D58" w:rsidRDefault="001B4D58" w14:paraId="79BDA8AC" w14:textId="4CAF6628">
      <w:pPr>
        <w:rPr>
          <w:rFonts w:ascii="Times New Roman" w:hAnsi="Times New Roman" w:cs="Times New Roman"/>
          <w:sz w:val="24"/>
          <w:szCs w:val="24"/>
        </w:rPr>
      </w:pPr>
      <w:r w:rsidRPr="00CC4BFD">
        <w:rPr>
          <w:rFonts w:ascii="Times New Roman" w:hAnsi="Times New Roman" w:cs="Times New Roman"/>
          <w:sz w:val="24"/>
          <w:szCs w:val="24"/>
        </w:rPr>
        <w:t xml:space="preserve">De leden van de SP-fractie constateren dat de aanvullende voorwaarden die gaan gelden voor de nareis van subsidiair beschermden (een wachttermijn van twee jaar, een inkomensvereiste en een huisvestingsvereiste) tot scherpe kritiek hebben geleid van </w:t>
      </w:r>
      <w:r w:rsidRPr="00C87390">
        <w:rPr>
          <w:rFonts w:ascii="Times New Roman" w:hAnsi="Times New Roman" w:cs="Times New Roman"/>
          <w:sz w:val="24"/>
          <w:szCs w:val="24"/>
        </w:rPr>
        <w:t xml:space="preserve">de </w:t>
      </w:r>
      <w:r w:rsidRPr="00C87390" w:rsidR="00626102">
        <w:rPr>
          <w:rFonts w:ascii="Times New Roman" w:hAnsi="Times New Roman" w:cs="Times New Roman"/>
          <w:sz w:val="24"/>
          <w:szCs w:val="24"/>
        </w:rPr>
        <w:t>A</w:t>
      </w:r>
      <w:r w:rsidRPr="00C87390">
        <w:rPr>
          <w:rFonts w:ascii="Times New Roman" w:hAnsi="Times New Roman" w:cs="Times New Roman"/>
          <w:sz w:val="24"/>
          <w:szCs w:val="24"/>
        </w:rPr>
        <w:t>fdeling</w:t>
      </w:r>
      <w:r w:rsidRPr="00C87390" w:rsidR="00C87390">
        <w:rPr>
          <w:rFonts w:ascii="Times New Roman" w:hAnsi="Times New Roman" w:cs="Times New Roman"/>
          <w:sz w:val="24"/>
          <w:szCs w:val="24"/>
        </w:rPr>
        <w:t>,</w:t>
      </w:r>
      <w:r w:rsidR="00C87390">
        <w:rPr>
          <w:rFonts w:ascii="Times New Roman" w:hAnsi="Times New Roman" w:cs="Times New Roman"/>
          <w:sz w:val="24"/>
          <w:szCs w:val="24"/>
        </w:rPr>
        <w:t xml:space="preserve"> </w:t>
      </w:r>
      <w:r w:rsidRPr="00CC4BFD">
        <w:rPr>
          <w:rFonts w:ascii="Times New Roman" w:hAnsi="Times New Roman" w:cs="Times New Roman"/>
          <w:sz w:val="24"/>
          <w:szCs w:val="24"/>
        </w:rPr>
        <w:t xml:space="preserve">mede in verband met de rechten van het kind, maar de regering daar nauwelijks op in is gegaan. </w:t>
      </w:r>
      <w:r w:rsidR="00626102">
        <w:rPr>
          <w:rFonts w:ascii="Times New Roman" w:hAnsi="Times New Roman" w:cs="Times New Roman"/>
          <w:sz w:val="24"/>
          <w:szCs w:val="24"/>
        </w:rPr>
        <w:t>N</w:t>
      </w:r>
      <w:r w:rsidRPr="00CC4BFD">
        <w:rPr>
          <w:rFonts w:ascii="Times New Roman" w:hAnsi="Times New Roman" w:cs="Times New Roman"/>
          <w:sz w:val="24"/>
          <w:szCs w:val="24"/>
        </w:rPr>
        <w:t>adere onderbouwing</w:t>
      </w:r>
      <w:r w:rsidR="00626102">
        <w:rPr>
          <w:rFonts w:ascii="Times New Roman" w:hAnsi="Times New Roman" w:cs="Times New Roman"/>
          <w:sz w:val="24"/>
          <w:szCs w:val="24"/>
        </w:rPr>
        <w:t xml:space="preserve"> en </w:t>
      </w:r>
      <w:r w:rsidRPr="00CC4BFD">
        <w:rPr>
          <w:rFonts w:ascii="Times New Roman" w:hAnsi="Times New Roman" w:cs="Times New Roman"/>
          <w:sz w:val="24"/>
          <w:szCs w:val="24"/>
        </w:rPr>
        <w:t>nadere toelichting op de proportionaliteit</w:t>
      </w:r>
      <w:r w:rsidR="00626102">
        <w:rPr>
          <w:rFonts w:ascii="Times New Roman" w:hAnsi="Times New Roman" w:cs="Times New Roman"/>
          <w:sz w:val="24"/>
          <w:szCs w:val="24"/>
        </w:rPr>
        <w:t xml:space="preserve"> ontbreekt</w:t>
      </w:r>
      <w:r w:rsidRPr="00CC4BFD">
        <w:rPr>
          <w:rFonts w:ascii="Times New Roman" w:hAnsi="Times New Roman" w:cs="Times New Roman"/>
          <w:sz w:val="24"/>
          <w:szCs w:val="24"/>
        </w:rPr>
        <w:t xml:space="preserve">. Waarom is </w:t>
      </w:r>
      <w:r w:rsidR="00626102">
        <w:rPr>
          <w:rFonts w:ascii="Times New Roman" w:hAnsi="Times New Roman" w:cs="Times New Roman"/>
          <w:sz w:val="24"/>
          <w:szCs w:val="24"/>
        </w:rPr>
        <w:t>d</w:t>
      </w:r>
      <w:r w:rsidRPr="00CC4BFD">
        <w:rPr>
          <w:rFonts w:ascii="Times New Roman" w:hAnsi="Times New Roman" w:cs="Times New Roman"/>
          <w:sz w:val="24"/>
          <w:szCs w:val="24"/>
        </w:rPr>
        <w:t>aarvoor gekozen</w:t>
      </w:r>
      <w:r w:rsidR="00626102">
        <w:rPr>
          <w:rFonts w:ascii="Times New Roman" w:hAnsi="Times New Roman" w:cs="Times New Roman"/>
          <w:sz w:val="24"/>
          <w:szCs w:val="24"/>
        </w:rPr>
        <w:t>?</w:t>
      </w:r>
    </w:p>
    <w:p w:rsidR="001B4D58" w:rsidP="001B4D58" w:rsidRDefault="001B4D58" w14:paraId="7BFCC132" w14:textId="1A86968D">
      <w:pPr>
        <w:rPr>
          <w:rFonts w:ascii="Times New Roman" w:hAnsi="Times New Roman" w:cs="Times New Roman"/>
          <w:sz w:val="24"/>
          <w:szCs w:val="24"/>
        </w:rPr>
      </w:pPr>
      <w:r w:rsidRPr="00CC4BFD">
        <w:rPr>
          <w:rFonts w:ascii="Times New Roman" w:hAnsi="Times New Roman" w:cs="Times New Roman"/>
          <w:sz w:val="24"/>
          <w:szCs w:val="24"/>
        </w:rPr>
        <w:t xml:space="preserve">Ook hier zou de regering de belangen moeten wegen, van enerzijds de vreemdeling om zo snel mogelijk te worden herenigd, en anderzijds het doel van de maatregel om het aantal </w:t>
      </w:r>
      <w:proofErr w:type="spellStart"/>
      <w:r w:rsidRPr="00CC4BFD">
        <w:rPr>
          <w:rFonts w:ascii="Times New Roman" w:hAnsi="Times New Roman" w:cs="Times New Roman"/>
          <w:sz w:val="24"/>
          <w:szCs w:val="24"/>
        </w:rPr>
        <w:t>nareizigers</w:t>
      </w:r>
      <w:proofErr w:type="spellEnd"/>
      <w:r w:rsidRPr="00CC4BFD">
        <w:rPr>
          <w:rFonts w:ascii="Times New Roman" w:hAnsi="Times New Roman" w:cs="Times New Roman"/>
          <w:sz w:val="24"/>
          <w:szCs w:val="24"/>
        </w:rPr>
        <w:t xml:space="preserve"> te beperken</w:t>
      </w:r>
      <w:r w:rsidR="002B289A">
        <w:rPr>
          <w:rFonts w:ascii="Times New Roman" w:hAnsi="Times New Roman" w:cs="Times New Roman"/>
          <w:sz w:val="24"/>
          <w:szCs w:val="24"/>
        </w:rPr>
        <w:t>, zo stellen de leden van de SP-fractie</w:t>
      </w:r>
      <w:r w:rsidRPr="00CC4BFD">
        <w:rPr>
          <w:rFonts w:ascii="Times New Roman" w:hAnsi="Times New Roman" w:cs="Times New Roman"/>
          <w:sz w:val="24"/>
          <w:szCs w:val="24"/>
        </w:rPr>
        <w:t xml:space="preserve">. Kan die afweging alsnog expliciet worden gemaakt en toegelicht? Hoe wordt voorkomen dat deze maatregel in strijd </w:t>
      </w:r>
      <w:r w:rsidR="002B289A">
        <w:rPr>
          <w:rFonts w:ascii="Times New Roman" w:hAnsi="Times New Roman" w:cs="Times New Roman"/>
          <w:sz w:val="24"/>
          <w:szCs w:val="24"/>
        </w:rPr>
        <w:t>raakt</w:t>
      </w:r>
      <w:r w:rsidRPr="00CC4BFD">
        <w:rPr>
          <w:rFonts w:ascii="Times New Roman" w:hAnsi="Times New Roman" w:cs="Times New Roman"/>
          <w:sz w:val="24"/>
          <w:szCs w:val="24"/>
        </w:rPr>
        <w:t xml:space="preserve"> met de rechtspraak van het </w:t>
      </w:r>
      <w:r w:rsidRPr="00C87390">
        <w:rPr>
          <w:rFonts w:ascii="Times New Roman" w:hAnsi="Times New Roman" w:cs="Times New Roman"/>
          <w:sz w:val="24"/>
          <w:szCs w:val="24"/>
        </w:rPr>
        <w:t>EHRM</w:t>
      </w:r>
      <w:r w:rsidRPr="00CC4BFD">
        <w:rPr>
          <w:rFonts w:ascii="Times New Roman" w:hAnsi="Times New Roman" w:cs="Times New Roman"/>
          <w:sz w:val="24"/>
          <w:szCs w:val="24"/>
        </w:rPr>
        <w:t>? Hoe worden de kinderrechten gewaarborgd, namelijk dat een aanvraag van een kind om gezinshereniging met spoed dient te worden behandeld en dat het belang van het kind een eerste overweging dient te vormen?</w:t>
      </w:r>
    </w:p>
    <w:p w:rsidRPr="00CC4BFD" w:rsidR="00A079CE" w:rsidP="001B4D58" w:rsidRDefault="00A079CE" w14:paraId="29D28DFC" w14:textId="3B652586">
      <w:pPr>
        <w:rPr>
          <w:rFonts w:ascii="Times New Roman" w:hAnsi="Times New Roman" w:cs="Times New Roman"/>
          <w:sz w:val="24"/>
          <w:szCs w:val="24"/>
        </w:rPr>
      </w:pPr>
      <w:r w:rsidRPr="00A079CE">
        <w:rPr>
          <w:rFonts w:ascii="Times New Roman" w:hAnsi="Times New Roman" w:cs="Times New Roman"/>
          <w:sz w:val="24"/>
          <w:szCs w:val="24"/>
        </w:rPr>
        <w:t>De leden van de ChristenUnie</w:t>
      </w:r>
      <w:r w:rsidR="00C87390">
        <w:rPr>
          <w:rFonts w:ascii="Times New Roman" w:hAnsi="Times New Roman" w:cs="Times New Roman"/>
          <w:sz w:val="24"/>
          <w:szCs w:val="24"/>
        </w:rPr>
        <w:t>-fractie</w:t>
      </w:r>
      <w:r w:rsidRPr="00A079CE">
        <w:rPr>
          <w:rFonts w:ascii="Times New Roman" w:hAnsi="Times New Roman" w:cs="Times New Roman"/>
          <w:sz w:val="24"/>
          <w:szCs w:val="24"/>
        </w:rPr>
        <w:t xml:space="preserve"> hebben kennisgenomen van aanvullende voorwaarden voor de nareis van subsidiair beschermden die op grond van het wetsvoorstel zouden gelden. Deze leden verwachten van de regering dat de rechten van het kind en bescherming van gezinnen de eerste overweging moeten vormen. In hoeverre kan de regering het doel, noodzaak en proportionaliteit van een wachttermijn van twee jaar nader toelichten? Hoe verantwoord de regering deze wachttermijn voor alleenstaande minderjarige vreemdelingen?  </w:t>
      </w:r>
    </w:p>
    <w:p w:rsidR="00117D35" w:rsidP="00DD6F5A" w:rsidRDefault="00117D35" w14:paraId="785509D9"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2.3 Beperken nareis tot kerngezin</w:t>
      </w:r>
    </w:p>
    <w:p w:rsidR="00D40110" w:rsidP="00121E58" w:rsidRDefault="00D40110" w14:paraId="288E4C14" w14:textId="64626F98">
      <w:pPr>
        <w:spacing w:line="257" w:lineRule="auto"/>
        <w:rPr>
          <w:rFonts w:ascii="Times New Roman" w:hAnsi="Times New Roman" w:eastAsia="Times New Roman" w:cs="Times New Roman"/>
          <w:color w:val="000000" w:themeColor="text1"/>
          <w:sz w:val="24"/>
          <w:szCs w:val="24"/>
        </w:rPr>
      </w:pPr>
      <w:r w:rsidRPr="00D40110">
        <w:rPr>
          <w:rFonts w:ascii="Times New Roman" w:hAnsi="Times New Roman" w:eastAsia="Times New Roman" w:cs="Times New Roman"/>
          <w:color w:val="000000" w:themeColor="text1"/>
          <w:sz w:val="24"/>
          <w:szCs w:val="24"/>
        </w:rPr>
        <w:t xml:space="preserve">De </w:t>
      </w:r>
      <w:r>
        <w:rPr>
          <w:rFonts w:ascii="Times New Roman" w:hAnsi="Times New Roman" w:eastAsia="Times New Roman" w:cs="Times New Roman"/>
          <w:color w:val="000000" w:themeColor="text1"/>
          <w:sz w:val="24"/>
          <w:szCs w:val="24"/>
        </w:rPr>
        <w:t>leden van de NSC-</w:t>
      </w:r>
      <w:r w:rsidRPr="00D40110">
        <w:rPr>
          <w:rFonts w:ascii="Times New Roman" w:hAnsi="Times New Roman" w:eastAsia="Times New Roman" w:cs="Times New Roman"/>
          <w:color w:val="000000" w:themeColor="text1"/>
          <w:sz w:val="24"/>
          <w:szCs w:val="24"/>
        </w:rPr>
        <w:t>fractie constate</w:t>
      </w:r>
      <w:r>
        <w:rPr>
          <w:rFonts w:ascii="Times New Roman" w:hAnsi="Times New Roman" w:eastAsia="Times New Roman" w:cs="Times New Roman"/>
          <w:color w:val="000000" w:themeColor="text1"/>
          <w:sz w:val="24"/>
          <w:szCs w:val="24"/>
        </w:rPr>
        <w:t>ren</w:t>
      </w:r>
      <w:r w:rsidRPr="00D40110">
        <w:rPr>
          <w:rFonts w:ascii="Times New Roman" w:hAnsi="Times New Roman" w:eastAsia="Times New Roman" w:cs="Times New Roman"/>
          <w:color w:val="000000" w:themeColor="text1"/>
          <w:sz w:val="24"/>
          <w:szCs w:val="24"/>
        </w:rPr>
        <w:t xml:space="preserve"> dat de </w:t>
      </w:r>
      <w:r>
        <w:rPr>
          <w:rFonts w:ascii="Times New Roman" w:hAnsi="Times New Roman" w:eastAsia="Times New Roman" w:cs="Times New Roman"/>
          <w:color w:val="000000" w:themeColor="text1"/>
          <w:sz w:val="24"/>
          <w:szCs w:val="24"/>
        </w:rPr>
        <w:t>TCGCT</w:t>
      </w:r>
      <w:r w:rsidRPr="00D40110">
        <w:rPr>
          <w:rFonts w:ascii="Times New Roman" w:hAnsi="Times New Roman" w:eastAsia="Times New Roman" w:cs="Times New Roman"/>
          <w:color w:val="000000" w:themeColor="text1"/>
          <w:sz w:val="24"/>
          <w:szCs w:val="24"/>
        </w:rPr>
        <w:t xml:space="preserve"> de leden adviseert om af te wegen hoe het recht op gelijke behandeling en verbod op discriminatie zich verhoudt tot de beperking van nareis tot het kerngezin, gezien het feit dat in sommige landen bepaalde mensen niet met elkaar kunnen trouwen, bijvoorbeeld stellen van gelijk geslacht of van verschillende etnische groepen. In reactie op de </w:t>
      </w:r>
      <w:r>
        <w:rPr>
          <w:rFonts w:ascii="Times New Roman" w:hAnsi="Times New Roman" w:eastAsia="Times New Roman" w:cs="Times New Roman"/>
          <w:color w:val="000000" w:themeColor="text1"/>
          <w:sz w:val="24"/>
          <w:szCs w:val="24"/>
        </w:rPr>
        <w:t>Afdeling</w:t>
      </w:r>
      <w:r w:rsidRPr="00D40110">
        <w:rPr>
          <w:rFonts w:ascii="Times New Roman" w:hAnsi="Times New Roman" w:eastAsia="Times New Roman" w:cs="Times New Roman"/>
          <w:color w:val="000000" w:themeColor="text1"/>
          <w:sz w:val="24"/>
          <w:szCs w:val="24"/>
        </w:rPr>
        <w:t xml:space="preserve"> gaf de regering eerder aan dat dergelijke gevallen op grond van artikel 8 EVRM nog in aanmerking kunnen komen voor gezinshereniging. Is de regering van mening dat daarmee strijdigheid met grondrechten afdoende kan worden voorkomen, of ziet de regering de noodzaak om voorkomende gevallen specifiek uit te zonderen in de wet van de beperking tot het kerngezin? Of vreest de regering dat dergelijke uitzonderingen zouden kunnen leiden tot fraude?</w:t>
      </w:r>
    </w:p>
    <w:p w:rsidR="00121E58" w:rsidP="00121E58" w:rsidRDefault="00121E58" w14:paraId="65538AB4" w14:textId="624267A0">
      <w:pPr>
        <w:spacing w:line="257" w:lineRule="auto"/>
      </w:pPr>
      <w:r w:rsidRPr="032DEB03">
        <w:rPr>
          <w:rFonts w:ascii="Times New Roman" w:hAnsi="Times New Roman" w:eastAsia="Times New Roman" w:cs="Times New Roman"/>
          <w:color w:val="000000" w:themeColor="text1"/>
          <w:sz w:val="24"/>
          <w:szCs w:val="24"/>
        </w:rPr>
        <w:t xml:space="preserve">De leden van de D66-fractie delen de zorgen van de TCGCT over de mogelijk discriminerende praktijk van de voorgenomen maatregel om ongehuwde partners uit te sluiten. Zij vragen de regering om uiteen te zetten hoe zij de verhouding tot het verbod op discriminatie ziet. </w:t>
      </w:r>
      <w:r w:rsidRPr="032DEB03">
        <w:rPr>
          <w:rFonts w:ascii="Times New Roman" w:hAnsi="Times New Roman" w:eastAsia="Times New Roman" w:cs="Times New Roman"/>
          <w:sz w:val="24"/>
          <w:szCs w:val="24"/>
        </w:rPr>
        <w:t xml:space="preserve"> </w:t>
      </w:r>
    </w:p>
    <w:p w:rsidR="001B4D58" w:rsidP="001B4D58" w:rsidRDefault="001B4D58" w14:paraId="64225272" w14:textId="683FD8CE">
      <w:pPr>
        <w:rPr>
          <w:rFonts w:ascii="Times New Roman" w:hAnsi="Times New Roman" w:cs="Times New Roman"/>
          <w:sz w:val="24"/>
          <w:szCs w:val="24"/>
        </w:rPr>
      </w:pPr>
      <w:r w:rsidRPr="00CC4BFD">
        <w:rPr>
          <w:rFonts w:ascii="Times New Roman" w:hAnsi="Times New Roman" w:cs="Times New Roman"/>
          <w:sz w:val="24"/>
          <w:szCs w:val="24"/>
        </w:rPr>
        <w:t xml:space="preserve">De leden van de SP-fractie constateren dat de beperking van nareis tot het kerngezin discriminatoir kan uitpakken omdat bijvoorbeeld stellen van gelijk geslacht niet met elkaar kúnnen huwen. Dit is strijdig met het recht op gelijke behandeling. Kan alsnog inzichtelijk worden gemaakt hoe ongelijke behandeling in de praktijk wordt voorkomen? </w:t>
      </w:r>
      <w:r w:rsidR="00233807">
        <w:rPr>
          <w:rFonts w:ascii="Times New Roman" w:hAnsi="Times New Roman" w:cs="Times New Roman"/>
          <w:sz w:val="24"/>
          <w:szCs w:val="24"/>
        </w:rPr>
        <w:t xml:space="preserve">Deelt </w:t>
      </w:r>
      <w:r w:rsidRPr="00CC4BFD">
        <w:rPr>
          <w:rFonts w:ascii="Times New Roman" w:hAnsi="Times New Roman" w:cs="Times New Roman"/>
          <w:sz w:val="24"/>
          <w:szCs w:val="24"/>
        </w:rPr>
        <w:t xml:space="preserve">de regering </w:t>
      </w:r>
      <w:r w:rsidR="00233807">
        <w:rPr>
          <w:rFonts w:ascii="Times New Roman" w:hAnsi="Times New Roman" w:cs="Times New Roman"/>
          <w:sz w:val="24"/>
          <w:szCs w:val="24"/>
        </w:rPr>
        <w:t>de mening</w:t>
      </w:r>
      <w:r w:rsidRPr="00CC4BFD">
        <w:rPr>
          <w:rFonts w:ascii="Times New Roman" w:hAnsi="Times New Roman" w:cs="Times New Roman"/>
          <w:sz w:val="24"/>
          <w:szCs w:val="24"/>
        </w:rPr>
        <w:t xml:space="preserve"> dat de wetgever er zelf voor dient te zorgen dat ook deze maatregel in overeenstemming is met de grondrechten en dit niet slechts aan de uitvoering of de rechter </w:t>
      </w:r>
      <w:r w:rsidRPr="00CC4BFD">
        <w:rPr>
          <w:rFonts w:ascii="Times New Roman" w:hAnsi="Times New Roman" w:cs="Times New Roman"/>
          <w:sz w:val="24"/>
          <w:szCs w:val="24"/>
        </w:rPr>
        <w:lastRenderedPageBreak/>
        <w:t>kan worden overgelaten? Hoe weegt de regering het recht op gelijke behandeling/het verbod op discriminatie ten opzichte van de beperking van nareis tot het kerngezin?</w:t>
      </w:r>
    </w:p>
    <w:p w:rsidRPr="00CC4BFD" w:rsidR="00A079CE" w:rsidP="001B4D58" w:rsidRDefault="00A079CE" w14:paraId="43D391E5" w14:textId="189729DC">
      <w:pPr>
        <w:rPr>
          <w:rFonts w:ascii="Times New Roman" w:hAnsi="Times New Roman" w:cs="Times New Roman"/>
          <w:sz w:val="24"/>
          <w:szCs w:val="24"/>
        </w:rPr>
      </w:pPr>
      <w:r w:rsidRPr="00A079CE">
        <w:rPr>
          <w:rFonts w:ascii="Times New Roman" w:hAnsi="Times New Roman" w:cs="Times New Roman"/>
          <w:sz w:val="24"/>
          <w:szCs w:val="24"/>
        </w:rPr>
        <w:t xml:space="preserve">De leden van de ChristenUnie-fractie hebben met zorg kennisgenomen </w:t>
      </w:r>
      <w:r w:rsidR="00C87390">
        <w:rPr>
          <w:rFonts w:ascii="Times New Roman" w:hAnsi="Times New Roman" w:cs="Times New Roman"/>
          <w:sz w:val="24"/>
          <w:szCs w:val="24"/>
        </w:rPr>
        <w:t>van het voorstel in</w:t>
      </w:r>
      <w:r w:rsidRPr="00A079CE">
        <w:rPr>
          <w:rFonts w:ascii="Times New Roman" w:hAnsi="Times New Roman" w:cs="Times New Roman"/>
          <w:sz w:val="24"/>
          <w:szCs w:val="24"/>
        </w:rPr>
        <w:t xml:space="preserve"> het wetsvoorstel</w:t>
      </w:r>
      <w:r w:rsidR="00C87390">
        <w:rPr>
          <w:rFonts w:ascii="Times New Roman" w:hAnsi="Times New Roman" w:cs="Times New Roman"/>
          <w:sz w:val="24"/>
          <w:szCs w:val="24"/>
        </w:rPr>
        <w:t xml:space="preserve"> dat</w:t>
      </w:r>
      <w:r w:rsidRPr="00A079CE">
        <w:rPr>
          <w:rFonts w:ascii="Times New Roman" w:hAnsi="Times New Roman" w:cs="Times New Roman"/>
          <w:sz w:val="24"/>
          <w:szCs w:val="24"/>
        </w:rPr>
        <w:t xml:space="preserve"> nareis wordt beperkt tot het kerngezin, aangezien er landen zijn waar de wetgeving het huwelijk voor bepaalde personen niet toelaat. In hoeverre heeft de regering rekening gehouden met de mogelijke discriminatoire uitwerking van deze regeling in de praktijk? Hoe gaat de regering ervoor zorgen dat de onmiddellijke werking van deze maatregelen in de praktijk niet in strijd zijn met het recht op gelijke behandeling/het verbod op discriminatie?</w:t>
      </w:r>
    </w:p>
    <w:p w:rsidR="001B4D58" w:rsidP="00DD6F5A" w:rsidRDefault="001B4D58" w14:paraId="78B0ACA5" w14:textId="77777777">
      <w:pPr>
        <w:spacing w:line="280" w:lineRule="exact"/>
        <w:rPr>
          <w:rFonts w:ascii="Times New Roman" w:hAnsi="Times New Roman" w:cs="Times New Roman"/>
          <w:b/>
          <w:sz w:val="24"/>
          <w:szCs w:val="24"/>
        </w:rPr>
      </w:pPr>
    </w:p>
    <w:p w:rsidR="00117D35" w:rsidP="00DD6F5A" w:rsidRDefault="00117D35" w14:paraId="3368A7EB" w14:textId="508425F3">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3. Verhouding tot hoger recht</w:t>
      </w:r>
    </w:p>
    <w:p w:rsidR="00EB1F6B" w:rsidP="00EB1F6B" w:rsidRDefault="00C87390" w14:paraId="3581D616" w14:textId="35CAE2AE">
      <w:pPr>
        <w:spacing w:line="280" w:lineRule="exact"/>
        <w:rPr>
          <w:rFonts w:ascii="Times New Roman" w:hAnsi="Times New Roman" w:cs="Times New Roman"/>
          <w:bCs/>
          <w:sz w:val="24"/>
          <w:szCs w:val="24"/>
        </w:rPr>
      </w:pPr>
      <w:r>
        <w:rPr>
          <w:rFonts w:ascii="Times New Roman" w:hAnsi="Times New Roman" w:cs="Times New Roman"/>
          <w:bCs/>
          <w:sz w:val="24"/>
          <w:szCs w:val="24"/>
        </w:rPr>
        <w:t>De leden van de Volt-fractie lezen dat d</w:t>
      </w:r>
      <w:r w:rsidRPr="00EB1F6B" w:rsidR="00EB1F6B">
        <w:rPr>
          <w:rFonts w:ascii="Times New Roman" w:hAnsi="Times New Roman" w:cs="Times New Roman"/>
          <w:bCs/>
          <w:sz w:val="24"/>
          <w:szCs w:val="24"/>
        </w:rPr>
        <w:t xml:space="preserve">e </w:t>
      </w:r>
      <w:r w:rsidR="004D3A14">
        <w:rPr>
          <w:rFonts w:ascii="Times New Roman" w:hAnsi="Times New Roman" w:cs="Times New Roman"/>
          <w:bCs/>
          <w:sz w:val="24"/>
          <w:szCs w:val="24"/>
        </w:rPr>
        <w:t>TCGCT</w:t>
      </w:r>
      <w:r w:rsidRPr="00EB1F6B" w:rsidR="00EB1F6B">
        <w:rPr>
          <w:rFonts w:ascii="Times New Roman" w:hAnsi="Times New Roman" w:cs="Times New Roman"/>
          <w:bCs/>
          <w:sz w:val="24"/>
          <w:szCs w:val="24"/>
        </w:rPr>
        <w:t xml:space="preserve"> in een reactie op het wetsvoorstel </w:t>
      </w:r>
      <w:r>
        <w:rPr>
          <w:rFonts w:ascii="Times New Roman" w:hAnsi="Times New Roman" w:cs="Times New Roman"/>
          <w:bCs/>
          <w:sz w:val="24"/>
          <w:szCs w:val="24"/>
        </w:rPr>
        <w:t xml:space="preserve">heeft </w:t>
      </w:r>
      <w:r w:rsidRPr="00EB1F6B" w:rsidR="00EB1F6B">
        <w:rPr>
          <w:rFonts w:ascii="Times New Roman" w:hAnsi="Times New Roman" w:cs="Times New Roman"/>
          <w:bCs/>
          <w:sz w:val="24"/>
          <w:szCs w:val="24"/>
        </w:rPr>
        <w:t>aangegeven dat het van essentieel belang is dat er een zorgvuldige belangenafweging plaatsvindt wanneer een wetsvoorstel raakt aan een Grondwet of een algemeen rechtsbeginsel. De T</w:t>
      </w:r>
      <w:r w:rsidR="004D3A14">
        <w:rPr>
          <w:rFonts w:ascii="Times New Roman" w:hAnsi="Times New Roman" w:cs="Times New Roman"/>
          <w:bCs/>
          <w:sz w:val="24"/>
          <w:szCs w:val="24"/>
        </w:rPr>
        <w:t>CGCT</w:t>
      </w:r>
      <w:r w:rsidRPr="00EB1F6B" w:rsidR="00EB1F6B">
        <w:rPr>
          <w:rFonts w:ascii="Times New Roman" w:hAnsi="Times New Roman" w:cs="Times New Roman"/>
          <w:bCs/>
          <w:sz w:val="24"/>
          <w:szCs w:val="24"/>
        </w:rPr>
        <w:t xml:space="preserve"> geeft daarbij ook aan dat een dergelijke afweging voor dit wetsvoorstel onvoldoende of niet is gemaakt. Kan de regering hierop reflecteren? Kan de regering onderbouwen dat er geen sprake is van strijd met het rechtzekerheidsbeginsel en gelijke behandeling door geen overgangsrecht toe te passen?  </w:t>
      </w:r>
    </w:p>
    <w:p w:rsidRPr="00DD6F5A" w:rsidR="00117D35" w:rsidP="00DD6F5A" w:rsidRDefault="00117D35" w14:paraId="50FEA9A1"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3.1 Gezinsherenigingsrichtlijn</w:t>
      </w:r>
    </w:p>
    <w:p w:rsidRPr="00D73301" w:rsidR="00D73301" w:rsidP="00D73301" w:rsidRDefault="00E376EE" w14:paraId="3B7752B5" w14:textId="3A515444">
      <w:pPr>
        <w:spacing w:line="280" w:lineRule="exact"/>
        <w:rPr>
          <w:rFonts w:ascii="Times New Roman" w:hAnsi="Times New Roman" w:cs="Times New Roman"/>
          <w:bCs/>
          <w:sz w:val="24"/>
          <w:szCs w:val="24"/>
        </w:rPr>
      </w:pPr>
      <w:r>
        <w:rPr>
          <w:rFonts w:ascii="Times New Roman" w:hAnsi="Times New Roman" w:cs="Times New Roman"/>
          <w:bCs/>
          <w:sz w:val="24"/>
          <w:szCs w:val="24"/>
        </w:rPr>
        <w:t xml:space="preserve">De leden van de CDA-fractie vragen </w:t>
      </w:r>
      <w:r w:rsidRPr="00D73301" w:rsidR="00D73301">
        <w:rPr>
          <w:rFonts w:ascii="Times New Roman" w:hAnsi="Times New Roman" w:cs="Times New Roman"/>
          <w:bCs/>
          <w:sz w:val="24"/>
          <w:szCs w:val="24"/>
        </w:rPr>
        <w:t>de regering uiteen</w:t>
      </w:r>
      <w:r>
        <w:rPr>
          <w:rFonts w:ascii="Times New Roman" w:hAnsi="Times New Roman" w:cs="Times New Roman"/>
          <w:bCs/>
          <w:sz w:val="24"/>
          <w:szCs w:val="24"/>
        </w:rPr>
        <w:t xml:space="preserve"> te </w:t>
      </w:r>
      <w:r w:rsidRPr="00D73301" w:rsidR="00D73301">
        <w:rPr>
          <w:rFonts w:ascii="Times New Roman" w:hAnsi="Times New Roman" w:cs="Times New Roman"/>
          <w:bCs/>
          <w:sz w:val="24"/>
          <w:szCs w:val="24"/>
        </w:rPr>
        <w:t xml:space="preserve">zetten hoe zij het advies van de </w:t>
      </w:r>
      <w:r w:rsidR="004D3A14">
        <w:rPr>
          <w:rFonts w:ascii="Times New Roman" w:hAnsi="Times New Roman" w:cs="Times New Roman"/>
          <w:bCs/>
          <w:sz w:val="24"/>
          <w:szCs w:val="24"/>
        </w:rPr>
        <w:t>TCGCT</w:t>
      </w:r>
      <w:r w:rsidRPr="00D73301" w:rsidR="00D73301">
        <w:rPr>
          <w:rFonts w:ascii="Times New Roman" w:hAnsi="Times New Roman" w:cs="Times New Roman"/>
          <w:bCs/>
          <w:sz w:val="24"/>
          <w:szCs w:val="24"/>
        </w:rPr>
        <w:t xml:space="preserve"> juridisch beoordeel</w:t>
      </w:r>
      <w:r w:rsidR="004D3A14">
        <w:rPr>
          <w:rFonts w:ascii="Times New Roman" w:hAnsi="Times New Roman" w:cs="Times New Roman"/>
          <w:bCs/>
          <w:sz w:val="24"/>
          <w:szCs w:val="24"/>
        </w:rPr>
        <w:t>t</w:t>
      </w:r>
      <w:r w:rsidRPr="00D73301" w:rsidR="00D73301">
        <w:rPr>
          <w:rFonts w:ascii="Times New Roman" w:hAnsi="Times New Roman" w:cs="Times New Roman"/>
          <w:bCs/>
          <w:sz w:val="24"/>
          <w:szCs w:val="24"/>
        </w:rPr>
        <w:t xml:space="preserve"> waarin zij stelt: </w:t>
      </w:r>
      <w:r>
        <w:rPr>
          <w:rFonts w:ascii="Times New Roman" w:hAnsi="Times New Roman" w:cs="Times New Roman"/>
          <w:bCs/>
          <w:sz w:val="24"/>
          <w:szCs w:val="24"/>
        </w:rPr>
        <w:t>“</w:t>
      </w:r>
      <w:r w:rsidRPr="00D73301" w:rsidR="00D73301">
        <w:rPr>
          <w:rFonts w:ascii="Times New Roman" w:hAnsi="Times New Roman" w:cs="Times New Roman"/>
          <w:bCs/>
          <w:sz w:val="24"/>
          <w:szCs w:val="24"/>
        </w:rPr>
        <w:t>Uit de interpretatie van de Gezinsherenigingsrichtlijn door het Hof van Justitie van de EU valt verder af te leiden dat het indruist tegen de beginselen van rechtszekerheid en gelijke behandeling wanneer tijdverloop dat door een lidstaat is veroorzaakt, bij de behandeling van een aanvraag wordt aangerekend aan een statushouder</w:t>
      </w:r>
      <w:r>
        <w:rPr>
          <w:rFonts w:ascii="Times New Roman" w:hAnsi="Times New Roman" w:cs="Times New Roman"/>
          <w:bCs/>
          <w:sz w:val="24"/>
          <w:szCs w:val="24"/>
        </w:rPr>
        <w:t>”</w:t>
      </w:r>
      <w:r w:rsidRPr="00D73301" w:rsidR="00D73301">
        <w:rPr>
          <w:rFonts w:ascii="Times New Roman" w:hAnsi="Times New Roman" w:cs="Times New Roman"/>
          <w:bCs/>
          <w:sz w:val="24"/>
          <w:szCs w:val="24"/>
        </w:rPr>
        <w:t>.</w:t>
      </w:r>
    </w:p>
    <w:p w:rsidRPr="00D73301" w:rsidR="00D73301" w:rsidP="00D73301" w:rsidRDefault="00D73301" w14:paraId="6BACB0C9" w14:textId="552B6059">
      <w:pPr>
        <w:spacing w:line="280" w:lineRule="exact"/>
        <w:rPr>
          <w:rFonts w:ascii="Times New Roman" w:hAnsi="Times New Roman" w:cs="Times New Roman"/>
          <w:bCs/>
          <w:sz w:val="24"/>
          <w:szCs w:val="24"/>
        </w:rPr>
      </w:pPr>
      <w:r w:rsidRPr="00D73301">
        <w:rPr>
          <w:rFonts w:ascii="Times New Roman" w:hAnsi="Times New Roman" w:cs="Times New Roman"/>
          <w:bCs/>
          <w:sz w:val="24"/>
          <w:szCs w:val="24"/>
        </w:rPr>
        <w:t xml:space="preserve">De leden van </w:t>
      </w:r>
      <w:r w:rsidR="00E376EE">
        <w:rPr>
          <w:rFonts w:ascii="Times New Roman" w:hAnsi="Times New Roman" w:cs="Times New Roman"/>
          <w:bCs/>
          <w:sz w:val="24"/>
          <w:szCs w:val="24"/>
        </w:rPr>
        <w:t>de</w:t>
      </w:r>
      <w:r w:rsidRPr="00D73301">
        <w:rPr>
          <w:rFonts w:ascii="Times New Roman" w:hAnsi="Times New Roman" w:cs="Times New Roman"/>
          <w:bCs/>
          <w:sz w:val="24"/>
          <w:szCs w:val="24"/>
        </w:rPr>
        <w:t xml:space="preserve"> CDA</w:t>
      </w:r>
      <w:r w:rsidR="00E376EE">
        <w:rPr>
          <w:rFonts w:ascii="Times New Roman" w:hAnsi="Times New Roman" w:cs="Times New Roman"/>
          <w:bCs/>
          <w:sz w:val="24"/>
          <w:szCs w:val="24"/>
        </w:rPr>
        <w:t>-fractie</w:t>
      </w:r>
      <w:r w:rsidRPr="00D73301">
        <w:rPr>
          <w:rFonts w:ascii="Times New Roman" w:hAnsi="Times New Roman" w:cs="Times New Roman"/>
          <w:bCs/>
          <w:sz w:val="24"/>
          <w:szCs w:val="24"/>
        </w:rPr>
        <w:t xml:space="preserve"> vragen de regering daarnaast uit te leggen wat het vigerende juridisch kader is dan wel de meeste leidende jurisprudentie aangaande de vraag of onmiddellijke werking kan worden toegepast</w:t>
      </w:r>
      <w:r w:rsidR="00E376EE">
        <w:rPr>
          <w:rFonts w:ascii="Times New Roman" w:hAnsi="Times New Roman" w:cs="Times New Roman"/>
          <w:bCs/>
          <w:sz w:val="24"/>
          <w:szCs w:val="24"/>
        </w:rPr>
        <w:t>.</w:t>
      </w:r>
      <w:r w:rsidRPr="00D73301">
        <w:rPr>
          <w:rFonts w:ascii="Times New Roman" w:hAnsi="Times New Roman" w:cs="Times New Roman"/>
          <w:bCs/>
          <w:sz w:val="24"/>
          <w:szCs w:val="24"/>
        </w:rPr>
        <w:t xml:space="preserve"> </w:t>
      </w:r>
    </w:p>
    <w:p w:rsidR="00984733" w:rsidP="00DD6F5A" w:rsidRDefault="00D73301" w14:paraId="7EFC62F2" w14:textId="336BB0A2">
      <w:pPr>
        <w:spacing w:line="280" w:lineRule="exact"/>
        <w:rPr>
          <w:rFonts w:ascii="Times New Roman" w:hAnsi="Times New Roman" w:cs="Times New Roman"/>
          <w:bCs/>
          <w:sz w:val="24"/>
          <w:szCs w:val="24"/>
        </w:rPr>
      </w:pPr>
      <w:r w:rsidRPr="00D73301">
        <w:rPr>
          <w:rFonts w:ascii="Times New Roman" w:hAnsi="Times New Roman" w:cs="Times New Roman"/>
          <w:bCs/>
          <w:sz w:val="24"/>
          <w:szCs w:val="24"/>
        </w:rPr>
        <w:t xml:space="preserve">De leden van </w:t>
      </w:r>
      <w:r w:rsidR="00E376EE">
        <w:rPr>
          <w:rFonts w:ascii="Times New Roman" w:hAnsi="Times New Roman" w:cs="Times New Roman"/>
          <w:bCs/>
          <w:sz w:val="24"/>
          <w:szCs w:val="24"/>
        </w:rPr>
        <w:t xml:space="preserve">de </w:t>
      </w:r>
      <w:r w:rsidRPr="00D73301">
        <w:rPr>
          <w:rFonts w:ascii="Times New Roman" w:hAnsi="Times New Roman" w:cs="Times New Roman"/>
          <w:bCs/>
          <w:sz w:val="24"/>
          <w:szCs w:val="24"/>
        </w:rPr>
        <w:t>CDA</w:t>
      </w:r>
      <w:r w:rsidR="00E376EE">
        <w:rPr>
          <w:rFonts w:ascii="Times New Roman" w:hAnsi="Times New Roman" w:cs="Times New Roman"/>
          <w:bCs/>
          <w:sz w:val="24"/>
          <w:szCs w:val="24"/>
        </w:rPr>
        <w:t>-fractie</w:t>
      </w:r>
      <w:r w:rsidRPr="00D73301">
        <w:rPr>
          <w:rFonts w:ascii="Times New Roman" w:hAnsi="Times New Roman" w:cs="Times New Roman"/>
          <w:bCs/>
          <w:sz w:val="24"/>
          <w:szCs w:val="24"/>
        </w:rPr>
        <w:t xml:space="preserve"> vragen in hoeverre t</w:t>
      </w:r>
      <w:r w:rsidR="00E376EE">
        <w:rPr>
          <w:rFonts w:ascii="Times New Roman" w:hAnsi="Times New Roman" w:cs="Times New Roman"/>
          <w:bCs/>
          <w:sz w:val="24"/>
          <w:szCs w:val="24"/>
        </w:rPr>
        <w:t>en aanzien van</w:t>
      </w:r>
      <w:r w:rsidRPr="00D73301">
        <w:rPr>
          <w:rFonts w:ascii="Times New Roman" w:hAnsi="Times New Roman" w:cs="Times New Roman"/>
          <w:bCs/>
          <w:sz w:val="24"/>
          <w:szCs w:val="24"/>
        </w:rPr>
        <w:t xml:space="preserve"> bovenstaande vragen juridisch relevant is dat de regering heeft besloten de </w:t>
      </w:r>
      <w:r w:rsidR="004D3A14">
        <w:rPr>
          <w:rFonts w:ascii="Times New Roman" w:hAnsi="Times New Roman" w:cs="Times New Roman"/>
          <w:bCs/>
          <w:sz w:val="24"/>
          <w:szCs w:val="24"/>
        </w:rPr>
        <w:t>G</w:t>
      </w:r>
      <w:r w:rsidRPr="00D73301">
        <w:rPr>
          <w:rFonts w:ascii="Times New Roman" w:hAnsi="Times New Roman" w:cs="Times New Roman"/>
          <w:bCs/>
          <w:sz w:val="24"/>
          <w:szCs w:val="24"/>
        </w:rPr>
        <w:t>ezinsherenigingsrichtlijn niet van toepassing verklaren, conform artikel 3, tweede lid, aanhef onder c, voor subsidiair beschermden.</w:t>
      </w:r>
    </w:p>
    <w:p w:rsidR="00117D35" w:rsidP="00DD6F5A" w:rsidRDefault="00117D35" w14:paraId="54BE555C" w14:textId="6343633E">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3.2 EVRM</w:t>
      </w:r>
    </w:p>
    <w:p w:rsidRPr="00DD6F5A" w:rsidR="00117D35" w:rsidP="00DD6F5A" w:rsidRDefault="00A079CE" w14:paraId="24DD9C64" w14:textId="6A375293">
      <w:pPr>
        <w:spacing w:line="280" w:lineRule="exact"/>
        <w:rPr>
          <w:rFonts w:ascii="Times New Roman" w:hAnsi="Times New Roman" w:cs="Times New Roman"/>
          <w:bCs/>
          <w:sz w:val="24"/>
          <w:szCs w:val="24"/>
        </w:rPr>
      </w:pPr>
      <w:r w:rsidRPr="00A079CE">
        <w:rPr>
          <w:rFonts w:ascii="Times New Roman" w:hAnsi="Times New Roman" w:cs="Times New Roman"/>
          <w:bCs/>
          <w:sz w:val="24"/>
          <w:szCs w:val="24"/>
        </w:rPr>
        <w:t xml:space="preserve">De leden van de ChristenUnie-fractie merken op dat de regering meermaals verwijst naar de ambtshalve toetsing van de </w:t>
      </w:r>
      <w:r w:rsidR="00C87390">
        <w:rPr>
          <w:rFonts w:ascii="Times New Roman" w:hAnsi="Times New Roman" w:cs="Times New Roman"/>
          <w:bCs/>
          <w:sz w:val="24"/>
          <w:szCs w:val="24"/>
        </w:rPr>
        <w:t>Immigratie- en Naturalisatiedienst (</w:t>
      </w:r>
      <w:r w:rsidRPr="00A079CE">
        <w:rPr>
          <w:rFonts w:ascii="Times New Roman" w:hAnsi="Times New Roman" w:cs="Times New Roman"/>
          <w:bCs/>
          <w:sz w:val="24"/>
          <w:szCs w:val="24"/>
        </w:rPr>
        <w:t>IND</w:t>
      </w:r>
      <w:r w:rsidR="00C87390">
        <w:rPr>
          <w:rFonts w:ascii="Times New Roman" w:hAnsi="Times New Roman" w:cs="Times New Roman"/>
          <w:bCs/>
          <w:sz w:val="24"/>
          <w:szCs w:val="24"/>
        </w:rPr>
        <w:t>)</w:t>
      </w:r>
      <w:r w:rsidRPr="00A079CE">
        <w:rPr>
          <w:rFonts w:ascii="Times New Roman" w:hAnsi="Times New Roman" w:cs="Times New Roman"/>
          <w:bCs/>
          <w:sz w:val="24"/>
          <w:szCs w:val="24"/>
        </w:rPr>
        <w:t xml:space="preserve"> en dat vreemdelingen zich bij de rechter kunnen beroepen op artikel 8 EVRM. Is de regering zich ervan bewust dat artikel 8 EVRM ook betekent dat staten de eerbiediging van dit recht praktisch en effectief moeten maken?</w:t>
      </w:r>
    </w:p>
    <w:p w:rsidRPr="00DD6F5A" w:rsidR="004D3A14" w:rsidP="00DD6F5A" w:rsidRDefault="004D3A14" w14:paraId="10632CB7" w14:textId="77777777">
      <w:pPr>
        <w:spacing w:line="280" w:lineRule="exact"/>
        <w:rPr>
          <w:rFonts w:ascii="Times New Roman" w:hAnsi="Times New Roman" w:cs="Times New Roman"/>
          <w:bCs/>
          <w:sz w:val="24"/>
          <w:szCs w:val="24"/>
        </w:rPr>
      </w:pPr>
    </w:p>
    <w:p w:rsidRPr="00DD6F5A" w:rsidR="00117D35" w:rsidP="00DD6F5A" w:rsidRDefault="00117D35" w14:paraId="64C5665E"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4. Financiële- en uitvoeringsgevolgen </w:t>
      </w:r>
    </w:p>
    <w:p w:rsidR="00117D35" w:rsidP="00DD6F5A" w:rsidRDefault="00117D35" w14:paraId="03F50D47"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4.1 Tweestatusstelsel</w:t>
      </w:r>
    </w:p>
    <w:p w:rsidRPr="00CC4BFD" w:rsidR="001B4D58" w:rsidP="001B4D58" w:rsidRDefault="001B4D58" w14:paraId="706C5C12" w14:textId="77777777">
      <w:pPr>
        <w:rPr>
          <w:rFonts w:ascii="Times New Roman" w:hAnsi="Times New Roman" w:cs="Times New Roman"/>
          <w:sz w:val="24"/>
          <w:szCs w:val="24"/>
        </w:rPr>
      </w:pPr>
      <w:r w:rsidRPr="00CC4BFD">
        <w:rPr>
          <w:rFonts w:ascii="Times New Roman" w:hAnsi="Times New Roman" w:cs="Times New Roman"/>
          <w:sz w:val="24"/>
          <w:szCs w:val="24"/>
        </w:rPr>
        <w:lastRenderedPageBreak/>
        <w:t xml:space="preserve">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 Hoe wordt het recht op een rechterlijke beslissing binnen een redelijke termijn gewaarborgd, hoe wordt het recht op eerbiediging van het gezinsleven en de rechten van het kind gegarandeerd?  </w:t>
      </w:r>
    </w:p>
    <w:p w:rsidR="001B4D58" w:rsidP="001B4D58" w:rsidRDefault="001B4D58" w14:paraId="2B3B285D" w14:textId="019322F8">
      <w:pPr>
        <w:rPr>
          <w:rFonts w:ascii="Times New Roman" w:hAnsi="Times New Roman" w:cs="Times New Roman"/>
          <w:sz w:val="24"/>
          <w:szCs w:val="24"/>
        </w:rPr>
      </w:pPr>
      <w:r w:rsidRPr="00CC4BFD">
        <w:rPr>
          <w:rFonts w:ascii="Times New Roman" w:hAnsi="Times New Roman" w:cs="Times New Roman"/>
          <w:sz w:val="24"/>
          <w:szCs w:val="24"/>
        </w:rPr>
        <w:t>De leden van de SP-fractie wijzen erop dat de TCGCT terecht constateert dat in het nader rapport een nieuwe maatregel wordt geïntroduceerd, namelijk het afschaffen van de bezwaarfase bij ambtshalve besluiten van de IND over 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p>
    <w:p w:rsidRPr="00751EA8" w:rsidR="00A079CE" w:rsidP="00A079CE" w:rsidRDefault="00A079CE" w14:paraId="0DAD38EB" w14:textId="3E5FC3E6">
      <w:pPr>
        <w:rPr>
          <w:rFonts w:ascii="Times New Roman" w:hAnsi="Times New Roman" w:cs="Times New Roman"/>
          <w:bCs/>
          <w:sz w:val="24"/>
          <w:szCs w:val="24"/>
        </w:rPr>
      </w:pPr>
      <w:r w:rsidRPr="00751EA8">
        <w:rPr>
          <w:rFonts w:ascii="Times New Roman" w:hAnsi="Times New Roman" w:cs="Times New Roman"/>
          <w:bCs/>
          <w:sz w:val="24"/>
          <w:szCs w:val="24"/>
        </w:rPr>
        <w:t xml:space="preserve">De leden van de ChristenUnie-fractie </w:t>
      </w:r>
      <w:r>
        <w:rPr>
          <w:rFonts w:ascii="Times New Roman" w:hAnsi="Times New Roman" w:cs="Times New Roman"/>
          <w:bCs/>
          <w:sz w:val="24"/>
          <w:szCs w:val="24"/>
        </w:rPr>
        <w:t xml:space="preserve">maken zich zorgen over het ontbreken van een afdoende </w:t>
      </w:r>
      <w:r w:rsidRPr="00751EA8">
        <w:rPr>
          <w:rFonts w:ascii="Times New Roman" w:hAnsi="Times New Roman" w:cs="Times New Roman"/>
          <w:bCs/>
          <w:sz w:val="24"/>
          <w:szCs w:val="24"/>
        </w:rPr>
        <w:t>onderbouwing over hoe de regering gaat voorkomen dat</w:t>
      </w:r>
      <w:r w:rsidR="00C87390">
        <w:rPr>
          <w:rFonts w:ascii="Times New Roman" w:hAnsi="Times New Roman" w:cs="Times New Roman"/>
          <w:bCs/>
          <w:sz w:val="24"/>
          <w:szCs w:val="24"/>
        </w:rPr>
        <w:t xml:space="preserve"> het wetsvoorstel </w:t>
      </w:r>
      <w:r w:rsidRPr="00751EA8">
        <w:rPr>
          <w:rFonts w:ascii="Times New Roman" w:hAnsi="Times New Roman" w:cs="Times New Roman"/>
          <w:bCs/>
          <w:sz w:val="24"/>
          <w:szCs w:val="24"/>
        </w:rPr>
        <w:t>geen grondrechtenschending tot gevolg z</w:t>
      </w:r>
      <w:r w:rsidR="00C87390">
        <w:rPr>
          <w:rFonts w:ascii="Times New Roman" w:hAnsi="Times New Roman" w:cs="Times New Roman"/>
          <w:bCs/>
          <w:sz w:val="24"/>
          <w:szCs w:val="24"/>
        </w:rPr>
        <w:t>al</w:t>
      </w:r>
      <w:r w:rsidRPr="00751EA8">
        <w:rPr>
          <w:rFonts w:ascii="Times New Roman" w:hAnsi="Times New Roman" w:cs="Times New Roman"/>
          <w:bCs/>
          <w:sz w:val="24"/>
          <w:szCs w:val="24"/>
        </w:rPr>
        <w:t xml:space="preserve"> hebben. Hoe verantwoord</w:t>
      </w:r>
      <w:r>
        <w:rPr>
          <w:rFonts w:ascii="Times New Roman" w:hAnsi="Times New Roman" w:cs="Times New Roman"/>
          <w:bCs/>
          <w:sz w:val="24"/>
          <w:szCs w:val="24"/>
        </w:rPr>
        <w:t>t</w:t>
      </w:r>
      <w:r w:rsidRPr="00751EA8">
        <w:rPr>
          <w:rFonts w:ascii="Times New Roman" w:hAnsi="Times New Roman" w:cs="Times New Roman"/>
          <w:bCs/>
          <w:sz w:val="24"/>
          <w:szCs w:val="24"/>
        </w:rPr>
        <w:t xml:space="preserve"> de regering het ontbreken van deze onderbouwing? Op welke wijze gaat de regering ervoor zorgen dat de wetgeving in overeenstemming is met grondrechten?</w:t>
      </w:r>
    </w:p>
    <w:p w:rsidRPr="0031205F" w:rsidR="00A079CE" w:rsidP="00A079CE" w:rsidRDefault="00C87390" w14:paraId="496D416C" w14:textId="36326849">
      <w:pPr>
        <w:rPr>
          <w:rFonts w:ascii="Times New Roman" w:hAnsi="Times New Roman" w:cs="Times New Roman"/>
          <w:sz w:val="24"/>
          <w:szCs w:val="24"/>
        </w:rPr>
      </w:pPr>
      <w:r w:rsidRPr="00751EA8">
        <w:rPr>
          <w:rFonts w:ascii="Times New Roman" w:hAnsi="Times New Roman" w:cs="Times New Roman"/>
          <w:bCs/>
          <w:sz w:val="24"/>
          <w:szCs w:val="24"/>
        </w:rPr>
        <w:t xml:space="preserve">De leden van de ChristenUnie-fractie </w:t>
      </w:r>
      <w:r w:rsidR="00A079CE">
        <w:rPr>
          <w:rFonts w:ascii="Times New Roman" w:hAnsi="Times New Roman" w:cs="Times New Roman"/>
          <w:sz w:val="24"/>
          <w:szCs w:val="24"/>
        </w:rPr>
        <w:t>hechten grote waarde aan ee</w:t>
      </w:r>
      <w:r w:rsidRPr="0031205F" w:rsidR="00A079CE">
        <w:rPr>
          <w:rFonts w:ascii="Times New Roman" w:hAnsi="Times New Roman" w:cs="Times New Roman"/>
          <w:sz w:val="24"/>
          <w:szCs w:val="24"/>
        </w:rPr>
        <w:t>n zorgvuldige belangenafweging</w:t>
      </w:r>
      <w:r w:rsidR="00A079CE">
        <w:rPr>
          <w:rFonts w:ascii="Times New Roman" w:hAnsi="Times New Roman" w:cs="Times New Roman"/>
          <w:sz w:val="24"/>
          <w:szCs w:val="24"/>
        </w:rPr>
        <w:t xml:space="preserve"> tussen bescherming van grondrechten en het bereiken van een legitiem doel</w:t>
      </w:r>
      <w:r w:rsidRPr="0031205F" w:rsidR="00A079CE">
        <w:rPr>
          <w:rFonts w:ascii="Times New Roman" w:hAnsi="Times New Roman" w:cs="Times New Roman"/>
          <w:sz w:val="24"/>
          <w:szCs w:val="24"/>
        </w:rPr>
        <w:t xml:space="preserve">. </w:t>
      </w:r>
      <w:r w:rsidR="00A079CE">
        <w:rPr>
          <w:rFonts w:ascii="Times New Roman" w:hAnsi="Times New Roman" w:cs="Times New Roman"/>
          <w:sz w:val="24"/>
          <w:szCs w:val="24"/>
        </w:rPr>
        <w:t xml:space="preserve">In die afweging is het belangrijk of een maatregel proportioneel is. </w:t>
      </w:r>
      <w:r w:rsidRPr="0031205F" w:rsidR="00A079CE">
        <w:rPr>
          <w:rFonts w:ascii="Times New Roman" w:hAnsi="Times New Roman" w:cs="Times New Roman"/>
          <w:sz w:val="24"/>
          <w:szCs w:val="24"/>
        </w:rPr>
        <w:t xml:space="preserve">In hoeverre kan de regering verantwoorden dat de voorgenomen maatregelen proportioneel zijn? In hoeverre heeft de regering de voorgestelde maatregelen afgewogen tegen de belangen van de </w:t>
      </w:r>
      <w:r w:rsidR="00A079CE">
        <w:rPr>
          <w:rFonts w:ascii="Times New Roman" w:hAnsi="Times New Roman" w:cs="Times New Roman"/>
          <w:sz w:val="24"/>
          <w:szCs w:val="24"/>
        </w:rPr>
        <w:t>v</w:t>
      </w:r>
      <w:r w:rsidRPr="0031205F" w:rsidR="00A079CE">
        <w:rPr>
          <w:rFonts w:ascii="Times New Roman" w:hAnsi="Times New Roman" w:cs="Times New Roman"/>
          <w:sz w:val="24"/>
          <w:szCs w:val="24"/>
        </w:rPr>
        <w:t xml:space="preserve">reemdelingen wiens grondrechten in het geding zijn? Kan de regering </w:t>
      </w:r>
      <w:r w:rsidR="00A079CE">
        <w:rPr>
          <w:rFonts w:ascii="Times New Roman" w:hAnsi="Times New Roman" w:cs="Times New Roman"/>
          <w:sz w:val="24"/>
          <w:szCs w:val="24"/>
        </w:rPr>
        <w:t>deze afweging</w:t>
      </w:r>
      <w:r w:rsidRPr="0031205F" w:rsidR="00A079CE">
        <w:rPr>
          <w:rFonts w:ascii="Times New Roman" w:hAnsi="Times New Roman" w:cs="Times New Roman"/>
          <w:sz w:val="24"/>
          <w:szCs w:val="24"/>
        </w:rPr>
        <w:t xml:space="preserve"> per punt inzichtelijk maken? Hoe verantwoord</w:t>
      </w:r>
      <w:r w:rsidR="00A079CE">
        <w:rPr>
          <w:rFonts w:ascii="Times New Roman" w:hAnsi="Times New Roman" w:cs="Times New Roman"/>
          <w:sz w:val="24"/>
          <w:szCs w:val="24"/>
        </w:rPr>
        <w:t>t</w:t>
      </w:r>
      <w:r w:rsidRPr="0031205F" w:rsidR="00A079CE">
        <w:rPr>
          <w:rFonts w:ascii="Times New Roman" w:hAnsi="Times New Roman" w:cs="Times New Roman"/>
          <w:sz w:val="24"/>
          <w:szCs w:val="24"/>
        </w:rPr>
        <w:t xml:space="preserve"> de regering het enkel benoemen van het beoogde maatschappelijke doel van de voorgestelde maatregelen</w:t>
      </w:r>
      <w:r w:rsidR="00A079CE">
        <w:rPr>
          <w:rFonts w:ascii="Times New Roman" w:hAnsi="Times New Roman" w:cs="Times New Roman"/>
          <w:sz w:val="24"/>
          <w:szCs w:val="24"/>
        </w:rPr>
        <w:t>, zonder in te gaan op de inmenging in grondrechten en de belangenafweging die dit vraagt</w:t>
      </w:r>
      <w:r w:rsidRPr="0031205F" w:rsidR="00A079CE">
        <w:rPr>
          <w:rFonts w:ascii="Times New Roman" w:hAnsi="Times New Roman" w:cs="Times New Roman"/>
          <w:sz w:val="24"/>
          <w:szCs w:val="24"/>
        </w:rPr>
        <w:t>?</w:t>
      </w:r>
      <w:r>
        <w:rPr>
          <w:rFonts w:ascii="Times New Roman" w:hAnsi="Times New Roman" w:cs="Times New Roman"/>
          <w:sz w:val="24"/>
          <w:szCs w:val="24"/>
        </w:rPr>
        <w:t xml:space="preserve"> </w:t>
      </w:r>
    </w:p>
    <w:p w:rsidR="00A079CE" w:rsidP="00A079CE" w:rsidRDefault="00A079CE" w14:paraId="14A56255" w14:textId="2B3FD920">
      <w:pPr>
        <w:rPr>
          <w:rFonts w:ascii="Times New Roman" w:hAnsi="Times New Roman" w:cs="Times New Roman"/>
          <w:bCs/>
          <w:sz w:val="24"/>
          <w:szCs w:val="24"/>
        </w:rPr>
      </w:pPr>
      <w:r w:rsidRPr="00751EA8">
        <w:rPr>
          <w:rFonts w:ascii="Times New Roman" w:hAnsi="Times New Roman" w:cs="Times New Roman"/>
          <w:bCs/>
          <w:sz w:val="24"/>
          <w:szCs w:val="24"/>
        </w:rPr>
        <w:t xml:space="preserve">De </w:t>
      </w:r>
      <w:r>
        <w:rPr>
          <w:rFonts w:ascii="Times New Roman" w:hAnsi="Times New Roman" w:cs="Times New Roman"/>
          <w:bCs/>
          <w:sz w:val="24"/>
          <w:szCs w:val="24"/>
        </w:rPr>
        <w:t>leden</w:t>
      </w:r>
      <w:r w:rsidRPr="00751EA8">
        <w:rPr>
          <w:rFonts w:ascii="Times New Roman" w:hAnsi="Times New Roman" w:cs="Times New Roman"/>
          <w:bCs/>
          <w:sz w:val="24"/>
          <w:szCs w:val="24"/>
        </w:rPr>
        <w:t xml:space="preserve"> van de ChristenUnie</w:t>
      </w:r>
      <w:r w:rsidR="003F5D82">
        <w:rPr>
          <w:rFonts w:ascii="Times New Roman" w:hAnsi="Times New Roman" w:cs="Times New Roman"/>
          <w:bCs/>
          <w:sz w:val="24"/>
          <w:szCs w:val="24"/>
        </w:rPr>
        <w:t>-fractie</w:t>
      </w:r>
      <w:r w:rsidRPr="00751EA8">
        <w:rPr>
          <w:rFonts w:ascii="Times New Roman" w:hAnsi="Times New Roman" w:cs="Times New Roman"/>
          <w:bCs/>
          <w:sz w:val="24"/>
          <w:szCs w:val="24"/>
        </w:rPr>
        <w:t xml:space="preserve"> hebben kennisgenomen van het risico op grondrechtenschendingen door uitvoeringsproblemen. Hoe gaat de regering ervoor zorgen dat het recht op een rechterlijke beslissing binnen een redelijke termijn, het recht op eerbieding van het gezinsleven en de rechten van het kind niet geschonden worden? Deze leden vinden het opmerkelijk dat de regering stelt dat het niet nuttig of mogelijk is om per maatregel het instroomeffect te bepalen. Waar heeft de regering de het verwachtte effect van alle maatregelen op gebaseerd?</w:t>
      </w:r>
    </w:p>
    <w:p w:rsidRPr="00DD6F5A" w:rsidR="001B4D58" w:rsidP="00DD6F5A" w:rsidRDefault="001B4D58" w14:paraId="6871CA57" w14:textId="77777777">
      <w:pPr>
        <w:spacing w:line="280" w:lineRule="exact"/>
        <w:rPr>
          <w:rFonts w:ascii="Times New Roman" w:hAnsi="Times New Roman" w:cs="Times New Roman"/>
          <w:bCs/>
          <w:sz w:val="24"/>
          <w:szCs w:val="24"/>
        </w:rPr>
      </w:pPr>
    </w:p>
    <w:p w:rsidRPr="00DD6F5A" w:rsidR="00117D35" w:rsidP="00DD6F5A" w:rsidRDefault="00117D35" w14:paraId="706A9F07" w14:textId="23FB254D">
      <w:pPr>
        <w:spacing w:line="280" w:lineRule="exact"/>
        <w:rPr>
          <w:rFonts w:ascii="Times New Roman" w:hAnsi="Times New Roman" w:cs="Times New Roman"/>
          <w:b/>
          <w:sz w:val="24"/>
          <w:szCs w:val="24"/>
        </w:rPr>
      </w:pPr>
      <w:proofErr w:type="spellStart"/>
      <w:r w:rsidRPr="00DD6F5A">
        <w:rPr>
          <w:rFonts w:ascii="Times New Roman" w:hAnsi="Times New Roman" w:cs="Times New Roman"/>
          <w:b/>
          <w:sz w:val="24"/>
          <w:szCs w:val="24"/>
        </w:rPr>
        <w:t>Artikelgewijs</w:t>
      </w:r>
      <w:proofErr w:type="spellEnd"/>
      <w:r w:rsidRPr="00DD6F5A">
        <w:rPr>
          <w:rFonts w:ascii="Times New Roman" w:hAnsi="Times New Roman" w:cs="Times New Roman"/>
          <w:b/>
          <w:sz w:val="24"/>
          <w:szCs w:val="24"/>
        </w:rPr>
        <w:t xml:space="preserve"> deel </w:t>
      </w:r>
    </w:p>
    <w:p w:rsidR="00117D35" w:rsidP="00DD6F5A" w:rsidRDefault="00117D35" w14:paraId="2208B9FE"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II (samenloopbepaling)</w:t>
      </w:r>
    </w:p>
    <w:p w:rsidRPr="00CC4BFD" w:rsidR="001B4D58" w:rsidP="001B4D58" w:rsidRDefault="001B4D58" w14:paraId="69FA7AAC" w14:textId="57CBDA68">
      <w:pPr>
        <w:rPr>
          <w:rFonts w:ascii="Times New Roman" w:hAnsi="Times New Roman" w:cs="Times New Roman"/>
          <w:sz w:val="24"/>
          <w:szCs w:val="24"/>
        </w:rPr>
      </w:pPr>
      <w:r w:rsidRPr="00CC4BFD">
        <w:rPr>
          <w:rFonts w:ascii="Times New Roman" w:hAnsi="Times New Roman" w:cs="Times New Roman"/>
          <w:sz w:val="24"/>
          <w:szCs w:val="24"/>
        </w:rPr>
        <w:lastRenderedPageBreak/>
        <w:t xml:space="preserve">De leden van de SP-fractie constateren dat de problemen in de uitvoering met het risico op grondrechtenschendingen nog eens wordt versterkt door de komst van het </w:t>
      </w:r>
      <w:r w:rsidR="00CA5041">
        <w:rPr>
          <w:rFonts w:ascii="Times New Roman" w:hAnsi="Times New Roman" w:cs="Times New Roman"/>
          <w:sz w:val="24"/>
          <w:szCs w:val="24"/>
        </w:rPr>
        <w:t>EU</w:t>
      </w:r>
      <w:r w:rsidRPr="00CC4BFD">
        <w:rPr>
          <w:rFonts w:ascii="Times New Roman" w:hAnsi="Times New Roman" w:cs="Times New Roman"/>
          <w:sz w:val="24"/>
          <w:szCs w:val="24"/>
        </w:rPr>
        <w:t xml:space="preserve"> Asiel- en </w:t>
      </w:r>
      <w:r w:rsidR="00CA5041">
        <w:rPr>
          <w:rFonts w:ascii="Times New Roman" w:hAnsi="Times New Roman" w:cs="Times New Roman"/>
          <w:sz w:val="24"/>
          <w:szCs w:val="24"/>
        </w:rPr>
        <w:t>m</w:t>
      </w:r>
      <w:r w:rsidRPr="00CC4BFD">
        <w:rPr>
          <w:rFonts w:ascii="Times New Roman" w:hAnsi="Times New Roman" w:cs="Times New Roman"/>
          <w:sz w:val="24"/>
          <w:szCs w:val="24"/>
        </w:rPr>
        <w:t>igratiepact. Deze nieuwe regels treden per 12 juni 2026 in werking. Weer nieuwe regels, die zorgen voor wijzigingen in de uitvoering en in de rechtspraak. Erkent de regering dit?</w:t>
      </w:r>
    </w:p>
    <w:p w:rsidRPr="00CC4BFD" w:rsidR="001B4D58" w:rsidP="001B4D58" w:rsidRDefault="001B4D58" w14:paraId="4940FD7D" w14:textId="77777777">
      <w:pPr>
        <w:rPr>
          <w:rFonts w:ascii="Times New Roman" w:hAnsi="Times New Roman" w:cs="Times New Roman"/>
          <w:sz w:val="24"/>
          <w:szCs w:val="24"/>
        </w:rPr>
      </w:pPr>
      <w:r w:rsidRPr="00CC4BFD">
        <w:rPr>
          <w:rFonts w:ascii="Times New Roman" w:hAnsi="Times New Roman" w:cs="Times New Roman"/>
          <w:sz w:val="24"/>
          <w:szCs w:val="24"/>
        </w:rPr>
        <w:t xml:space="preserve">Wanneer verwacht de regering eigenlijk redelijkerwijs de thans voorliggende asielwetten door de Tweede en Eerste Kamer behandeld te hebben en in werking te laten treden? Hoeveel maanden is dat nog voor de inwerkingtreding van het EU Asiel- en migratiepact? </w:t>
      </w:r>
    </w:p>
    <w:p w:rsidRPr="00CC4BFD" w:rsidR="001B4D58" w:rsidP="001B4D58" w:rsidRDefault="001B4D58" w14:paraId="5D49788E" w14:textId="06107A5F">
      <w:pPr>
        <w:rPr>
          <w:rFonts w:ascii="Times New Roman" w:hAnsi="Times New Roman" w:cs="Times New Roman"/>
          <w:sz w:val="24"/>
          <w:szCs w:val="24"/>
        </w:rPr>
      </w:pPr>
      <w:r w:rsidRPr="00CC4BFD">
        <w:rPr>
          <w:rFonts w:ascii="Times New Roman" w:hAnsi="Times New Roman" w:cs="Times New Roman"/>
          <w:sz w:val="24"/>
          <w:szCs w:val="24"/>
        </w:rPr>
        <w:t>Waarom is niet op voorhand gezorgd voor afstemming met dit EU</w:t>
      </w:r>
      <w:r w:rsidR="00CA5041">
        <w:rPr>
          <w:rFonts w:ascii="Times New Roman" w:hAnsi="Times New Roman" w:cs="Times New Roman"/>
          <w:sz w:val="24"/>
          <w:szCs w:val="24"/>
        </w:rPr>
        <w:t xml:space="preserve"> Asiel- en </w:t>
      </w:r>
      <w:r w:rsidRPr="00CC4BFD">
        <w:rPr>
          <w:rFonts w:ascii="Times New Roman" w:hAnsi="Times New Roman" w:cs="Times New Roman"/>
          <w:sz w:val="24"/>
          <w:szCs w:val="24"/>
        </w:rPr>
        <w:t xml:space="preserve">migratiepact om nieuwe wijzigingen te voorkomen? Zou het niet beter zijn de regels gelijktijdig met de inwerkingtreding van </w:t>
      </w:r>
      <w:r w:rsidR="00CA5041">
        <w:rPr>
          <w:rFonts w:ascii="Times New Roman" w:hAnsi="Times New Roman" w:cs="Times New Roman"/>
          <w:sz w:val="24"/>
          <w:szCs w:val="24"/>
        </w:rPr>
        <w:t xml:space="preserve">het </w:t>
      </w:r>
      <w:r w:rsidRPr="00CC4BFD">
        <w:rPr>
          <w:rFonts w:ascii="Times New Roman" w:hAnsi="Times New Roman" w:cs="Times New Roman"/>
          <w:sz w:val="24"/>
          <w:szCs w:val="24"/>
        </w:rPr>
        <w:t xml:space="preserve">pact te wijzigen en in werking te laten treden om nieuwe problemen in de uitvoering en bij de rechtspraak met het risico op grondrechtenschendingen dat dit met zich meebrengt, te voorkomen? </w:t>
      </w:r>
    </w:p>
    <w:p w:rsidRPr="00DD6F5A" w:rsidR="00117D35" w:rsidP="00DD6F5A" w:rsidRDefault="00117D35" w14:paraId="43D419F1"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III (inwerkingtreding)</w:t>
      </w:r>
    </w:p>
    <w:p w:rsidR="00121E58" w:rsidP="00121E58" w:rsidRDefault="00121E58" w14:paraId="437B9B21" w14:textId="77777777">
      <w:pPr>
        <w:spacing w:line="257" w:lineRule="auto"/>
      </w:pPr>
      <w:r w:rsidRPr="032DEB03">
        <w:rPr>
          <w:rFonts w:ascii="Times New Roman" w:hAnsi="Times New Roman" w:eastAsia="Times New Roman" w:cs="Times New Roman"/>
          <w:color w:val="000000" w:themeColor="text1"/>
          <w:sz w:val="24"/>
          <w:szCs w:val="24"/>
        </w:rPr>
        <w:t xml:space="preserve">De regering stelt voor vrijwel alle maatregelen onmiddellijk in werking te laten treden, waarbij ze ook van toepassing zullen zijn op lopende aanvragen. De leden van de D66-fractie wijzen op het advies van de TCGCT om af te wegen hoe de keuze voor onmiddellijke werking zich verhoudt tot het rechtszekerheidsbeginsel en het recht op gelijke behandeling. Deze leden vragen de regering of zij moeten concluderen dat de regering geen belangenafweging heeft gemaakt met betrekking tot de inwerkingtreding en deze beginselen. Ook verzoeken zij de regering met klem om deze belangenafweging desalniettemin te maken en te delen. </w:t>
      </w:r>
      <w:r w:rsidRPr="032DEB03">
        <w:rPr>
          <w:rFonts w:ascii="Times New Roman" w:hAnsi="Times New Roman" w:eastAsia="Times New Roman" w:cs="Times New Roman"/>
          <w:sz w:val="24"/>
          <w:szCs w:val="24"/>
        </w:rPr>
        <w:t xml:space="preserve"> </w:t>
      </w:r>
    </w:p>
    <w:p w:rsidR="001B4D58" w:rsidP="001B4D58" w:rsidRDefault="001B4D58" w14:paraId="41E89038" w14:textId="2CDD4D11">
      <w:pPr>
        <w:rPr>
          <w:rFonts w:ascii="Times New Roman" w:hAnsi="Times New Roman" w:cs="Times New Roman"/>
          <w:sz w:val="24"/>
          <w:szCs w:val="24"/>
        </w:rPr>
      </w:pPr>
      <w:r w:rsidRPr="00CC4BFD">
        <w:rPr>
          <w:rFonts w:ascii="Times New Roman" w:hAnsi="Times New Roman" w:cs="Times New Roman"/>
          <w:sz w:val="24"/>
          <w:szCs w:val="24"/>
        </w:rPr>
        <w:t xml:space="preserve">De leden van de SP-fractie constateren dat de keuze om de wet onmiddellijke werking te laten hebben inbreuk maakt op het beginsel van rechtszekerheid en het recht op gelijke behandeling, omdat de nieuwe regels van toepassing worden op aanvragen die al eerder waren ingediend en het verschil in behandeling wordt veroorzaakt door het moment waarop het besluit wordt genomen door de (overbelaste) uitvoering. Kan de regering toelichten waarom er volgens haar geen sprake is van strijd met het rechtszekerheidsbeginsel en het recht op gelijke behandeling, of waarom deze inbreuk gerechtvaardigd zou zijn? </w:t>
      </w:r>
    </w:p>
    <w:p w:rsidR="00BC3369" w:rsidP="00BC3369" w:rsidRDefault="00BC3369" w14:paraId="75169115" w14:textId="77777777">
      <w:pPr>
        <w:rPr>
          <w:rFonts w:ascii="Times New Roman" w:hAnsi="Times New Roman" w:cs="Times New Roman"/>
          <w:bCs/>
          <w:sz w:val="24"/>
          <w:szCs w:val="24"/>
        </w:rPr>
      </w:pPr>
      <w:r w:rsidRPr="00751EA8">
        <w:rPr>
          <w:rFonts w:ascii="Times New Roman" w:hAnsi="Times New Roman" w:cs="Times New Roman"/>
          <w:bCs/>
          <w:sz w:val="24"/>
          <w:szCs w:val="24"/>
        </w:rPr>
        <w:t>De leden van de ChristenUnie-fractie hebben kennisgenomen van de keuze van de regering om het grootste deel van de voorgestelde maatregelen direct in werking te laten treden. In hoeverre kan de regering deze keuze verantwoorden wetende dat dit kan leiden tot ongelijke behandeling en strijd met het rechtszekerheidsbeginsel? Is de regering bereid om aanvragen tot nareis te behandelen op basis van het recht dat gold ten tijde van de aanvraag om ongelijke behandeling te voorkomen?</w:t>
      </w:r>
    </w:p>
    <w:p w:rsidR="00984733" w:rsidP="00121E58" w:rsidRDefault="00BC3369" w14:paraId="615F7F37" w14:textId="6CC41ED6">
      <w:pPr>
        <w:rPr>
          <w:rFonts w:ascii="Times New Roman" w:hAnsi="Times New Roman" w:cs="Times New Roman"/>
          <w:bCs/>
          <w:sz w:val="24"/>
          <w:szCs w:val="24"/>
        </w:rPr>
      </w:pPr>
      <w:r>
        <w:rPr>
          <w:rFonts w:ascii="Times New Roman" w:hAnsi="Times New Roman" w:cs="Times New Roman"/>
          <w:bCs/>
          <w:sz w:val="24"/>
          <w:szCs w:val="24"/>
        </w:rPr>
        <w:t xml:space="preserve">De leden van de ChristenUnie-fractie </w:t>
      </w:r>
      <w:r w:rsidRPr="00751EA8">
        <w:rPr>
          <w:rFonts w:ascii="Times New Roman" w:hAnsi="Times New Roman" w:cs="Times New Roman"/>
          <w:bCs/>
          <w:sz w:val="24"/>
          <w:szCs w:val="24"/>
        </w:rPr>
        <w:t xml:space="preserve">willen de regering nogmaals wijzen op het Europese Asiel- en </w:t>
      </w:r>
      <w:r w:rsidR="006E0474">
        <w:rPr>
          <w:rFonts w:ascii="Times New Roman" w:hAnsi="Times New Roman" w:cs="Times New Roman"/>
          <w:bCs/>
          <w:sz w:val="24"/>
          <w:szCs w:val="24"/>
        </w:rPr>
        <w:t>m</w:t>
      </w:r>
      <w:r w:rsidRPr="00751EA8">
        <w:rPr>
          <w:rFonts w:ascii="Times New Roman" w:hAnsi="Times New Roman" w:cs="Times New Roman"/>
          <w:bCs/>
          <w:sz w:val="24"/>
          <w:szCs w:val="24"/>
        </w:rPr>
        <w:t>igratiepact dat per 12 juni 2026 van toepassing is. Hoe verantwoord</w:t>
      </w:r>
      <w:r>
        <w:rPr>
          <w:rFonts w:ascii="Times New Roman" w:hAnsi="Times New Roman" w:cs="Times New Roman"/>
          <w:bCs/>
          <w:sz w:val="24"/>
          <w:szCs w:val="24"/>
        </w:rPr>
        <w:t>t</w:t>
      </w:r>
      <w:r w:rsidRPr="00751EA8">
        <w:rPr>
          <w:rFonts w:ascii="Times New Roman" w:hAnsi="Times New Roman" w:cs="Times New Roman"/>
          <w:bCs/>
          <w:sz w:val="24"/>
          <w:szCs w:val="24"/>
        </w:rPr>
        <w:t xml:space="preserve"> de regering de mogelijke onwenselijke gevolgen van het aanpassen of intrekken van het wetsvoorstel op korte termijn in verband met het Europese Asiel- en </w:t>
      </w:r>
      <w:r w:rsidR="006E0474">
        <w:rPr>
          <w:rFonts w:ascii="Times New Roman" w:hAnsi="Times New Roman" w:cs="Times New Roman"/>
          <w:bCs/>
          <w:sz w:val="24"/>
          <w:szCs w:val="24"/>
        </w:rPr>
        <w:t>m</w:t>
      </w:r>
      <w:r w:rsidRPr="00751EA8">
        <w:rPr>
          <w:rFonts w:ascii="Times New Roman" w:hAnsi="Times New Roman" w:cs="Times New Roman"/>
          <w:bCs/>
          <w:sz w:val="24"/>
          <w:szCs w:val="24"/>
        </w:rPr>
        <w:t>igratiepact? Overweegt de regering het wetsvoorstel af te stemmen met de wet ter uitvoering van het pact? In hoeverre heeft de regering de rechtszekerheid af gewogen tegen de noodzaak om regelgeving aan te passen?</w:t>
      </w:r>
    </w:p>
    <w:p w:rsidRPr="00121E58" w:rsidR="00121E58" w:rsidP="00121E58" w:rsidRDefault="00121E58" w14:paraId="76686494" w14:textId="45CBF404">
      <w:pPr>
        <w:rPr>
          <w:rFonts w:ascii="Times New Roman" w:hAnsi="Times New Roman" w:cs="Times New Roman"/>
          <w:bCs/>
          <w:sz w:val="24"/>
          <w:szCs w:val="24"/>
        </w:rPr>
      </w:pPr>
      <w:r w:rsidRPr="00121E58">
        <w:rPr>
          <w:rFonts w:ascii="Times New Roman" w:hAnsi="Times New Roman" w:cs="Times New Roman"/>
          <w:bCs/>
          <w:sz w:val="24"/>
          <w:szCs w:val="24"/>
        </w:rPr>
        <w:t xml:space="preserve">De leden van de D66-fractie merken op dat de TCGCT wijst op het rechtszekerheidsbeginsel in relatie tot het onderliggende wetsvoorstel en de te verwachten implementatiewet van het </w:t>
      </w:r>
      <w:r w:rsidRPr="00121E58">
        <w:rPr>
          <w:rFonts w:ascii="Times New Roman" w:hAnsi="Times New Roman" w:cs="Times New Roman"/>
          <w:bCs/>
          <w:sz w:val="24"/>
          <w:szCs w:val="24"/>
        </w:rPr>
        <w:lastRenderedPageBreak/>
        <w:t xml:space="preserve">Europese Asiel- en </w:t>
      </w:r>
      <w:r w:rsidR="00550697">
        <w:rPr>
          <w:rFonts w:ascii="Times New Roman" w:hAnsi="Times New Roman" w:cs="Times New Roman"/>
          <w:bCs/>
          <w:sz w:val="24"/>
          <w:szCs w:val="24"/>
        </w:rPr>
        <w:t>m</w:t>
      </w:r>
      <w:r w:rsidRPr="00121E58">
        <w:rPr>
          <w:rFonts w:ascii="Times New Roman" w:hAnsi="Times New Roman" w:cs="Times New Roman"/>
          <w:bCs/>
          <w:sz w:val="24"/>
          <w:szCs w:val="24"/>
        </w:rPr>
        <w:t xml:space="preserve">igratiepact. Deze leden lezen ook dat de regering heeft aangegeven de inwerkingtreding van het </w:t>
      </w:r>
      <w:r w:rsidR="00550697">
        <w:rPr>
          <w:rFonts w:ascii="Times New Roman" w:hAnsi="Times New Roman" w:cs="Times New Roman"/>
          <w:bCs/>
          <w:sz w:val="24"/>
          <w:szCs w:val="24"/>
        </w:rPr>
        <w:t>p</w:t>
      </w:r>
      <w:r w:rsidRPr="00121E58">
        <w:rPr>
          <w:rFonts w:ascii="Times New Roman" w:hAnsi="Times New Roman" w:cs="Times New Roman"/>
          <w:bCs/>
          <w:sz w:val="24"/>
          <w:szCs w:val="24"/>
        </w:rPr>
        <w:t>act over dertien maanden niet af te willen wachten en dat zij daarom nu dit wetsvoorstel presenteert. Kan de regering uiteenzetten hoe het rechtszekerheidsbeginsel geborgd kan worden met deze werkwijze, zo vragen deze leden.</w:t>
      </w:r>
    </w:p>
    <w:p w:rsidR="00A401FF" w:rsidRDefault="00A401FF" w14:paraId="14E9966A" w14:textId="77777777">
      <w:pPr>
        <w:rPr>
          <w:rFonts w:ascii="Times New Roman" w:hAnsi="Times New Roman" w:eastAsia="Times New Roman" w:cs="Times New Roman"/>
          <w:sz w:val="24"/>
          <w:szCs w:val="24"/>
        </w:rPr>
      </w:pPr>
    </w:p>
    <w:p w:rsidR="00841B8B" w:rsidRDefault="78A04EF1" w14:paraId="05F0856A" w14:textId="77777777">
      <w:pPr>
        <w:rPr>
          <w:rFonts w:ascii="Times New Roman" w:hAnsi="Times New Roman" w:eastAsia="Times New Roman" w:cs="Times New Roman"/>
          <w:sz w:val="24"/>
          <w:szCs w:val="24"/>
        </w:rPr>
      </w:pPr>
      <w:r w:rsidRPr="78A04EF1">
        <w:rPr>
          <w:rFonts w:ascii="Times New Roman" w:hAnsi="Times New Roman" w:eastAsia="Times New Roman" w:cs="Times New Roman"/>
          <w:sz w:val="24"/>
          <w:szCs w:val="24"/>
        </w:rPr>
        <w:t xml:space="preserve">De voorzitter van de commissie, </w:t>
      </w:r>
    </w:p>
    <w:p w:rsidR="78A04EF1" w:rsidRDefault="00117D35" w14:paraId="31C3B7CA" w14:textId="37B06A73">
      <w:pPr>
        <w:rPr>
          <w:rFonts w:ascii="Times New Roman" w:hAnsi="Times New Roman" w:eastAsia="Times New Roman" w:cs="Times New Roman"/>
          <w:sz w:val="24"/>
          <w:szCs w:val="24"/>
        </w:rPr>
      </w:pPr>
      <w:r>
        <w:rPr>
          <w:rFonts w:ascii="Times New Roman" w:hAnsi="Times New Roman" w:eastAsia="Times New Roman" w:cs="Times New Roman"/>
          <w:sz w:val="24"/>
          <w:szCs w:val="24"/>
        </w:rPr>
        <w:t>Vijlbrief</w:t>
      </w:r>
      <w:r w:rsidRPr="78A04EF1" w:rsidR="78A04EF1">
        <w:rPr>
          <w:rFonts w:ascii="Times New Roman" w:hAnsi="Times New Roman" w:eastAsia="Times New Roman" w:cs="Times New Roman"/>
          <w:sz w:val="24"/>
          <w:szCs w:val="24"/>
        </w:rPr>
        <w:t xml:space="preserve"> </w:t>
      </w:r>
    </w:p>
    <w:p w:rsidR="00841B8B" w:rsidRDefault="00841B8B" w14:paraId="27B6BA80" w14:textId="77777777"/>
    <w:p w:rsidR="00841B8B" w:rsidRDefault="00293920" w14:paraId="5B4FABCB" w14:textId="0FAF8E60">
      <w:pPr>
        <w:rPr>
          <w:rFonts w:ascii="Times New Roman" w:hAnsi="Times New Roman" w:eastAsia="Times New Roman" w:cs="Times New Roman"/>
          <w:sz w:val="24"/>
          <w:szCs w:val="24"/>
        </w:rPr>
      </w:pPr>
      <w:r>
        <w:rPr>
          <w:rFonts w:ascii="Times New Roman" w:hAnsi="Times New Roman" w:eastAsia="Times New Roman" w:cs="Times New Roman"/>
          <w:sz w:val="24"/>
          <w:szCs w:val="24"/>
        </w:rPr>
        <w:t>De g</w:t>
      </w:r>
      <w:r w:rsidRPr="78A04EF1" w:rsidR="78A04EF1">
        <w:rPr>
          <w:rFonts w:ascii="Times New Roman" w:hAnsi="Times New Roman" w:eastAsia="Times New Roman" w:cs="Times New Roman"/>
          <w:sz w:val="24"/>
          <w:szCs w:val="24"/>
        </w:rPr>
        <w:t xml:space="preserve">riffier van de commissie, </w:t>
      </w:r>
    </w:p>
    <w:p w:rsidR="78A04EF1" w:rsidRDefault="00117D35" w14:paraId="150A70E8" w14:textId="0ED9F9C5">
      <w:r>
        <w:rPr>
          <w:rFonts w:ascii="Times New Roman" w:hAnsi="Times New Roman" w:eastAsia="Times New Roman" w:cs="Times New Roman"/>
          <w:sz w:val="24"/>
          <w:szCs w:val="24"/>
        </w:rPr>
        <w:t>Burger</w:t>
      </w:r>
    </w:p>
    <w:p w:rsidRPr="008314A7" w:rsidR="78A04EF1" w:rsidP="78A04EF1" w:rsidRDefault="78A04EF1" w14:paraId="76ED4583" w14:textId="5803469A">
      <w:pPr>
        <w:rPr>
          <w:b/>
          <w:bCs/>
        </w:rPr>
      </w:pPr>
    </w:p>
    <w:sectPr w:rsidRPr="008314A7" w:rsidR="78A04EF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47D2" w14:textId="77777777" w:rsidR="00B901FA" w:rsidRDefault="00B901FA" w:rsidP="00B901FA">
      <w:pPr>
        <w:spacing w:after="0" w:line="240" w:lineRule="auto"/>
      </w:pPr>
      <w:r>
        <w:separator/>
      </w:r>
    </w:p>
  </w:endnote>
  <w:endnote w:type="continuationSeparator" w:id="0">
    <w:p w14:paraId="3F5AC2C6" w14:textId="77777777" w:rsidR="00B901FA" w:rsidRDefault="00B901FA" w:rsidP="00B901FA">
      <w:pPr>
        <w:spacing w:after="0" w:line="240" w:lineRule="auto"/>
      </w:pPr>
      <w:r>
        <w:continuationSeparator/>
      </w:r>
    </w:p>
  </w:endnote>
  <w:endnote w:type="continuationNotice" w:id="1">
    <w:p w14:paraId="48E50292" w14:textId="77777777" w:rsidR="0036394F" w:rsidRDefault="00363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JCACA G+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95120"/>
      <w:docPartObj>
        <w:docPartGallery w:val="Page Numbers (Bottom of Page)"/>
        <w:docPartUnique/>
      </w:docPartObj>
    </w:sdtPr>
    <w:sdtEndPr/>
    <w:sdtContent>
      <w:p w14:paraId="2C74B65A" w14:textId="2E7F9895" w:rsidR="003F4276" w:rsidRDefault="003F4276">
        <w:pPr>
          <w:pStyle w:val="Voettekst"/>
          <w:jc w:val="right"/>
        </w:pPr>
        <w:r>
          <w:fldChar w:fldCharType="begin"/>
        </w:r>
        <w:r>
          <w:instrText>PAGE   \* MERGEFORMAT</w:instrText>
        </w:r>
        <w:r>
          <w:fldChar w:fldCharType="separate"/>
        </w:r>
        <w:r>
          <w:t>2</w:t>
        </w:r>
        <w:r>
          <w:fldChar w:fldCharType="end"/>
        </w:r>
      </w:p>
    </w:sdtContent>
  </w:sdt>
  <w:p w14:paraId="1B739ACE" w14:textId="77777777" w:rsidR="003F4276" w:rsidRDefault="003F42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EF2A" w14:textId="77777777" w:rsidR="00B901FA" w:rsidRDefault="00B901FA" w:rsidP="00B901FA">
      <w:pPr>
        <w:spacing w:after="0" w:line="240" w:lineRule="auto"/>
      </w:pPr>
      <w:r>
        <w:separator/>
      </w:r>
    </w:p>
  </w:footnote>
  <w:footnote w:type="continuationSeparator" w:id="0">
    <w:p w14:paraId="1C4D9528" w14:textId="77777777" w:rsidR="00B901FA" w:rsidRDefault="00B901FA" w:rsidP="00B901FA">
      <w:pPr>
        <w:spacing w:after="0" w:line="240" w:lineRule="auto"/>
      </w:pPr>
      <w:r>
        <w:continuationSeparator/>
      </w:r>
    </w:p>
  </w:footnote>
  <w:footnote w:type="continuationNotice" w:id="1">
    <w:p w14:paraId="62E99CFE" w14:textId="77777777" w:rsidR="0036394F" w:rsidRDefault="003639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55E37E"/>
    <w:multiLevelType w:val="hybridMultilevel"/>
    <w:tmpl w:val="C6D210BC"/>
    <w:lvl w:ilvl="0" w:tplc="3EE2EB7E">
      <w:start w:val="1"/>
      <w:numFmt w:val="bullet"/>
      <w:lvlText w:val="-"/>
      <w:lvlJc w:val="left"/>
      <w:pPr>
        <w:ind w:left="720" w:hanging="360"/>
      </w:pPr>
      <w:rPr>
        <w:rFonts w:ascii="Aptos" w:hAnsi="Aptos" w:hint="default"/>
      </w:rPr>
    </w:lvl>
    <w:lvl w:ilvl="1" w:tplc="EB604586">
      <w:start w:val="1"/>
      <w:numFmt w:val="bullet"/>
      <w:lvlText w:val="o"/>
      <w:lvlJc w:val="left"/>
      <w:pPr>
        <w:ind w:left="1440" w:hanging="360"/>
      </w:pPr>
      <w:rPr>
        <w:rFonts w:ascii="Courier New" w:hAnsi="Courier New" w:hint="default"/>
      </w:rPr>
    </w:lvl>
    <w:lvl w:ilvl="2" w:tplc="7E70197C">
      <w:start w:val="1"/>
      <w:numFmt w:val="bullet"/>
      <w:lvlText w:val=""/>
      <w:lvlJc w:val="left"/>
      <w:pPr>
        <w:ind w:left="2160" w:hanging="360"/>
      </w:pPr>
      <w:rPr>
        <w:rFonts w:ascii="Wingdings" w:hAnsi="Wingdings" w:hint="default"/>
      </w:rPr>
    </w:lvl>
    <w:lvl w:ilvl="3" w:tplc="EEE68E58">
      <w:start w:val="1"/>
      <w:numFmt w:val="bullet"/>
      <w:lvlText w:val=""/>
      <w:lvlJc w:val="left"/>
      <w:pPr>
        <w:ind w:left="2880" w:hanging="360"/>
      </w:pPr>
      <w:rPr>
        <w:rFonts w:ascii="Symbol" w:hAnsi="Symbol" w:hint="default"/>
      </w:rPr>
    </w:lvl>
    <w:lvl w:ilvl="4" w:tplc="5E8C837E">
      <w:start w:val="1"/>
      <w:numFmt w:val="bullet"/>
      <w:lvlText w:val="o"/>
      <w:lvlJc w:val="left"/>
      <w:pPr>
        <w:ind w:left="3600" w:hanging="360"/>
      </w:pPr>
      <w:rPr>
        <w:rFonts w:ascii="Courier New" w:hAnsi="Courier New" w:hint="default"/>
      </w:rPr>
    </w:lvl>
    <w:lvl w:ilvl="5" w:tplc="F6FCECA6">
      <w:start w:val="1"/>
      <w:numFmt w:val="bullet"/>
      <w:lvlText w:val=""/>
      <w:lvlJc w:val="left"/>
      <w:pPr>
        <w:ind w:left="4320" w:hanging="360"/>
      </w:pPr>
      <w:rPr>
        <w:rFonts w:ascii="Wingdings" w:hAnsi="Wingdings" w:hint="default"/>
      </w:rPr>
    </w:lvl>
    <w:lvl w:ilvl="6" w:tplc="4B2C3A3A">
      <w:start w:val="1"/>
      <w:numFmt w:val="bullet"/>
      <w:lvlText w:val=""/>
      <w:lvlJc w:val="left"/>
      <w:pPr>
        <w:ind w:left="5040" w:hanging="360"/>
      </w:pPr>
      <w:rPr>
        <w:rFonts w:ascii="Symbol" w:hAnsi="Symbol" w:hint="default"/>
      </w:rPr>
    </w:lvl>
    <w:lvl w:ilvl="7" w:tplc="52506166">
      <w:start w:val="1"/>
      <w:numFmt w:val="bullet"/>
      <w:lvlText w:val="o"/>
      <w:lvlJc w:val="left"/>
      <w:pPr>
        <w:ind w:left="5760" w:hanging="360"/>
      </w:pPr>
      <w:rPr>
        <w:rFonts w:ascii="Courier New" w:hAnsi="Courier New" w:hint="default"/>
      </w:rPr>
    </w:lvl>
    <w:lvl w:ilvl="8" w:tplc="FF621524">
      <w:start w:val="1"/>
      <w:numFmt w:val="bullet"/>
      <w:lvlText w:val=""/>
      <w:lvlJc w:val="left"/>
      <w:pPr>
        <w:ind w:left="6480" w:hanging="360"/>
      </w:pPr>
      <w:rPr>
        <w:rFonts w:ascii="Wingdings" w:hAnsi="Wingdings" w:hint="default"/>
      </w:rPr>
    </w:lvl>
  </w:abstractNum>
  <w:abstractNum w:abstractNumId="6"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6"/>
  </w:num>
  <w:num w:numId="3" w16cid:durableId="177084135">
    <w:abstractNumId w:val="7"/>
  </w:num>
  <w:num w:numId="4" w16cid:durableId="528102346">
    <w:abstractNumId w:val="3"/>
  </w:num>
  <w:num w:numId="5" w16cid:durableId="1220827901">
    <w:abstractNumId w:val="8"/>
  </w:num>
  <w:num w:numId="6" w16cid:durableId="1120150890">
    <w:abstractNumId w:val="0"/>
  </w:num>
  <w:num w:numId="7" w16cid:durableId="1594123328">
    <w:abstractNumId w:val="4"/>
  </w:num>
  <w:num w:numId="8" w16cid:durableId="1276869377">
    <w:abstractNumId w:val="2"/>
  </w:num>
  <w:num w:numId="9" w16cid:durableId="1408990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12725"/>
    <w:rsid w:val="000222FB"/>
    <w:rsid w:val="00031993"/>
    <w:rsid w:val="00032BAD"/>
    <w:rsid w:val="00046137"/>
    <w:rsid w:val="00047BE8"/>
    <w:rsid w:val="0009203F"/>
    <w:rsid w:val="000A1E13"/>
    <w:rsid w:val="000B51A8"/>
    <w:rsid w:val="000C5331"/>
    <w:rsid w:val="000D3C86"/>
    <w:rsid w:val="000D6620"/>
    <w:rsid w:val="000D6E67"/>
    <w:rsid w:val="0011599F"/>
    <w:rsid w:val="00117D35"/>
    <w:rsid w:val="00121777"/>
    <w:rsid w:val="00121E58"/>
    <w:rsid w:val="001250A5"/>
    <w:rsid w:val="00137221"/>
    <w:rsid w:val="00150389"/>
    <w:rsid w:val="001511DF"/>
    <w:rsid w:val="00157133"/>
    <w:rsid w:val="00157C64"/>
    <w:rsid w:val="00161C3B"/>
    <w:rsid w:val="001855F5"/>
    <w:rsid w:val="00195DD9"/>
    <w:rsid w:val="001A5627"/>
    <w:rsid w:val="001B185D"/>
    <w:rsid w:val="001B4D58"/>
    <w:rsid w:val="001B78F5"/>
    <w:rsid w:val="001F4AB0"/>
    <w:rsid w:val="001F64D3"/>
    <w:rsid w:val="00202EE1"/>
    <w:rsid w:val="002048E5"/>
    <w:rsid w:val="00207A6E"/>
    <w:rsid w:val="0021690A"/>
    <w:rsid w:val="0022370B"/>
    <w:rsid w:val="002309E4"/>
    <w:rsid w:val="00233807"/>
    <w:rsid w:val="0024336B"/>
    <w:rsid w:val="00265DC8"/>
    <w:rsid w:val="00287AF0"/>
    <w:rsid w:val="00293920"/>
    <w:rsid w:val="00296AC3"/>
    <w:rsid w:val="002A2613"/>
    <w:rsid w:val="002B04F2"/>
    <w:rsid w:val="002B1FA0"/>
    <w:rsid w:val="002B289A"/>
    <w:rsid w:val="002B564F"/>
    <w:rsid w:val="002C2869"/>
    <w:rsid w:val="002C5ACD"/>
    <w:rsid w:val="002C5F81"/>
    <w:rsid w:val="00321D4B"/>
    <w:rsid w:val="003249C4"/>
    <w:rsid w:val="00325B32"/>
    <w:rsid w:val="00335161"/>
    <w:rsid w:val="003405A0"/>
    <w:rsid w:val="00356F17"/>
    <w:rsid w:val="003609A9"/>
    <w:rsid w:val="0036394F"/>
    <w:rsid w:val="003927D4"/>
    <w:rsid w:val="003A6F41"/>
    <w:rsid w:val="003C3C97"/>
    <w:rsid w:val="003F4276"/>
    <w:rsid w:val="003F515F"/>
    <w:rsid w:val="003F5D82"/>
    <w:rsid w:val="00422A5F"/>
    <w:rsid w:val="00431239"/>
    <w:rsid w:val="004323A2"/>
    <w:rsid w:val="0043586D"/>
    <w:rsid w:val="004408BE"/>
    <w:rsid w:val="00477B6B"/>
    <w:rsid w:val="004913A0"/>
    <w:rsid w:val="004C1C12"/>
    <w:rsid w:val="004C5FA9"/>
    <w:rsid w:val="004D3A14"/>
    <w:rsid w:val="004D405B"/>
    <w:rsid w:val="005034C1"/>
    <w:rsid w:val="00515B8E"/>
    <w:rsid w:val="0051685C"/>
    <w:rsid w:val="005313BE"/>
    <w:rsid w:val="00537583"/>
    <w:rsid w:val="00543787"/>
    <w:rsid w:val="00550697"/>
    <w:rsid w:val="00551FEA"/>
    <w:rsid w:val="00565141"/>
    <w:rsid w:val="00567ED5"/>
    <w:rsid w:val="0058074E"/>
    <w:rsid w:val="0059187F"/>
    <w:rsid w:val="005B5101"/>
    <w:rsid w:val="005C3572"/>
    <w:rsid w:val="005E29C5"/>
    <w:rsid w:val="005F6818"/>
    <w:rsid w:val="00602A61"/>
    <w:rsid w:val="00603981"/>
    <w:rsid w:val="00614B14"/>
    <w:rsid w:val="00625621"/>
    <w:rsid w:val="00626102"/>
    <w:rsid w:val="006413A2"/>
    <w:rsid w:val="00641441"/>
    <w:rsid w:val="00653E86"/>
    <w:rsid w:val="00663DCE"/>
    <w:rsid w:val="00667CCA"/>
    <w:rsid w:val="006B6EB3"/>
    <w:rsid w:val="006C3CCC"/>
    <w:rsid w:val="006C4D81"/>
    <w:rsid w:val="006E0474"/>
    <w:rsid w:val="00730701"/>
    <w:rsid w:val="00731A55"/>
    <w:rsid w:val="007342BC"/>
    <w:rsid w:val="00737D62"/>
    <w:rsid w:val="00745B53"/>
    <w:rsid w:val="007534DD"/>
    <w:rsid w:val="007563D3"/>
    <w:rsid w:val="00764DE1"/>
    <w:rsid w:val="00773F0A"/>
    <w:rsid w:val="00774BF7"/>
    <w:rsid w:val="00776176"/>
    <w:rsid w:val="007A4230"/>
    <w:rsid w:val="007B0DEE"/>
    <w:rsid w:val="007B1639"/>
    <w:rsid w:val="007C762A"/>
    <w:rsid w:val="007C7B76"/>
    <w:rsid w:val="007D2D0C"/>
    <w:rsid w:val="007D77EE"/>
    <w:rsid w:val="007F5914"/>
    <w:rsid w:val="007F767D"/>
    <w:rsid w:val="008232B9"/>
    <w:rsid w:val="00830D8E"/>
    <w:rsid w:val="008314A7"/>
    <w:rsid w:val="0083465E"/>
    <w:rsid w:val="00836E6D"/>
    <w:rsid w:val="00841B8B"/>
    <w:rsid w:val="0084298F"/>
    <w:rsid w:val="00846A84"/>
    <w:rsid w:val="008554AA"/>
    <w:rsid w:val="008766E3"/>
    <w:rsid w:val="00876BFA"/>
    <w:rsid w:val="008829FF"/>
    <w:rsid w:val="008833D4"/>
    <w:rsid w:val="0088432C"/>
    <w:rsid w:val="00887D20"/>
    <w:rsid w:val="00887E5C"/>
    <w:rsid w:val="008A5199"/>
    <w:rsid w:val="008B64F8"/>
    <w:rsid w:val="008B6CA3"/>
    <w:rsid w:val="008C20BE"/>
    <w:rsid w:val="008C45F2"/>
    <w:rsid w:val="008D2FD4"/>
    <w:rsid w:val="008D3BCF"/>
    <w:rsid w:val="008E486E"/>
    <w:rsid w:val="008F0CA6"/>
    <w:rsid w:val="009045A8"/>
    <w:rsid w:val="00911721"/>
    <w:rsid w:val="009238BA"/>
    <w:rsid w:val="0093184B"/>
    <w:rsid w:val="00932C8F"/>
    <w:rsid w:val="009513FA"/>
    <w:rsid w:val="00983A65"/>
    <w:rsid w:val="00984733"/>
    <w:rsid w:val="009C3C57"/>
    <w:rsid w:val="009C7FBD"/>
    <w:rsid w:val="009D278C"/>
    <w:rsid w:val="009D45A9"/>
    <w:rsid w:val="009D7939"/>
    <w:rsid w:val="009F2B7C"/>
    <w:rsid w:val="00A079CE"/>
    <w:rsid w:val="00A20A4F"/>
    <w:rsid w:val="00A401FF"/>
    <w:rsid w:val="00A503A7"/>
    <w:rsid w:val="00A520EA"/>
    <w:rsid w:val="00A60244"/>
    <w:rsid w:val="00A67554"/>
    <w:rsid w:val="00A7169E"/>
    <w:rsid w:val="00A86DC2"/>
    <w:rsid w:val="00A943E2"/>
    <w:rsid w:val="00A972D9"/>
    <w:rsid w:val="00AA31C2"/>
    <w:rsid w:val="00AB1126"/>
    <w:rsid w:val="00AB7AF9"/>
    <w:rsid w:val="00AC09BA"/>
    <w:rsid w:val="00AC4010"/>
    <w:rsid w:val="00AC72CE"/>
    <w:rsid w:val="00AD06DC"/>
    <w:rsid w:val="00AD13B7"/>
    <w:rsid w:val="00AF0BB5"/>
    <w:rsid w:val="00B05BA5"/>
    <w:rsid w:val="00B10410"/>
    <w:rsid w:val="00B133ED"/>
    <w:rsid w:val="00B4389B"/>
    <w:rsid w:val="00B47D0E"/>
    <w:rsid w:val="00B82455"/>
    <w:rsid w:val="00B901FA"/>
    <w:rsid w:val="00B93186"/>
    <w:rsid w:val="00BA174F"/>
    <w:rsid w:val="00BB1D89"/>
    <w:rsid w:val="00BB2EEA"/>
    <w:rsid w:val="00BC3369"/>
    <w:rsid w:val="00C03E52"/>
    <w:rsid w:val="00C07DE1"/>
    <w:rsid w:val="00C102B4"/>
    <w:rsid w:val="00C24940"/>
    <w:rsid w:val="00C24BA2"/>
    <w:rsid w:val="00C25B61"/>
    <w:rsid w:val="00C4329F"/>
    <w:rsid w:val="00C62056"/>
    <w:rsid w:val="00C64658"/>
    <w:rsid w:val="00C70817"/>
    <w:rsid w:val="00C7271C"/>
    <w:rsid w:val="00C87390"/>
    <w:rsid w:val="00CA5041"/>
    <w:rsid w:val="00CB67BB"/>
    <w:rsid w:val="00CD04CF"/>
    <w:rsid w:val="00CD5BCC"/>
    <w:rsid w:val="00CE165D"/>
    <w:rsid w:val="00CE358C"/>
    <w:rsid w:val="00CE4F30"/>
    <w:rsid w:val="00D03D57"/>
    <w:rsid w:val="00D051C5"/>
    <w:rsid w:val="00D07FD7"/>
    <w:rsid w:val="00D209C8"/>
    <w:rsid w:val="00D243DB"/>
    <w:rsid w:val="00D35C82"/>
    <w:rsid w:val="00D40110"/>
    <w:rsid w:val="00D448EA"/>
    <w:rsid w:val="00D51676"/>
    <w:rsid w:val="00D529C1"/>
    <w:rsid w:val="00D54035"/>
    <w:rsid w:val="00D602A0"/>
    <w:rsid w:val="00D61269"/>
    <w:rsid w:val="00D64CCE"/>
    <w:rsid w:val="00D67195"/>
    <w:rsid w:val="00D73301"/>
    <w:rsid w:val="00D74C1D"/>
    <w:rsid w:val="00D77359"/>
    <w:rsid w:val="00D86915"/>
    <w:rsid w:val="00D87193"/>
    <w:rsid w:val="00DA4A76"/>
    <w:rsid w:val="00DA514C"/>
    <w:rsid w:val="00DA7859"/>
    <w:rsid w:val="00DB36A7"/>
    <w:rsid w:val="00DB499A"/>
    <w:rsid w:val="00DC010F"/>
    <w:rsid w:val="00DC5A5F"/>
    <w:rsid w:val="00DC7A98"/>
    <w:rsid w:val="00DD1928"/>
    <w:rsid w:val="00DD6F5A"/>
    <w:rsid w:val="00DE0C38"/>
    <w:rsid w:val="00E062DE"/>
    <w:rsid w:val="00E23F31"/>
    <w:rsid w:val="00E3052E"/>
    <w:rsid w:val="00E376EE"/>
    <w:rsid w:val="00E518D1"/>
    <w:rsid w:val="00E60184"/>
    <w:rsid w:val="00E76D73"/>
    <w:rsid w:val="00E82DB5"/>
    <w:rsid w:val="00EA75B4"/>
    <w:rsid w:val="00EB1F6B"/>
    <w:rsid w:val="00EB5E87"/>
    <w:rsid w:val="00ED453B"/>
    <w:rsid w:val="00EE34F9"/>
    <w:rsid w:val="00EE613E"/>
    <w:rsid w:val="00F00EE8"/>
    <w:rsid w:val="00F071CD"/>
    <w:rsid w:val="00F174F0"/>
    <w:rsid w:val="00F33B4B"/>
    <w:rsid w:val="00F41178"/>
    <w:rsid w:val="00F427EF"/>
    <w:rsid w:val="00F50EB9"/>
    <w:rsid w:val="00F6447C"/>
    <w:rsid w:val="00F67FBE"/>
    <w:rsid w:val="00F82530"/>
    <w:rsid w:val="00F84237"/>
    <w:rsid w:val="00F84A8D"/>
    <w:rsid w:val="00F909A6"/>
    <w:rsid w:val="00FC0D76"/>
    <w:rsid w:val="00FD4533"/>
    <w:rsid w:val="00FF4114"/>
    <w:rsid w:val="00FF4B42"/>
    <w:rsid w:val="00FF5622"/>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basedOn w:val="Standaard"/>
    <w:uiPriority w:val="34"/>
    <w:qFormat/>
    <w:rsid w:val="00CD5BCC"/>
    <w:pPr>
      <w:ind w:left="720"/>
      <w:contextualSpacing/>
    </w:pPr>
  </w:style>
  <w:style w:type="paragraph" w:styleId="Koptekst">
    <w:name w:val="header"/>
    <w:basedOn w:val="Standaard"/>
    <w:link w:val="KoptekstChar"/>
    <w:uiPriority w:val="99"/>
    <w:unhideWhenUsed/>
    <w:rsid w:val="003639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94F"/>
  </w:style>
  <w:style w:type="paragraph" w:styleId="Voettekst">
    <w:name w:val="footer"/>
    <w:basedOn w:val="Standaard"/>
    <w:link w:val="VoettekstChar"/>
    <w:uiPriority w:val="99"/>
    <w:unhideWhenUsed/>
    <w:rsid w:val="003639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4F"/>
  </w:style>
  <w:style w:type="character" w:styleId="Onopgelostemelding">
    <w:name w:val="Unresolved Mention"/>
    <w:basedOn w:val="Standaardalinea-lettertype"/>
    <w:uiPriority w:val="99"/>
    <w:semiHidden/>
    <w:unhideWhenUsed/>
    <w:rsid w:val="00D8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7386">
      <w:bodyDiv w:val="1"/>
      <w:marLeft w:val="0"/>
      <w:marRight w:val="0"/>
      <w:marTop w:val="0"/>
      <w:marBottom w:val="0"/>
      <w:divBdr>
        <w:top w:val="none" w:sz="0" w:space="0" w:color="auto"/>
        <w:left w:val="none" w:sz="0" w:space="0" w:color="auto"/>
        <w:bottom w:val="none" w:sz="0" w:space="0" w:color="auto"/>
        <w:right w:val="none" w:sz="0" w:space="0" w:color="auto"/>
      </w:divBdr>
    </w:div>
    <w:div w:id="380830468">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823471809">
      <w:bodyDiv w:val="1"/>
      <w:marLeft w:val="0"/>
      <w:marRight w:val="0"/>
      <w:marTop w:val="0"/>
      <w:marBottom w:val="0"/>
      <w:divBdr>
        <w:top w:val="none" w:sz="0" w:space="0" w:color="auto"/>
        <w:left w:val="none" w:sz="0" w:space="0" w:color="auto"/>
        <w:bottom w:val="none" w:sz="0" w:space="0" w:color="auto"/>
        <w:right w:val="none" w:sz="0" w:space="0" w:color="auto"/>
      </w:divBdr>
    </w:div>
    <w:div w:id="852184272">
      <w:bodyDiv w:val="1"/>
      <w:marLeft w:val="0"/>
      <w:marRight w:val="0"/>
      <w:marTop w:val="0"/>
      <w:marBottom w:val="0"/>
      <w:divBdr>
        <w:top w:val="none" w:sz="0" w:space="0" w:color="auto"/>
        <w:left w:val="none" w:sz="0" w:space="0" w:color="auto"/>
        <w:bottom w:val="none" w:sz="0" w:space="0" w:color="auto"/>
        <w:right w:val="none" w:sz="0" w:space="0" w:color="auto"/>
      </w:divBdr>
    </w:div>
    <w:div w:id="923493246">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316881308">
      <w:bodyDiv w:val="1"/>
      <w:marLeft w:val="0"/>
      <w:marRight w:val="0"/>
      <w:marTop w:val="0"/>
      <w:marBottom w:val="0"/>
      <w:divBdr>
        <w:top w:val="none" w:sz="0" w:space="0" w:color="auto"/>
        <w:left w:val="none" w:sz="0" w:space="0" w:color="auto"/>
        <w:bottom w:val="none" w:sz="0" w:space="0" w:color="auto"/>
        <w:right w:val="none" w:sz="0" w:space="0" w:color="auto"/>
      </w:divBdr>
    </w:div>
    <w:div w:id="1445273969">
      <w:bodyDiv w:val="1"/>
      <w:marLeft w:val="0"/>
      <w:marRight w:val="0"/>
      <w:marTop w:val="0"/>
      <w:marBottom w:val="0"/>
      <w:divBdr>
        <w:top w:val="none" w:sz="0" w:space="0" w:color="auto"/>
        <w:left w:val="none" w:sz="0" w:space="0" w:color="auto"/>
        <w:bottom w:val="none" w:sz="0" w:space="0" w:color="auto"/>
        <w:right w:val="none" w:sz="0" w:space="0" w:color="auto"/>
      </w:divBdr>
    </w:div>
    <w:div w:id="1482893221">
      <w:bodyDiv w:val="1"/>
      <w:marLeft w:val="0"/>
      <w:marRight w:val="0"/>
      <w:marTop w:val="0"/>
      <w:marBottom w:val="0"/>
      <w:divBdr>
        <w:top w:val="none" w:sz="0" w:space="0" w:color="auto"/>
        <w:left w:val="none" w:sz="0" w:space="0" w:color="auto"/>
        <w:bottom w:val="none" w:sz="0" w:space="0" w:color="auto"/>
        <w:right w:val="none" w:sz="0" w:space="0" w:color="auto"/>
      </w:divBdr>
    </w:div>
    <w:div w:id="1563709201">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20899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3190</ap:Words>
  <ap:Characters>17546</ap:Characters>
  <ap:DocSecurity>4</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2025-05-15T12:18:00.0000000Z</dcterms:created>
  <dcterms:modified xsi:type="dcterms:W3CDTF">2025-05-15T12:18:00.0000000Z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9e9ebfed-b4b2-4dad-9b96-74f14fed7ef4</vt:lpwstr>
  </property>
</Properties>
</file>