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2025Z09554</w:t>
        <w:br/>
      </w:r>
      <w:proofErr w:type="spellEnd"/>
    </w:p>
    <w:p>
      <w:pPr>
        <w:pStyle w:val="Normal"/>
        <w:rPr>
          <w:b w:val="1"/>
          <w:bCs w:val="1"/>
        </w:rPr>
      </w:pPr>
      <w:r w:rsidR="250AE766">
        <w:rPr>
          <w:b w:val="0"/>
          <w:bCs w:val="0"/>
        </w:rPr>
        <w:t>(ingezonden 16 mei 2025)</w:t>
        <w:br/>
      </w:r>
    </w:p>
    <w:p>
      <w:r>
        <w:t xml:space="preserve">Vragen van het lid Patijn (GroenLinks-PvdA) aan de minister van Sociale Zaken en Werkgelegenheid over plannen van de Europese Commissie om de rechten van gedetacheerde werknemers in te perken in het kader van de ‘Single Market Strategy’</w:t>
      </w:r>
      <w:r>
        <w:br/>
      </w:r>
    </w:p>
    <w:p>
      <w:r>
        <w:t xml:space="preserve">1.           Bent u bekend met de wens van Eurocommissaris Stéphane Séjourné om de interne markt te versimpelen?</w:t>
      </w:r>
      <w:r>
        <w:br/>
      </w:r>
    </w:p>
    <w:p>
      <w:r>
        <w:t xml:space="preserve">2.           Bent u bekend met de plannen van Eurocommissaris Séjourné om de geldigheid van certificaten voor bedrijven (voor detachering en uitzendwerk) in de EU te harmoniseren?</w:t>
      </w:r>
      <w:r>
        <w:br/>
      </w:r>
    </w:p>
    <w:p>
      <w:r>
        <w:t xml:space="preserve">3.           Wat zou het betekenen voor de werking van de Wet toelating terbeschikkingstelling van arbeidskrachten (Wtta) als certificaten van Europese lidstaten op hetzelfde niveau gewaardeerd zouden worden als de toelating onder de Wtta?</w:t>
      </w:r>
      <w:r>
        <w:br/>
      </w:r>
    </w:p>
    <w:p>
      <w:r>
        <w:t xml:space="preserve">4.           Maakt u zich zorgen over sluiproutes die ontstaan wanneer een certificaat uit bijvoorbeeld Hongarije of Litouwen dezelfde status moet hebben als de toelating onder de Wtta?</w:t>
      </w:r>
      <w:r>
        <w:br/>
      </w:r>
    </w:p>
    <w:p>
      <w:r>
        <w:t xml:space="preserve">5.           Bent u in gesprek met de Europese Commissie over de onwenselijkheid van een dergelijke harmonisering?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79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7950">
    <w:abstractNumId w:val="1004779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