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E50" w:rsidR="00A47E50" w:rsidRDefault="00F07B85" w14:paraId="65D7008B" w14:textId="2B73D751">
      <w:pPr>
        <w:rPr>
          <w:rFonts w:ascii="Calibri" w:hAnsi="Calibri" w:cs="Calibri"/>
        </w:rPr>
      </w:pPr>
      <w:r w:rsidRPr="00A47E50">
        <w:rPr>
          <w:rFonts w:ascii="Calibri" w:hAnsi="Calibri" w:cs="Calibri"/>
        </w:rPr>
        <w:t>31</w:t>
      </w:r>
      <w:r w:rsidRPr="00A47E50" w:rsidR="00A47E50">
        <w:rPr>
          <w:rFonts w:ascii="Calibri" w:hAnsi="Calibri" w:cs="Calibri"/>
        </w:rPr>
        <w:t xml:space="preserve"> </w:t>
      </w:r>
      <w:r w:rsidRPr="00A47E50">
        <w:rPr>
          <w:rFonts w:ascii="Calibri" w:hAnsi="Calibri" w:cs="Calibri"/>
        </w:rPr>
        <w:t>066</w:t>
      </w:r>
      <w:r w:rsidRPr="00A47E50" w:rsidR="00A47E50">
        <w:rPr>
          <w:rFonts w:ascii="Calibri" w:hAnsi="Calibri" w:cs="Calibri"/>
        </w:rPr>
        <w:tab/>
      </w:r>
      <w:r w:rsidRPr="00A47E50" w:rsidR="00A47E50">
        <w:rPr>
          <w:rFonts w:ascii="Calibri" w:hAnsi="Calibri" w:cs="Calibri"/>
        </w:rPr>
        <w:tab/>
        <w:t>Belastingdienst</w:t>
      </w:r>
    </w:p>
    <w:p w:rsidRPr="00A47E50" w:rsidR="00A47E50" w:rsidP="00D31852" w:rsidRDefault="00A47E50" w14:paraId="0759A3C2" w14:textId="77777777">
      <w:pPr>
        <w:rPr>
          <w:rFonts w:ascii="Calibri" w:hAnsi="Calibri" w:cs="Calibri"/>
        </w:rPr>
      </w:pPr>
      <w:r w:rsidRPr="00A47E50">
        <w:rPr>
          <w:rFonts w:ascii="Calibri" w:hAnsi="Calibri" w:cs="Calibri"/>
        </w:rPr>
        <w:t xml:space="preserve">Nr. </w:t>
      </w:r>
      <w:r w:rsidRPr="00A47E50" w:rsidR="00F07B85">
        <w:rPr>
          <w:rFonts w:ascii="Calibri" w:hAnsi="Calibri" w:cs="Calibri"/>
        </w:rPr>
        <w:t>1502</w:t>
      </w:r>
      <w:r w:rsidRPr="00A47E50">
        <w:rPr>
          <w:rFonts w:ascii="Calibri" w:hAnsi="Calibri" w:cs="Calibri"/>
        </w:rPr>
        <w:tab/>
        <w:t>Brief van de staatssecretaris van Financiën</w:t>
      </w:r>
    </w:p>
    <w:p w:rsidRPr="00A47E50" w:rsidR="00A47E50" w:rsidP="00F07B85" w:rsidRDefault="00A47E50" w14:paraId="61F9DB54" w14:textId="77777777">
      <w:pPr>
        <w:pStyle w:val="StandaardSlotzin"/>
        <w:rPr>
          <w:rFonts w:ascii="Calibri" w:hAnsi="Calibri" w:cs="Calibri"/>
          <w:sz w:val="22"/>
          <w:szCs w:val="22"/>
        </w:rPr>
      </w:pPr>
      <w:r w:rsidRPr="00A47E50">
        <w:rPr>
          <w:rFonts w:ascii="Calibri" w:hAnsi="Calibri" w:cs="Calibri"/>
          <w:sz w:val="22"/>
          <w:szCs w:val="22"/>
        </w:rPr>
        <w:t>Aan de Voorzitter van de Tweede Kamer der Staten-Generaal</w:t>
      </w:r>
    </w:p>
    <w:p w:rsidRPr="00A47E50" w:rsidR="00A47E50" w:rsidP="00F07B85" w:rsidRDefault="00A47E50" w14:paraId="183F7FF4" w14:textId="77777777">
      <w:pPr>
        <w:pStyle w:val="StandaardSlotzin"/>
        <w:rPr>
          <w:rFonts w:ascii="Calibri" w:hAnsi="Calibri" w:cs="Calibri"/>
          <w:sz w:val="22"/>
          <w:szCs w:val="22"/>
        </w:rPr>
      </w:pPr>
      <w:r w:rsidRPr="00A47E50">
        <w:rPr>
          <w:rFonts w:ascii="Calibri" w:hAnsi="Calibri" w:cs="Calibri"/>
          <w:sz w:val="22"/>
          <w:szCs w:val="22"/>
        </w:rPr>
        <w:t>Den Haag, 16 mei 2025</w:t>
      </w:r>
    </w:p>
    <w:p w:rsidRPr="00A47E50" w:rsidR="00F07B85" w:rsidP="00F07B85" w:rsidRDefault="00F07B85" w14:paraId="7DFBDCAE" w14:textId="1617F6C6">
      <w:pPr>
        <w:pStyle w:val="StandaardSlotzin"/>
        <w:rPr>
          <w:rFonts w:ascii="Calibri" w:hAnsi="Calibri" w:cs="Calibri"/>
          <w:sz w:val="22"/>
          <w:szCs w:val="22"/>
        </w:rPr>
      </w:pPr>
      <w:r w:rsidRPr="00A47E50">
        <w:rPr>
          <w:rFonts w:ascii="Calibri" w:hAnsi="Calibri" w:cs="Calibri"/>
          <w:sz w:val="22"/>
          <w:szCs w:val="22"/>
        </w:rPr>
        <w:br/>
        <w:t xml:space="preserve">De Belastingdienst is verantwoordelijk voor de inning van de motorrijtuigenbelasting (MRB). Dat geldt voor zowel de basisbelasting, de brandstoftoeslagen als voor de provinciale opcenten. De Belastingdienst is verantwoordelijk voor de uitvoering, de heffing, de inning en de afdracht van deze bedragen aan de provincies. </w:t>
      </w:r>
    </w:p>
    <w:p w:rsidRPr="00A47E50" w:rsidR="00F07B85" w:rsidP="00F07B85" w:rsidRDefault="00F07B85" w14:paraId="424DF9B8" w14:textId="77777777">
      <w:pPr>
        <w:spacing w:after="0"/>
        <w:rPr>
          <w:rFonts w:ascii="Calibri" w:hAnsi="Calibri" w:cs="Calibri"/>
        </w:rPr>
      </w:pPr>
    </w:p>
    <w:p w:rsidRPr="00A47E50" w:rsidR="00F07B85" w:rsidP="00F07B85" w:rsidRDefault="00F07B85" w14:paraId="4471E115" w14:textId="77777777">
      <w:pPr>
        <w:spacing w:after="0"/>
        <w:rPr>
          <w:rFonts w:ascii="Calibri" w:hAnsi="Calibri" w:cs="Calibri"/>
        </w:rPr>
      </w:pPr>
      <w:r w:rsidRPr="00A47E50">
        <w:rPr>
          <w:rFonts w:ascii="Calibri" w:hAnsi="Calibri" w:cs="Calibri"/>
        </w:rPr>
        <w:t xml:space="preserve">In april jl. is er door enkele provincies geconstateerd dat de hoogte van deze afdrachten aan de provincies niet overeenkwam met de prognose. De Belastingdienst heeft vanuit het Interprovinciaal Overleg (IPO) hierover een signaal ontvangen en is direct een onderzoek gestart naar de oorzaak. Hieruit blijkt dat bij het berekenen van de hoogte van de afdrachten over de jaren 2023, 2024 en 2025 een fout is gemaakt, doordat de brandstoftoeslag niet correct is toegerekend. </w:t>
      </w:r>
    </w:p>
    <w:p w:rsidRPr="00A47E50" w:rsidR="00F07B85" w:rsidP="00F07B85" w:rsidRDefault="00F07B85" w14:paraId="5FD4C947" w14:textId="77777777">
      <w:pPr>
        <w:spacing w:after="0"/>
        <w:rPr>
          <w:rFonts w:ascii="Calibri" w:hAnsi="Calibri" w:cs="Calibri"/>
        </w:rPr>
      </w:pPr>
    </w:p>
    <w:p w:rsidRPr="00A47E50" w:rsidR="00F07B85" w:rsidP="00F07B85" w:rsidRDefault="00F07B85" w14:paraId="013AA328" w14:textId="77777777">
      <w:pPr>
        <w:spacing w:after="0"/>
        <w:rPr>
          <w:rFonts w:ascii="Calibri" w:hAnsi="Calibri" w:cs="Calibri"/>
        </w:rPr>
      </w:pPr>
      <w:r w:rsidRPr="00A47E50">
        <w:rPr>
          <w:rFonts w:ascii="Calibri" w:hAnsi="Calibri" w:cs="Calibri"/>
        </w:rPr>
        <w:t>Allereerst wil ik benadrukken dat deze fout geen gevolgen heeft voor burgers en bedrijven. De Belastingdienst heeft constructieve gesprekken gevoerd met de provincies over een goede en praktische oplossing met als doel om de impact voor de provincies zo veel mogelijk te beperken. Ook de komende periode staan de Belastingdienst en het IPO goed met elkaar in contact.</w:t>
      </w:r>
    </w:p>
    <w:p w:rsidRPr="00A47E50" w:rsidR="00F07B85" w:rsidP="00F07B85" w:rsidRDefault="00F07B85" w14:paraId="4191DA65" w14:textId="77777777">
      <w:pPr>
        <w:spacing w:after="0"/>
        <w:rPr>
          <w:rFonts w:ascii="Calibri" w:hAnsi="Calibri" w:cs="Calibri"/>
        </w:rPr>
      </w:pPr>
    </w:p>
    <w:p w:rsidRPr="00A47E50" w:rsidR="00F07B85" w:rsidP="00F07B85" w:rsidRDefault="00F07B85" w14:paraId="13743C9F" w14:textId="77777777">
      <w:pPr>
        <w:spacing w:after="0"/>
        <w:rPr>
          <w:rFonts w:ascii="Calibri" w:hAnsi="Calibri" w:cs="Calibri"/>
        </w:rPr>
      </w:pPr>
      <w:r w:rsidRPr="00A47E50">
        <w:rPr>
          <w:rFonts w:ascii="Calibri" w:hAnsi="Calibri" w:cs="Calibri"/>
          <w:i/>
          <w:iCs/>
        </w:rPr>
        <w:t>Omvang en herstel</w:t>
      </w:r>
    </w:p>
    <w:p w:rsidRPr="00A47E50" w:rsidR="00F07B85" w:rsidP="00F07B85" w:rsidRDefault="00F07B85" w14:paraId="6D465C3A" w14:textId="77777777">
      <w:pPr>
        <w:spacing w:after="0"/>
        <w:rPr>
          <w:rFonts w:ascii="Calibri" w:hAnsi="Calibri" w:cs="Calibri"/>
        </w:rPr>
      </w:pPr>
      <w:r w:rsidRPr="00A47E50">
        <w:rPr>
          <w:rFonts w:ascii="Calibri" w:hAnsi="Calibri" w:cs="Calibri"/>
        </w:rPr>
        <w:t xml:space="preserve">De fout hangt samen met de migratie naar het vernieuwde MRB-systeem. Voor het jaar 2023 is de omvang zeer beperkt, omdat in dat jaar slechts een zeer klein deel van de populatie voertuigen gemigreerd is naar het vernieuwde systeem. Vanaf het laatste kwartaal van 2024 is het merendeel van de </w:t>
      </w:r>
    </w:p>
    <w:p w:rsidRPr="00A47E50" w:rsidR="00F07B85" w:rsidP="00F07B85" w:rsidRDefault="00F07B85" w14:paraId="3F4D0D50" w14:textId="77777777">
      <w:pPr>
        <w:spacing w:after="0"/>
        <w:rPr>
          <w:rFonts w:ascii="Calibri" w:hAnsi="Calibri" w:cs="Calibri"/>
        </w:rPr>
      </w:pPr>
      <w:r w:rsidRPr="00A47E50">
        <w:rPr>
          <w:rFonts w:ascii="Calibri" w:hAnsi="Calibri" w:cs="Calibri"/>
        </w:rPr>
        <w:t>voertuigen wel verwerkt via dit systeem. Dat betekent dat er in 2024 ten laste van de motorrijtuigenbelasting circa €57 miljoen te veel is afgedragen aan de provincies. In onderstaande tabel is voor 2024 het bedrag per provincie uitgesplitst.</w:t>
      </w:r>
    </w:p>
    <w:p w:rsidRPr="00A47E50" w:rsidR="00F07B85" w:rsidP="00F07B85" w:rsidRDefault="00F07B85" w14:paraId="0A0493CD" w14:textId="77777777">
      <w:pPr>
        <w:spacing w:after="0"/>
        <w:rPr>
          <w:rFonts w:ascii="Calibri" w:hAnsi="Calibri" w:cs="Calibri"/>
        </w:rPr>
      </w:pPr>
      <w:r w:rsidRPr="00A47E50">
        <w:rPr>
          <w:rFonts w:ascii="Calibri" w:hAnsi="Calibri" w:cs="Calibri"/>
        </w:rPr>
        <w:t xml:space="preserve"> </w:t>
      </w:r>
    </w:p>
    <w:p w:rsidRPr="00A47E50" w:rsidR="00F07B85" w:rsidP="00F07B85" w:rsidRDefault="00F07B85" w14:paraId="584D968F" w14:textId="77777777">
      <w:pPr>
        <w:spacing w:after="0"/>
        <w:rPr>
          <w:rFonts w:ascii="Calibri" w:hAnsi="Calibri" w:cs="Calibri"/>
        </w:rPr>
      </w:pPr>
    </w:p>
    <w:p w:rsidRPr="00A47E50" w:rsidR="00F07B85" w:rsidP="00F07B85" w:rsidRDefault="00F07B85" w14:paraId="3395CDBB" w14:textId="77777777">
      <w:pPr>
        <w:spacing w:after="0"/>
        <w:rPr>
          <w:rFonts w:ascii="Calibri" w:hAnsi="Calibri" w:cs="Calibri"/>
        </w:rPr>
      </w:pPr>
    </w:p>
    <w:tbl>
      <w:tblPr>
        <w:tblW w:w="6786" w:type="dxa"/>
        <w:tblCellMar>
          <w:left w:w="70" w:type="dxa"/>
          <w:right w:w="70" w:type="dxa"/>
        </w:tblCellMar>
        <w:tblLook w:val="04A0" w:firstRow="1" w:lastRow="0" w:firstColumn="1" w:lastColumn="0" w:noHBand="0" w:noVBand="1"/>
      </w:tblPr>
      <w:tblGrid>
        <w:gridCol w:w="1594"/>
        <w:gridCol w:w="2229"/>
        <w:gridCol w:w="1712"/>
        <w:gridCol w:w="1451"/>
      </w:tblGrid>
      <w:tr w:rsidRPr="00A47E50" w:rsidR="00F07B85" w:rsidTr="00D14400" w14:paraId="4FE81D18" w14:textId="77777777">
        <w:trPr>
          <w:trHeight w:val="846"/>
        </w:trPr>
        <w:tc>
          <w:tcPr>
            <w:tcW w:w="1594" w:type="dxa"/>
            <w:tcBorders>
              <w:top w:val="single" w:color="auto" w:sz="4" w:space="0"/>
              <w:left w:val="single" w:color="auto" w:sz="4" w:space="0"/>
              <w:bottom w:val="single" w:color="auto" w:sz="4" w:space="0"/>
              <w:right w:val="single" w:color="auto" w:sz="4" w:space="0"/>
            </w:tcBorders>
            <w:shd w:val="clear" w:color="000000" w:fill="C0E6F5"/>
            <w:noWrap/>
            <w:vAlign w:val="bottom"/>
            <w:hideMark/>
          </w:tcPr>
          <w:p w:rsidRPr="00A47E50" w:rsidR="00F07B85" w:rsidP="00F07B85" w:rsidRDefault="00F07B85" w14:paraId="15025A59" w14:textId="77777777">
            <w:pPr>
              <w:spacing w:after="0" w:line="240" w:lineRule="auto"/>
              <w:rPr>
                <w:rFonts w:ascii="Calibri" w:hAnsi="Calibri" w:eastAsia="Times New Roman" w:cs="Calibri"/>
                <w:b/>
                <w:bCs/>
              </w:rPr>
            </w:pPr>
            <w:r w:rsidRPr="00A47E50">
              <w:rPr>
                <w:rFonts w:ascii="Calibri" w:hAnsi="Calibri" w:eastAsia="Times New Roman" w:cs="Calibri"/>
                <w:b/>
                <w:bCs/>
              </w:rPr>
              <w:t>Bedrag per provincie (EUR)</w:t>
            </w:r>
          </w:p>
        </w:tc>
        <w:tc>
          <w:tcPr>
            <w:tcW w:w="2229" w:type="dxa"/>
            <w:tcBorders>
              <w:top w:val="single" w:color="auto" w:sz="4" w:space="0"/>
              <w:left w:val="nil"/>
              <w:bottom w:val="single" w:color="auto" w:sz="4" w:space="0"/>
              <w:right w:val="single" w:color="auto" w:sz="4" w:space="0"/>
            </w:tcBorders>
            <w:shd w:val="clear" w:color="000000" w:fill="C0E6F5"/>
            <w:vAlign w:val="bottom"/>
            <w:hideMark/>
          </w:tcPr>
          <w:p w:rsidRPr="00A47E50" w:rsidR="00F07B85" w:rsidP="00F07B85" w:rsidRDefault="00F07B85" w14:paraId="1650D2E3" w14:textId="77777777">
            <w:pPr>
              <w:spacing w:after="0" w:line="240" w:lineRule="auto"/>
              <w:rPr>
                <w:rFonts w:ascii="Calibri" w:hAnsi="Calibri" w:eastAsia="Times New Roman" w:cs="Calibri"/>
                <w:b/>
                <w:bCs/>
              </w:rPr>
            </w:pPr>
            <w:r w:rsidRPr="00A47E50">
              <w:rPr>
                <w:rFonts w:ascii="Calibri" w:hAnsi="Calibri" w:eastAsia="Times New Roman" w:cs="Calibri"/>
                <w:b/>
                <w:bCs/>
              </w:rPr>
              <w:t xml:space="preserve">Herberekening </w:t>
            </w:r>
          </w:p>
        </w:tc>
        <w:tc>
          <w:tcPr>
            <w:tcW w:w="1512" w:type="dxa"/>
            <w:tcBorders>
              <w:top w:val="single" w:color="auto" w:sz="4" w:space="0"/>
              <w:left w:val="nil"/>
              <w:bottom w:val="single" w:color="auto" w:sz="4" w:space="0"/>
              <w:right w:val="single" w:color="auto" w:sz="4" w:space="0"/>
            </w:tcBorders>
            <w:shd w:val="clear" w:color="000000" w:fill="C0E6F5"/>
            <w:noWrap/>
            <w:vAlign w:val="bottom"/>
            <w:hideMark/>
          </w:tcPr>
          <w:p w:rsidRPr="00A47E50" w:rsidR="00F07B85" w:rsidP="00F07B85" w:rsidRDefault="00F07B85" w14:paraId="35B71E0A" w14:textId="77777777">
            <w:pPr>
              <w:spacing w:after="0" w:line="240" w:lineRule="auto"/>
              <w:rPr>
                <w:rFonts w:ascii="Calibri" w:hAnsi="Calibri" w:eastAsia="Times New Roman" w:cs="Calibri"/>
                <w:b/>
                <w:bCs/>
              </w:rPr>
            </w:pPr>
            <w:r w:rsidRPr="00A47E50">
              <w:rPr>
                <w:rFonts w:ascii="Calibri" w:hAnsi="Calibri" w:eastAsia="Times New Roman" w:cs="Calibri"/>
                <w:b/>
                <w:bCs/>
              </w:rPr>
              <w:t>Verdeeld in 2024</w:t>
            </w:r>
          </w:p>
        </w:tc>
        <w:tc>
          <w:tcPr>
            <w:tcW w:w="1451" w:type="dxa"/>
            <w:tcBorders>
              <w:top w:val="single" w:color="auto" w:sz="4" w:space="0"/>
              <w:left w:val="nil"/>
              <w:bottom w:val="single" w:color="auto" w:sz="4" w:space="0"/>
              <w:right w:val="single" w:color="auto" w:sz="4" w:space="0"/>
            </w:tcBorders>
            <w:shd w:val="clear" w:color="000000" w:fill="C0E6F5"/>
            <w:noWrap/>
            <w:vAlign w:val="bottom"/>
            <w:hideMark/>
          </w:tcPr>
          <w:p w:rsidRPr="00A47E50" w:rsidR="00F07B85" w:rsidP="00F07B85" w:rsidRDefault="00F07B85" w14:paraId="4D083BBA" w14:textId="77777777">
            <w:pPr>
              <w:spacing w:after="0" w:line="240" w:lineRule="auto"/>
              <w:rPr>
                <w:rFonts w:ascii="Calibri" w:hAnsi="Calibri" w:eastAsia="Times New Roman" w:cs="Calibri"/>
                <w:b/>
                <w:bCs/>
              </w:rPr>
            </w:pPr>
            <w:r w:rsidRPr="00A47E50">
              <w:rPr>
                <w:rFonts w:ascii="Calibri" w:hAnsi="Calibri" w:eastAsia="Times New Roman" w:cs="Calibri"/>
                <w:b/>
                <w:bCs/>
              </w:rPr>
              <w:t>Verschil</w:t>
            </w:r>
          </w:p>
        </w:tc>
      </w:tr>
      <w:tr w:rsidRPr="00A47E50" w:rsidR="00F07B85" w:rsidTr="00D14400" w14:paraId="41030357"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16B10959" w14:textId="77777777">
            <w:pPr>
              <w:spacing w:after="0" w:line="240" w:lineRule="auto"/>
              <w:rPr>
                <w:rFonts w:ascii="Calibri" w:hAnsi="Calibri" w:eastAsia="Times New Roman" w:cs="Calibri"/>
              </w:rPr>
            </w:pPr>
            <w:r w:rsidRPr="00A47E50">
              <w:rPr>
                <w:rFonts w:ascii="Calibri" w:hAnsi="Calibri" w:eastAsia="Times New Roman" w:cs="Calibri"/>
              </w:rPr>
              <w:t>01.Groningen</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0C056D4" w14:textId="77777777">
            <w:pPr>
              <w:spacing w:after="0" w:line="240" w:lineRule="auto"/>
              <w:jc w:val="right"/>
              <w:rPr>
                <w:rFonts w:ascii="Calibri" w:hAnsi="Calibri" w:eastAsia="Times New Roman" w:cs="Calibri"/>
              </w:rPr>
            </w:pPr>
            <w:r w:rsidRPr="00A47E50">
              <w:rPr>
                <w:rFonts w:ascii="Calibri" w:hAnsi="Calibri" w:eastAsia="Times New Roman" w:cs="Calibri"/>
              </w:rPr>
              <w:t>65.204.858,93</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0DCFBF09" w14:textId="77777777">
            <w:pPr>
              <w:spacing w:after="0" w:line="240" w:lineRule="auto"/>
              <w:jc w:val="right"/>
              <w:rPr>
                <w:rFonts w:ascii="Calibri" w:hAnsi="Calibri" w:eastAsia="Times New Roman" w:cs="Calibri"/>
              </w:rPr>
            </w:pPr>
            <w:r w:rsidRPr="00A47E50">
              <w:rPr>
                <w:rFonts w:ascii="Calibri" w:hAnsi="Calibri" w:eastAsia="Times New Roman" w:cs="Calibri"/>
              </w:rPr>
              <w:t>67.159.388,41</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75E082B3" w14:textId="77777777">
            <w:pPr>
              <w:spacing w:after="0" w:line="240" w:lineRule="auto"/>
              <w:jc w:val="right"/>
              <w:rPr>
                <w:rFonts w:ascii="Calibri" w:hAnsi="Calibri" w:eastAsia="Times New Roman" w:cs="Calibri"/>
              </w:rPr>
            </w:pPr>
            <w:r w:rsidRPr="00A47E50">
              <w:rPr>
                <w:rFonts w:ascii="Calibri" w:hAnsi="Calibri" w:eastAsia="Times New Roman" w:cs="Calibri"/>
              </w:rPr>
              <w:t>-1.954.529,48</w:t>
            </w:r>
          </w:p>
        </w:tc>
      </w:tr>
      <w:tr w:rsidRPr="00A47E50" w:rsidR="00F07B85" w:rsidTr="00D14400" w14:paraId="75E6E057"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2BA3F341" w14:textId="77777777">
            <w:pPr>
              <w:spacing w:after="0" w:line="240" w:lineRule="auto"/>
              <w:rPr>
                <w:rFonts w:ascii="Calibri" w:hAnsi="Calibri" w:eastAsia="Times New Roman" w:cs="Calibri"/>
              </w:rPr>
            </w:pPr>
            <w:r w:rsidRPr="00A47E50">
              <w:rPr>
                <w:rFonts w:ascii="Calibri" w:hAnsi="Calibri" w:eastAsia="Times New Roman" w:cs="Calibri"/>
              </w:rPr>
              <w:t>02.Friesland</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4BB7C580" w14:textId="77777777">
            <w:pPr>
              <w:spacing w:after="0" w:line="240" w:lineRule="auto"/>
              <w:jc w:val="right"/>
              <w:rPr>
                <w:rFonts w:ascii="Calibri" w:hAnsi="Calibri" w:eastAsia="Times New Roman" w:cs="Calibri"/>
              </w:rPr>
            </w:pPr>
            <w:r w:rsidRPr="00A47E50">
              <w:rPr>
                <w:rFonts w:ascii="Calibri" w:hAnsi="Calibri" w:eastAsia="Times New Roman" w:cs="Calibri"/>
              </w:rPr>
              <w:t>76.217.440,61</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6420A4E0" w14:textId="77777777">
            <w:pPr>
              <w:spacing w:after="0" w:line="240" w:lineRule="auto"/>
              <w:jc w:val="right"/>
              <w:rPr>
                <w:rFonts w:ascii="Calibri" w:hAnsi="Calibri" w:eastAsia="Times New Roman" w:cs="Calibri"/>
              </w:rPr>
            </w:pPr>
            <w:r w:rsidRPr="00A47E50">
              <w:rPr>
                <w:rFonts w:ascii="Calibri" w:hAnsi="Calibri" w:eastAsia="Times New Roman" w:cs="Calibri"/>
              </w:rPr>
              <w:t>78.502.074,59</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53621C5C" w14:textId="77777777">
            <w:pPr>
              <w:spacing w:after="0" w:line="240" w:lineRule="auto"/>
              <w:jc w:val="right"/>
              <w:rPr>
                <w:rFonts w:ascii="Calibri" w:hAnsi="Calibri" w:eastAsia="Times New Roman" w:cs="Calibri"/>
              </w:rPr>
            </w:pPr>
            <w:r w:rsidRPr="00A47E50">
              <w:rPr>
                <w:rFonts w:ascii="Calibri" w:hAnsi="Calibri" w:eastAsia="Times New Roman" w:cs="Calibri"/>
              </w:rPr>
              <w:t>-2.284.633,98</w:t>
            </w:r>
          </w:p>
        </w:tc>
      </w:tr>
      <w:tr w:rsidRPr="00A47E50" w:rsidR="00F07B85" w:rsidTr="00D14400" w14:paraId="687B00D8"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35397187" w14:textId="77777777">
            <w:pPr>
              <w:spacing w:after="0" w:line="240" w:lineRule="auto"/>
              <w:rPr>
                <w:rFonts w:ascii="Calibri" w:hAnsi="Calibri" w:eastAsia="Times New Roman" w:cs="Calibri"/>
              </w:rPr>
            </w:pPr>
            <w:r w:rsidRPr="00A47E50">
              <w:rPr>
                <w:rFonts w:ascii="Calibri" w:hAnsi="Calibri" w:eastAsia="Times New Roman" w:cs="Calibri"/>
              </w:rPr>
              <w:t>03.Drenthe</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77C50EB3" w14:textId="77777777">
            <w:pPr>
              <w:spacing w:after="0" w:line="240" w:lineRule="auto"/>
              <w:jc w:val="right"/>
              <w:rPr>
                <w:rFonts w:ascii="Calibri" w:hAnsi="Calibri" w:eastAsia="Times New Roman" w:cs="Calibri"/>
              </w:rPr>
            </w:pPr>
            <w:r w:rsidRPr="00A47E50">
              <w:rPr>
                <w:rFonts w:ascii="Calibri" w:hAnsi="Calibri" w:eastAsia="Times New Roman" w:cs="Calibri"/>
              </w:rPr>
              <w:t>62.716.699,12</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5DD1CDE1" w14:textId="77777777">
            <w:pPr>
              <w:spacing w:after="0" w:line="240" w:lineRule="auto"/>
              <w:jc w:val="right"/>
              <w:rPr>
                <w:rFonts w:ascii="Calibri" w:hAnsi="Calibri" w:eastAsia="Times New Roman" w:cs="Calibri"/>
              </w:rPr>
            </w:pPr>
            <w:r w:rsidRPr="00A47E50">
              <w:rPr>
                <w:rFonts w:ascii="Calibri" w:hAnsi="Calibri" w:eastAsia="Times New Roman" w:cs="Calibri"/>
              </w:rPr>
              <w:t>64.596.645,50</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54D41D75" w14:textId="77777777">
            <w:pPr>
              <w:spacing w:after="0" w:line="240" w:lineRule="auto"/>
              <w:jc w:val="right"/>
              <w:rPr>
                <w:rFonts w:ascii="Calibri" w:hAnsi="Calibri" w:eastAsia="Times New Roman" w:cs="Calibri"/>
              </w:rPr>
            </w:pPr>
            <w:r w:rsidRPr="00A47E50">
              <w:rPr>
                <w:rFonts w:ascii="Calibri" w:hAnsi="Calibri" w:eastAsia="Times New Roman" w:cs="Calibri"/>
              </w:rPr>
              <w:t>-1.879.946,38</w:t>
            </w:r>
          </w:p>
        </w:tc>
      </w:tr>
      <w:tr w:rsidRPr="00A47E50" w:rsidR="00F07B85" w:rsidTr="00D14400" w14:paraId="5471779F"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51DC5B86" w14:textId="77777777">
            <w:pPr>
              <w:spacing w:after="0" w:line="240" w:lineRule="auto"/>
              <w:rPr>
                <w:rFonts w:ascii="Calibri" w:hAnsi="Calibri" w:eastAsia="Times New Roman" w:cs="Calibri"/>
              </w:rPr>
            </w:pPr>
            <w:r w:rsidRPr="00A47E50">
              <w:rPr>
                <w:rFonts w:ascii="Calibri" w:hAnsi="Calibri" w:eastAsia="Times New Roman" w:cs="Calibri"/>
              </w:rPr>
              <w:t>04.Overijssel</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0DB00397" w14:textId="77777777">
            <w:pPr>
              <w:spacing w:after="0" w:line="240" w:lineRule="auto"/>
              <w:jc w:val="right"/>
              <w:rPr>
                <w:rFonts w:ascii="Calibri" w:hAnsi="Calibri" w:eastAsia="Times New Roman" w:cs="Calibri"/>
              </w:rPr>
            </w:pPr>
            <w:r w:rsidRPr="00A47E50">
              <w:rPr>
                <w:rFonts w:ascii="Calibri" w:hAnsi="Calibri" w:eastAsia="Times New Roman" w:cs="Calibri"/>
              </w:rPr>
              <w:t>122.740.755,25</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34867E84" w14:textId="77777777">
            <w:pPr>
              <w:spacing w:after="0" w:line="240" w:lineRule="auto"/>
              <w:jc w:val="right"/>
              <w:rPr>
                <w:rFonts w:ascii="Calibri" w:hAnsi="Calibri" w:eastAsia="Times New Roman" w:cs="Calibri"/>
              </w:rPr>
            </w:pPr>
            <w:r w:rsidRPr="00A47E50">
              <w:rPr>
                <w:rFonts w:ascii="Calibri" w:hAnsi="Calibri" w:eastAsia="Times New Roman" w:cs="Calibri"/>
              </w:rPr>
              <w:t>126.419.935,48</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6B04C72" w14:textId="77777777">
            <w:pPr>
              <w:spacing w:after="0" w:line="240" w:lineRule="auto"/>
              <w:jc w:val="right"/>
              <w:rPr>
                <w:rFonts w:ascii="Calibri" w:hAnsi="Calibri" w:eastAsia="Times New Roman" w:cs="Calibri"/>
              </w:rPr>
            </w:pPr>
            <w:r w:rsidRPr="00A47E50">
              <w:rPr>
                <w:rFonts w:ascii="Calibri" w:hAnsi="Calibri" w:eastAsia="Times New Roman" w:cs="Calibri"/>
              </w:rPr>
              <w:t>-3.679.180,23</w:t>
            </w:r>
          </w:p>
        </w:tc>
      </w:tr>
      <w:tr w:rsidRPr="00A47E50" w:rsidR="00F07B85" w:rsidTr="00D14400" w14:paraId="7B4322B1"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2006F02C" w14:textId="77777777">
            <w:pPr>
              <w:spacing w:after="0" w:line="240" w:lineRule="auto"/>
              <w:rPr>
                <w:rFonts w:ascii="Calibri" w:hAnsi="Calibri" w:eastAsia="Times New Roman" w:cs="Calibri"/>
              </w:rPr>
            </w:pPr>
            <w:r w:rsidRPr="00A47E50">
              <w:rPr>
                <w:rFonts w:ascii="Calibri" w:hAnsi="Calibri" w:eastAsia="Times New Roman" w:cs="Calibri"/>
              </w:rPr>
              <w:lastRenderedPageBreak/>
              <w:t>05.Gelderland</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4538808E" w14:textId="77777777">
            <w:pPr>
              <w:spacing w:after="0" w:line="240" w:lineRule="auto"/>
              <w:jc w:val="right"/>
              <w:rPr>
                <w:rFonts w:ascii="Calibri" w:hAnsi="Calibri" w:eastAsia="Times New Roman" w:cs="Calibri"/>
              </w:rPr>
            </w:pPr>
            <w:r w:rsidRPr="00A47E50">
              <w:rPr>
                <w:rFonts w:ascii="Calibri" w:hAnsi="Calibri" w:eastAsia="Times New Roman" w:cs="Calibri"/>
              </w:rPr>
              <w:t>258.906.207,68</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3A8A6BF" w14:textId="77777777">
            <w:pPr>
              <w:spacing w:after="0" w:line="240" w:lineRule="auto"/>
              <w:jc w:val="right"/>
              <w:rPr>
                <w:rFonts w:ascii="Calibri" w:hAnsi="Calibri" w:eastAsia="Times New Roman" w:cs="Calibri"/>
              </w:rPr>
            </w:pPr>
            <w:r w:rsidRPr="00A47E50">
              <w:rPr>
                <w:rFonts w:ascii="Calibri" w:hAnsi="Calibri" w:eastAsia="Times New Roman" w:cs="Calibri"/>
              </w:rPr>
              <w:t>266.666.976,35</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1811BB17" w14:textId="77777777">
            <w:pPr>
              <w:spacing w:after="0" w:line="240" w:lineRule="auto"/>
              <w:jc w:val="right"/>
              <w:rPr>
                <w:rFonts w:ascii="Calibri" w:hAnsi="Calibri" w:eastAsia="Times New Roman" w:cs="Calibri"/>
              </w:rPr>
            </w:pPr>
            <w:r w:rsidRPr="00A47E50">
              <w:rPr>
                <w:rFonts w:ascii="Calibri" w:hAnsi="Calibri" w:eastAsia="Times New Roman" w:cs="Calibri"/>
              </w:rPr>
              <w:t>-7.760.768,67</w:t>
            </w:r>
          </w:p>
        </w:tc>
      </w:tr>
      <w:tr w:rsidRPr="00A47E50" w:rsidR="00F07B85" w:rsidTr="00D14400" w14:paraId="50BB5417"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5996C920" w14:textId="77777777">
            <w:pPr>
              <w:spacing w:after="0" w:line="240" w:lineRule="auto"/>
              <w:rPr>
                <w:rFonts w:ascii="Calibri" w:hAnsi="Calibri" w:eastAsia="Times New Roman" w:cs="Calibri"/>
              </w:rPr>
            </w:pPr>
            <w:r w:rsidRPr="00A47E50">
              <w:rPr>
                <w:rFonts w:ascii="Calibri" w:hAnsi="Calibri" w:eastAsia="Times New Roman" w:cs="Calibri"/>
              </w:rPr>
              <w:t>06.Utrecht</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08AEAEF7" w14:textId="77777777">
            <w:pPr>
              <w:spacing w:after="0" w:line="240" w:lineRule="auto"/>
              <w:jc w:val="right"/>
              <w:rPr>
                <w:rFonts w:ascii="Calibri" w:hAnsi="Calibri" w:eastAsia="Times New Roman" w:cs="Calibri"/>
              </w:rPr>
            </w:pPr>
            <w:r w:rsidRPr="00A47E50">
              <w:rPr>
                <w:rFonts w:ascii="Calibri" w:hAnsi="Calibri" w:eastAsia="Times New Roman" w:cs="Calibri"/>
              </w:rPr>
              <w:t>149.256.813,04</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307AE125" w14:textId="77777777">
            <w:pPr>
              <w:spacing w:after="0" w:line="240" w:lineRule="auto"/>
              <w:jc w:val="right"/>
              <w:rPr>
                <w:rFonts w:ascii="Calibri" w:hAnsi="Calibri" w:eastAsia="Times New Roman" w:cs="Calibri"/>
              </w:rPr>
            </w:pPr>
            <w:r w:rsidRPr="00A47E50">
              <w:rPr>
                <w:rFonts w:ascii="Calibri" w:hAnsi="Calibri" w:eastAsia="Times New Roman" w:cs="Calibri"/>
              </w:rPr>
              <w:t>153.730.817,79</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751C10BF" w14:textId="77777777">
            <w:pPr>
              <w:spacing w:after="0" w:line="240" w:lineRule="auto"/>
              <w:jc w:val="right"/>
              <w:rPr>
                <w:rFonts w:ascii="Calibri" w:hAnsi="Calibri" w:eastAsia="Times New Roman" w:cs="Calibri"/>
              </w:rPr>
            </w:pPr>
            <w:r w:rsidRPr="00A47E50">
              <w:rPr>
                <w:rFonts w:ascii="Calibri" w:hAnsi="Calibri" w:eastAsia="Times New Roman" w:cs="Calibri"/>
              </w:rPr>
              <w:t>-4.474.004,75</w:t>
            </w:r>
          </w:p>
        </w:tc>
      </w:tr>
      <w:tr w:rsidRPr="00A47E50" w:rsidR="00F07B85" w:rsidTr="00D14400" w14:paraId="25DD3D23"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3D95D4FE" w14:textId="77777777">
            <w:pPr>
              <w:spacing w:after="0" w:line="240" w:lineRule="auto"/>
              <w:rPr>
                <w:rFonts w:ascii="Calibri" w:hAnsi="Calibri" w:eastAsia="Times New Roman" w:cs="Calibri"/>
              </w:rPr>
            </w:pPr>
            <w:r w:rsidRPr="00A47E50">
              <w:rPr>
                <w:rFonts w:ascii="Calibri" w:hAnsi="Calibri" w:eastAsia="Times New Roman" w:cs="Calibri"/>
              </w:rPr>
              <w:t>07.Noord-Holland</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3818D78F" w14:textId="77777777">
            <w:pPr>
              <w:spacing w:after="0" w:line="240" w:lineRule="auto"/>
              <w:jc w:val="right"/>
              <w:rPr>
                <w:rFonts w:ascii="Calibri" w:hAnsi="Calibri" w:eastAsia="Times New Roman" w:cs="Calibri"/>
              </w:rPr>
            </w:pPr>
            <w:r w:rsidRPr="00A47E50">
              <w:rPr>
                <w:rFonts w:ascii="Calibri" w:hAnsi="Calibri" w:eastAsia="Times New Roman" w:cs="Calibri"/>
              </w:rPr>
              <w:t>272.117.980,41</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C126723" w14:textId="77777777">
            <w:pPr>
              <w:spacing w:after="0" w:line="240" w:lineRule="auto"/>
              <w:jc w:val="right"/>
              <w:rPr>
                <w:rFonts w:ascii="Calibri" w:hAnsi="Calibri" w:eastAsia="Times New Roman" w:cs="Calibri"/>
              </w:rPr>
            </w:pPr>
            <w:r w:rsidRPr="00A47E50">
              <w:rPr>
                <w:rFonts w:ascii="Calibri" w:hAnsi="Calibri" w:eastAsia="Times New Roman" w:cs="Calibri"/>
              </w:rPr>
              <w:t>280.274.774,73</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590B698D" w14:textId="77777777">
            <w:pPr>
              <w:spacing w:after="0" w:line="240" w:lineRule="auto"/>
              <w:jc w:val="right"/>
              <w:rPr>
                <w:rFonts w:ascii="Calibri" w:hAnsi="Calibri" w:eastAsia="Times New Roman" w:cs="Calibri"/>
              </w:rPr>
            </w:pPr>
            <w:r w:rsidRPr="00A47E50">
              <w:rPr>
                <w:rFonts w:ascii="Calibri" w:hAnsi="Calibri" w:eastAsia="Times New Roman" w:cs="Calibri"/>
              </w:rPr>
              <w:t>-8.156.794,32</w:t>
            </w:r>
          </w:p>
        </w:tc>
      </w:tr>
      <w:tr w:rsidRPr="00A47E50" w:rsidR="00F07B85" w:rsidTr="00D14400" w14:paraId="647BCB84"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337F254F" w14:textId="77777777">
            <w:pPr>
              <w:spacing w:after="0" w:line="240" w:lineRule="auto"/>
              <w:rPr>
                <w:rFonts w:ascii="Calibri" w:hAnsi="Calibri" w:eastAsia="Times New Roman" w:cs="Calibri"/>
              </w:rPr>
            </w:pPr>
            <w:r w:rsidRPr="00A47E50">
              <w:rPr>
                <w:rFonts w:ascii="Calibri" w:hAnsi="Calibri" w:eastAsia="Times New Roman" w:cs="Calibri"/>
              </w:rPr>
              <w:t>08.Zuid-Holland</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FC70704" w14:textId="77777777">
            <w:pPr>
              <w:spacing w:after="0" w:line="240" w:lineRule="auto"/>
              <w:jc w:val="right"/>
              <w:rPr>
                <w:rFonts w:ascii="Calibri" w:hAnsi="Calibri" w:eastAsia="Times New Roman" w:cs="Calibri"/>
              </w:rPr>
            </w:pPr>
            <w:r w:rsidRPr="00A47E50">
              <w:rPr>
                <w:rFonts w:ascii="Calibri" w:hAnsi="Calibri" w:eastAsia="Times New Roman" w:cs="Calibri"/>
              </w:rPr>
              <w:t>392.103.629,90</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0164EA97" w14:textId="77777777">
            <w:pPr>
              <w:spacing w:after="0" w:line="240" w:lineRule="auto"/>
              <w:jc w:val="right"/>
              <w:rPr>
                <w:rFonts w:ascii="Calibri" w:hAnsi="Calibri" w:eastAsia="Times New Roman" w:cs="Calibri"/>
              </w:rPr>
            </w:pPr>
            <w:r w:rsidRPr="00A47E50">
              <w:rPr>
                <w:rFonts w:ascii="Calibri" w:hAnsi="Calibri" w:eastAsia="Times New Roman" w:cs="Calibri"/>
              </w:rPr>
              <w:t>403.857.019,74</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178856EF" w14:textId="77777777">
            <w:pPr>
              <w:spacing w:after="0" w:line="240" w:lineRule="auto"/>
              <w:jc w:val="right"/>
              <w:rPr>
                <w:rFonts w:ascii="Calibri" w:hAnsi="Calibri" w:eastAsia="Times New Roman" w:cs="Calibri"/>
              </w:rPr>
            </w:pPr>
            <w:r w:rsidRPr="00A47E50">
              <w:rPr>
                <w:rFonts w:ascii="Calibri" w:hAnsi="Calibri" w:eastAsia="Times New Roman" w:cs="Calibri"/>
              </w:rPr>
              <w:t>-11.753.389,84</w:t>
            </w:r>
          </w:p>
        </w:tc>
      </w:tr>
      <w:tr w:rsidRPr="00A47E50" w:rsidR="00F07B85" w:rsidTr="00D14400" w14:paraId="682ED32C"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7C3B713C" w14:textId="77777777">
            <w:pPr>
              <w:spacing w:after="0" w:line="240" w:lineRule="auto"/>
              <w:rPr>
                <w:rFonts w:ascii="Calibri" w:hAnsi="Calibri" w:eastAsia="Times New Roman" w:cs="Calibri"/>
              </w:rPr>
            </w:pPr>
            <w:r w:rsidRPr="00A47E50">
              <w:rPr>
                <w:rFonts w:ascii="Calibri" w:hAnsi="Calibri" w:eastAsia="Times New Roman" w:cs="Calibri"/>
              </w:rPr>
              <w:t>09.Zeeland</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0F741112" w14:textId="77777777">
            <w:pPr>
              <w:spacing w:after="0" w:line="240" w:lineRule="auto"/>
              <w:jc w:val="right"/>
              <w:rPr>
                <w:rFonts w:ascii="Calibri" w:hAnsi="Calibri" w:eastAsia="Times New Roman" w:cs="Calibri"/>
              </w:rPr>
            </w:pPr>
            <w:r w:rsidRPr="00A47E50">
              <w:rPr>
                <w:rFonts w:ascii="Calibri" w:hAnsi="Calibri" w:eastAsia="Times New Roman" w:cs="Calibri"/>
              </w:rPr>
              <w:t>44.609.488,64</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72BFA632" w14:textId="77777777">
            <w:pPr>
              <w:spacing w:after="0" w:line="240" w:lineRule="auto"/>
              <w:jc w:val="right"/>
              <w:rPr>
                <w:rFonts w:ascii="Calibri" w:hAnsi="Calibri" w:eastAsia="Times New Roman" w:cs="Calibri"/>
              </w:rPr>
            </w:pPr>
            <w:r w:rsidRPr="00A47E50">
              <w:rPr>
                <w:rFonts w:ascii="Calibri" w:hAnsi="Calibri" w:eastAsia="Times New Roman" w:cs="Calibri"/>
              </w:rPr>
              <w:t>45.946.667,56</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3D57B105" w14:textId="77777777">
            <w:pPr>
              <w:spacing w:after="0" w:line="240" w:lineRule="auto"/>
              <w:jc w:val="right"/>
              <w:rPr>
                <w:rFonts w:ascii="Calibri" w:hAnsi="Calibri" w:eastAsia="Times New Roman" w:cs="Calibri"/>
              </w:rPr>
            </w:pPr>
            <w:r w:rsidRPr="00A47E50">
              <w:rPr>
                <w:rFonts w:ascii="Calibri" w:hAnsi="Calibri" w:eastAsia="Times New Roman" w:cs="Calibri"/>
              </w:rPr>
              <w:t>-1.337.178,92</w:t>
            </w:r>
          </w:p>
        </w:tc>
      </w:tr>
      <w:tr w:rsidRPr="00A47E50" w:rsidR="00F07B85" w:rsidTr="00D14400" w14:paraId="287EEADD"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67682E53" w14:textId="77777777">
            <w:pPr>
              <w:spacing w:after="0" w:line="240" w:lineRule="auto"/>
              <w:rPr>
                <w:rFonts w:ascii="Calibri" w:hAnsi="Calibri" w:eastAsia="Times New Roman" w:cs="Calibri"/>
              </w:rPr>
            </w:pPr>
            <w:r w:rsidRPr="00A47E50">
              <w:rPr>
                <w:rFonts w:ascii="Calibri" w:hAnsi="Calibri" w:eastAsia="Times New Roman" w:cs="Calibri"/>
              </w:rPr>
              <w:t>10.Noord-Brabant</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2C62336" w14:textId="77777777">
            <w:pPr>
              <w:spacing w:after="0" w:line="240" w:lineRule="auto"/>
              <w:jc w:val="right"/>
              <w:rPr>
                <w:rFonts w:ascii="Calibri" w:hAnsi="Calibri" w:eastAsia="Times New Roman" w:cs="Calibri"/>
              </w:rPr>
            </w:pPr>
            <w:r w:rsidRPr="00A47E50">
              <w:rPr>
                <w:rFonts w:ascii="Calibri" w:hAnsi="Calibri" w:eastAsia="Times New Roman" w:cs="Calibri"/>
              </w:rPr>
              <w:t>291.623.402,38</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2641882A" w14:textId="77777777">
            <w:pPr>
              <w:spacing w:after="0" w:line="240" w:lineRule="auto"/>
              <w:jc w:val="right"/>
              <w:rPr>
                <w:rFonts w:ascii="Calibri" w:hAnsi="Calibri" w:eastAsia="Times New Roman" w:cs="Calibri"/>
              </w:rPr>
            </w:pPr>
            <w:r w:rsidRPr="00A47E50">
              <w:rPr>
                <w:rFonts w:ascii="Calibri" w:hAnsi="Calibri" w:eastAsia="Times New Roman" w:cs="Calibri"/>
              </w:rPr>
              <w:t>300.364.875,83</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3B1179EA" w14:textId="77777777">
            <w:pPr>
              <w:spacing w:after="0" w:line="240" w:lineRule="auto"/>
              <w:jc w:val="right"/>
              <w:rPr>
                <w:rFonts w:ascii="Calibri" w:hAnsi="Calibri" w:eastAsia="Times New Roman" w:cs="Calibri"/>
              </w:rPr>
            </w:pPr>
            <w:r w:rsidRPr="00A47E50">
              <w:rPr>
                <w:rFonts w:ascii="Calibri" w:hAnsi="Calibri" w:eastAsia="Times New Roman" w:cs="Calibri"/>
              </w:rPr>
              <w:t>-8.741.473,45</w:t>
            </w:r>
          </w:p>
        </w:tc>
      </w:tr>
      <w:tr w:rsidRPr="00A47E50" w:rsidR="00F07B85" w:rsidTr="00D14400" w14:paraId="586AF825"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2804E67F" w14:textId="77777777">
            <w:pPr>
              <w:spacing w:after="0" w:line="240" w:lineRule="auto"/>
              <w:rPr>
                <w:rFonts w:ascii="Calibri" w:hAnsi="Calibri" w:eastAsia="Times New Roman" w:cs="Calibri"/>
              </w:rPr>
            </w:pPr>
            <w:r w:rsidRPr="00A47E50">
              <w:rPr>
                <w:rFonts w:ascii="Calibri" w:hAnsi="Calibri" w:eastAsia="Times New Roman" w:cs="Calibri"/>
              </w:rPr>
              <w:t>11.Limburg</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5F0B512E" w14:textId="77777777">
            <w:pPr>
              <w:spacing w:after="0" w:line="240" w:lineRule="auto"/>
              <w:jc w:val="right"/>
              <w:rPr>
                <w:rFonts w:ascii="Calibri" w:hAnsi="Calibri" w:eastAsia="Times New Roman" w:cs="Calibri"/>
              </w:rPr>
            </w:pPr>
            <w:r w:rsidRPr="00A47E50">
              <w:rPr>
                <w:rFonts w:ascii="Calibri" w:hAnsi="Calibri" w:eastAsia="Times New Roman" w:cs="Calibri"/>
              </w:rPr>
              <w:t>120.260.713,93</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503630A5" w14:textId="77777777">
            <w:pPr>
              <w:spacing w:after="0" w:line="240" w:lineRule="auto"/>
              <w:jc w:val="right"/>
              <w:rPr>
                <w:rFonts w:ascii="Calibri" w:hAnsi="Calibri" w:eastAsia="Times New Roman" w:cs="Calibri"/>
              </w:rPr>
            </w:pPr>
            <w:r w:rsidRPr="00A47E50">
              <w:rPr>
                <w:rFonts w:ascii="Calibri" w:hAnsi="Calibri" w:eastAsia="Times New Roman" w:cs="Calibri"/>
              </w:rPr>
              <w:t>123.865.554,42</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49F5091A" w14:textId="77777777">
            <w:pPr>
              <w:spacing w:after="0" w:line="240" w:lineRule="auto"/>
              <w:jc w:val="right"/>
              <w:rPr>
                <w:rFonts w:ascii="Calibri" w:hAnsi="Calibri" w:eastAsia="Times New Roman" w:cs="Calibri"/>
              </w:rPr>
            </w:pPr>
            <w:r w:rsidRPr="00A47E50">
              <w:rPr>
                <w:rFonts w:ascii="Calibri" w:hAnsi="Calibri" w:eastAsia="Times New Roman" w:cs="Calibri"/>
              </w:rPr>
              <w:t>-3.604.840,49</w:t>
            </w:r>
          </w:p>
        </w:tc>
      </w:tr>
      <w:tr w:rsidRPr="00A47E50" w:rsidR="00F07B85" w:rsidTr="00D14400" w14:paraId="717C31BE" w14:textId="77777777">
        <w:trPr>
          <w:trHeight w:val="251"/>
        </w:trPr>
        <w:tc>
          <w:tcPr>
            <w:tcW w:w="1594" w:type="dxa"/>
            <w:tcBorders>
              <w:top w:val="nil"/>
              <w:left w:val="single" w:color="auto" w:sz="4" w:space="0"/>
              <w:bottom w:val="single" w:color="auto" w:sz="4" w:space="0"/>
              <w:right w:val="single" w:color="auto" w:sz="4" w:space="0"/>
            </w:tcBorders>
            <w:shd w:val="clear" w:color="auto" w:fill="auto"/>
            <w:noWrap/>
            <w:vAlign w:val="bottom"/>
            <w:hideMark/>
          </w:tcPr>
          <w:p w:rsidRPr="00A47E50" w:rsidR="00F07B85" w:rsidP="00F07B85" w:rsidRDefault="00F07B85" w14:paraId="1ABE8B25" w14:textId="77777777">
            <w:pPr>
              <w:spacing w:after="0" w:line="240" w:lineRule="auto"/>
              <w:rPr>
                <w:rFonts w:ascii="Calibri" w:hAnsi="Calibri" w:eastAsia="Times New Roman" w:cs="Calibri"/>
              </w:rPr>
            </w:pPr>
            <w:r w:rsidRPr="00A47E50">
              <w:rPr>
                <w:rFonts w:ascii="Calibri" w:hAnsi="Calibri" w:eastAsia="Times New Roman" w:cs="Calibri"/>
              </w:rPr>
              <w:t>12.Flevoland</w:t>
            </w:r>
          </w:p>
        </w:tc>
        <w:tc>
          <w:tcPr>
            <w:tcW w:w="2229"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1AECCCE8" w14:textId="77777777">
            <w:pPr>
              <w:spacing w:after="0" w:line="240" w:lineRule="auto"/>
              <w:jc w:val="right"/>
              <w:rPr>
                <w:rFonts w:ascii="Calibri" w:hAnsi="Calibri" w:eastAsia="Times New Roman" w:cs="Calibri"/>
              </w:rPr>
            </w:pPr>
            <w:r w:rsidRPr="00A47E50">
              <w:rPr>
                <w:rFonts w:ascii="Calibri" w:hAnsi="Calibri" w:eastAsia="Times New Roman" w:cs="Calibri"/>
              </w:rPr>
              <w:t>42.227.926,65</w:t>
            </w:r>
          </w:p>
        </w:tc>
        <w:tc>
          <w:tcPr>
            <w:tcW w:w="1512"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097D982E" w14:textId="77777777">
            <w:pPr>
              <w:spacing w:after="0" w:line="240" w:lineRule="auto"/>
              <w:jc w:val="right"/>
              <w:rPr>
                <w:rFonts w:ascii="Calibri" w:hAnsi="Calibri" w:eastAsia="Times New Roman" w:cs="Calibri"/>
              </w:rPr>
            </w:pPr>
            <w:r w:rsidRPr="00A47E50">
              <w:rPr>
                <w:rFonts w:ascii="Calibri" w:hAnsi="Calibri" w:eastAsia="Times New Roman" w:cs="Calibri"/>
              </w:rPr>
              <w:t>43.493.717,73</w:t>
            </w:r>
          </w:p>
        </w:tc>
        <w:tc>
          <w:tcPr>
            <w:tcW w:w="1451" w:type="dxa"/>
            <w:tcBorders>
              <w:top w:val="nil"/>
              <w:left w:val="nil"/>
              <w:bottom w:val="single" w:color="auto" w:sz="4" w:space="0"/>
              <w:right w:val="single" w:color="auto" w:sz="4" w:space="0"/>
            </w:tcBorders>
            <w:shd w:val="clear" w:color="auto" w:fill="auto"/>
            <w:noWrap/>
            <w:vAlign w:val="bottom"/>
            <w:hideMark/>
          </w:tcPr>
          <w:p w:rsidRPr="00A47E50" w:rsidR="00F07B85" w:rsidP="00F07B85" w:rsidRDefault="00F07B85" w14:paraId="3243E385" w14:textId="77777777">
            <w:pPr>
              <w:spacing w:after="0" w:line="240" w:lineRule="auto"/>
              <w:jc w:val="right"/>
              <w:rPr>
                <w:rFonts w:ascii="Calibri" w:hAnsi="Calibri" w:eastAsia="Times New Roman" w:cs="Calibri"/>
              </w:rPr>
            </w:pPr>
            <w:r w:rsidRPr="00A47E50">
              <w:rPr>
                <w:rFonts w:ascii="Calibri" w:hAnsi="Calibri" w:eastAsia="Times New Roman" w:cs="Calibri"/>
              </w:rPr>
              <w:t>-1.265.791,08</w:t>
            </w:r>
          </w:p>
        </w:tc>
      </w:tr>
      <w:tr w:rsidRPr="00A47E50" w:rsidR="00F07B85" w:rsidTr="00D14400" w14:paraId="24C514BB" w14:textId="77777777">
        <w:trPr>
          <w:trHeight w:val="55"/>
        </w:trPr>
        <w:tc>
          <w:tcPr>
            <w:tcW w:w="1594" w:type="dxa"/>
            <w:tcBorders>
              <w:top w:val="nil"/>
              <w:left w:val="single" w:color="auto" w:sz="4" w:space="0"/>
              <w:bottom w:val="single" w:color="auto" w:sz="4" w:space="0"/>
              <w:right w:val="single" w:color="auto" w:sz="4" w:space="0"/>
            </w:tcBorders>
            <w:shd w:val="clear" w:color="000000" w:fill="C0E6F5"/>
            <w:noWrap/>
            <w:vAlign w:val="bottom"/>
            <w:hideMark/>
          </w:tcPr>
          <w:p w:rsidRPr="00A47E50" w:rsidR="00F07B85" w:rsidP="00F07B85" w:rsidRDefault="00F07B85" w14:paraId="448D2A5A" w14:textId="77777777">
            <w:pPr>
              <w:spacing w:after="0" w:line="240" w:lineRule="auto"/>
              <w:rPr>
                <w:rFonts w:ascii="Calibri" w:hAnsi="Calibri" w:eastAsia="Times New Roman" w:cs="Calibri"/>
                <w:b/>
                <w:bCs/>
              </w:rPr>
            </w:pPr>
          </w:p>
        </w:tc>
        <w:tc>
          <w:tcPr>
            <w:tcW w:w="2229" w:type="dxa"/>
            <w:tcBorders>
              <w:top w:val="nil"/>
              <w:left w:val="nil"/>
              <w:bottom w:val="single" w:color="auto" w:sz="4" w:space="0"/>
              <w:right w:val="single" w:color="auto" w:sz="4" w:space="0"/>
            </w:tcBorders>
            <w:shd w:val="clear" w:color="000000" w:fill="C0E6F5"/>
            <w:noWrap/>
            <w:vAlign w:val="bottom"/>
            <w:hideMark/>
          </w:tcPr>
          <w:p w:rsidRPr="00A47E50" w:rsidR="00F07B85" w:rsidP="00F07B85" w:rsidRDefault="00F07B85" w14:paraId="769EA0EC" w14:textId="77777777">
            <w:pPr>
              <w:spacing w:after="0" w:line="240" w:lineRule="auto"/>
              <w:jc w:val="right"/>
              <w:rPr>
                <w:rFonts w:ascii="Calibri" w:hAnsi="Calibri" w:eastAsia="Times New Roman" w:cs="Calibri"/>
                <w:b/>
                <w:bCs/>
              </w:rPr>
            </w:pPr>
            <w:r w:rsidRPr="00A47E50">
              <w:rPr>
                <w:rFonts w:ascii="Calibri" w:hAnsi="Calibri" w:eastAsia="Times New Roman" w:cs="Calibri"/>
                <w:b/>
                <w:bCs/>
              </w:rPr>
              <w:t>1.897.985.916,54</w:t>
            </w:r>
          </w:p>
        </w:tc>
        <w:tc>
          <w:tcPr>
            <w:tcW w:w="1512" w:type="dxa"/>
            <w:tcBorders>
              <w:top w:val="nil"/>
              <w:left w:val="nil"/>
              <w:bottom w:val="single" w:color="auto" w:sz="4" w:space="0"/>
              <w:right w:val="single" w:color="auto" w:sz="4" w:space="0"/>
            </w:tcBorders>
            <w:shd w:val="clear" w:color="000000" w:fill="C0E6F5"/>
            <w:noWrap/>
            <w:vAlign w:val="bottom"/>
            <w:hideMark/>
          </w:tcPr>
          <w:p w:rsidRPr="00A47E50" w:rsidR="00F07B85" w:rsidP="00F07B85" w:rsidRDefault="00F07B85" w14:paraId="3E9082F5" w14:textId="77777777">
            <w:pPr>
              <w:spacing w:after="0" w:line="240" w:lineRule="auto"/>
              <w:jc w:val="right"/>
              <w:rPr>
                <w:rFonts w:ascii="Calibri" w:hAnsi="Calibri" w:eastAsia="Times New Roman" w:cs="Calibri"/>
                <w:b/>
                <w:bCs/>
              </w:rPr>
            </w:pPr>
            <w:r w:rsidRPr="00A47E50">
              <w:rPr>
                <w:rFonts w:ascii="Calibri" w:hAnsi="Calibri" w:eastAsia="Times New Roman" w:cs="Calibri"/>
                <w:b/>
                <w:bCs/>
              </w:rPr>
              <w:t>1.954.878.448,13</w:t>
            </w:r>
          </w:p>
        </w:tc>
        <w:tc>
          <w:tcPr>
            <w:tcW w:w="1451" w:type="dxa"/>
            <w:tcBorders>
              <w:top w:val="nil"/>
              <w:left w:val="nil"/>
              <w:bottom w:val="single" w:color="auto" w:sz="4" w:space="0"/>
              <w:right w:val="single" w:color="auto" w:sz="4" w:space="0"/>
            </w:tcBorders>
            <w:shd w:val="clear" w:color="000000" w:fill="C0E6F5"/>
            <w:noWrap/>
            <w:vAlign w:val="bottom"/>
            <w:hideMark/>
          </w:tcPr>
          <w:p w:rsidRPr="00A47E50" w:rsidR="00F07B85" w:rsidP="00F07B85" w:rsidRDefault="00F07B85" w14:paraId="48FCC958" w14:textId="77777777">
            <w:pPr>
              <w:spacing w:after="0" w:line="240" w:lineRule="auto"/>
              <w:jc w:val="right"/>
              <w:rPr>
                <w:rFonts w:ascii="Calibri" w:hAnsi="Calibri" w:eastAsia="Times New Roman" w:cs="Calibri"/>
                <w:b/>
                <w:bCs/>
              </w:rPr>
            </w:pPr>
            <w:r w:rsidRPr="00A47E50">
              <w:rPr>
                <w:rFonts w:ascii="Calibri" w:hAnsi="Calibri" w:eastAsia="Times New Roman" w:cs="Calibri"/>
                <w:b/>
                <w:bCs/>
              </w:rPr>
              <w:t>-56.892.531,59</w:t>
            </w:r>
          </w:p>
        </w:tc>
      </w:tr>
    </w:tbl>
    <w:p w:rsidRPr="00A47E50" w:rsidR="00F07B85" w:rsidP="00F07B85" w:rsidRDefault="00F07B85" w14:paraId="37B902A8" w14:textId="77777777">
      <w:pPr>
        <w:spacing w:after="0"/>
        <w:rPr>
          <w:rFonts w:ascii="Calibri" w:hAnsi="Calibri" w:cs="Calibri"/>
        </w:rPr>
      </w:pPr>
    </w:p>
    <w:p w:rsidRPr="00A47E50" w:rsidR="00F07B85" w:rsidP="00F07B85" w:rsidRDefault="00F07B85" w14:paraId="4FA7ADC3" w14:textId="77777777">
      <w:pPr>
        <w:spacing w:after="0"/>
        <w:rPr>
          <w:rFonts w:ascii="Calibri" w:hAnsi="Calibri" w:cs="Calibri"/>
        </w:rPr>
      </w:pPr>
      <w:r w:rsidRPr="00A47E50">
        <w:rPr>
          <w:rFonts w:ascii="Calibri" w:hAnsi="Calibri" w:cs="Calibri"/>
        </w:rPr>
        <w:t>Naar de exacte omvang van de foutieve afdracht over 2023 en 2025 wordt nader onderzoek gedaan. De Belastingdienst is tot de oplossing gekomen om de foutieve afdrachten over 2023, 2024 en 2025 te corrigeren met de resterende afdrachten over 2025. Deze wijze van herstel is in goed overleg richting het IPO gecommuniceerd. Ook zijn de gemaakte fouten over de jaren 2023, 2024 en 2025 onder de aandacht gebracht van de Algemene Rekenkamer (AR) en de Auditdienst Rijk (ADR). De ADR heeft aangegeven dat de beoordeling van de juistheid van het herstel van de gemaakte fouten voor de afdracht van provinciale opcenten onderdeel uitmaakt van de jaarrekeningcontrole 2025.</w:t>
      </w:r>
    </w:p>
    <w:p w:rsidRPr="00A47E50" w:rsidR="00F07B85" w:rsidP="00F07B85" w:rsidRDefault="00F07B85" w14:paraId="6EC1FDA9" w14:textId="77777777">
      <w:pPr>
        <w:spacing w:after="0"/>
        <w:rPr>
          <w:rFonts w:ascii="Calibri" w:hAnsi="Calibri" w:cs="Calibri"/>
        </w:rPr>
      </w:pPr>
    </w:p>
    <w:p w:rsidRPr="00A47E50" w:rsidR="00F07B85" w:rsidP="00F07B85" w:rsidRDefault="00F07B85" w14:paraId="232D24D9" w14:textId="77777777">
      <w:pPr>
        <w:spacing w:after="0"/>
        <w:rPr>
          <w:rFonts w:ascii="Calibri" w:hAnsi="Calibri" w:cs="Calibri"/>
          <w:i/>
          <w:iCs/>
        </w:rPr>
      </w:pPr>
      <w:r w:rsidRPr="00A47E50">
        <w:rPr>
          <w:rFonts w:ascii="Calibri" w:hAnsi="Calibri" w:cs="Calibri"/>
          <w:i/>
          <w:iCs/>
        </w:rPr>
        <w:t>Beheersmaatregelen</w:t>
      </w:r>
    </w:p>
    <w:p w:rsidRPr="00A47E50" w:rsidR="00F07B85" w:rsidP="00F07B85" w:rsidRDefault="00F07B85" w14:paraId="15EB5467" w14:textId="77777777">
      <w:pPr>
        <w:spacing w:after="0"/>
        <w:rPr>
          <w:rFonts w:ascii="Calibri" w:hAnsi="Calibri" w:cs="Calibri"/>
        </w:rPr>
      </w:pPr>
      <w:r w:rsidRPr="00A47E50">
        <w:rPr>
          <w:rFonts w:ascii="Calibri" w:hAnsi="Calibri" w:cs="Calibri"/>
        </w:rPr>
        <w:t xml:space="preserve">Naar aanleiding van de foutieve afdrachten heeft de Belastingdienst direct maatregelen genomen om de kans op dit soort fouten in de toekomst zoveel mogelijk te beperken. Zo zal de Belastingdienst verscherpt aandacht geven aan de beheersingsmaatregelen rondom de berekening van de afdracht. Ook gaat de Belastingdienst – in samenwerking met het IPO – verder werken aan vereenvoudiging van het proces en de systematiek met betrekking tot de afdracht van de provinciale opcenten. </w:t>
      </w:r>
    </w:p>
    <w:p w:rsidRPr="00A47E50" w:rsidR="00F07B85" w:rsidP="00F07B85" w:rsidRDefault="00F07B85" w14:paraId="0011B668" w14:textId="77777777">
      <w:pPr>
        <w:spacing w:after="0"/>
        <w:rPr>
          <w:rFonts w:ascii="Calibri" w:hAnsi="Calibri" w:cs="Calibri"/>
        </w:rPr>
      </w:pPr>
    </w:p>
    <w:p w:rsidRPr="00A47E50" w:rsidR="00F07B85" w:rsidP="00F07B85" w:rsidRDefault="00F07B85" w14:paraId="428F7618" w14:textId="77777777">
      <w:pPr>
        <w:spacing w:after="0"/>
        <w:rPr>
          <w:rFonts w:ascii="Calibri" w:hAnsi="Calibri" w:cs="Calibri"/>
        </w:rPr>
      </w:pPr>
      <w:r w:rsidRPr="00A47E50">
        <w:rPr>
          <w:rFonts w:ascii="Calibri" w:hAnsi="Calibri" w:cs="Calibri"/>
        </w:rPr>
        <w:t>Ik zal u indien nodig over het vervolg en de voortgang met betrekking tot de beheersmaatregelen informeren via de stand-van-zakenbrief Belastingdienst.</w:t>
      </w:r>
    </w:p>
    <w:p w:rsidRPr="00A47E50" w:rsidR="00F07B85" w:rsidP="00F07B85" w:rsidRDefault="00F07B85" w14:paraId="14B2470C" w14:textId="77777777">
      <w:pPr>
        <w:spacing w:after="0"/>
        <w:rPr>
          <w:rFonts w:ascii="Calibri" w:hAnsi="Calibri" w:cs="Calibri"/>
        </w:rPr>
      </w:pPr>
    </w:p>
    <w:p w:rsidRPr="00A47E50" w:rsidR="00A47E50" w:rsidP="00A47E50" w:rsidRDefault="00A47E50" w14:paraId="49A6645C" w14:textId="301DEF20">
      <w:pPr>
        <w:pStyle w:val="Geenafstand"/>
        <w:rPr>
          <w:rFonts w:ascii="Calibri" w:hAnsi="Calibri" w:cs="Calibri"/>
        </w:rPr>
      </w:pPr>
      <w:r w:rsidRPr="00A47E50">
        <w:rPr>
          <w:rFonts w:ascii="Calibri" w:hAnsi="Calibri" w:cs="Calibri"/>
        </w:rPr>
        <w:t>De staatssecretaris van Financiën,</w:t>
      </w:r>
    </w:p>
    <w:p w:rsidRPr="00A47E50" w:rsidR="00F07B85" w:rsidP="00A47E50" w:rsidRDefault="00F07B85" w14:paraId="31050964" w14:textId="77777777">
      <w:pPr>
        <w:pStyle w:val="Geenafstand"/>
        <w:rPr>
          <w:rFonts w:ascii="Calibri" w:hAnsi="Calibri" w:cs="Calibri"/>
        </w:rPr>
      </w:pPr>
      <w:r w:rsidRPr="00A47E50">
        <w:rPr>
          <w:rFonts w:ascii="Calibri" w:hAnsi="Calibri" w:cs="Calibri"/>
        </w:rPr>
        <w:t>T. van Oostenbruggen</w:t>
      </w:r>
    </w:p>
    <w:p w:rsidRPr="00A47E50" w:rsidR="00F80165" w:rsidP="00F07B85" w:rsidRDefault="00F80165" w14:paraId="294601C5" w14:textId="77777777">
      <w:pPr>
        <w:spacing w:after="0"/>
        <w:rPr>
          <w:rFonts w:ascii="Calibri" w:hAnsi="Calibri" w:cs="Calibri"/>
        </w:rPr>
      </w:pPr>
    </w:p>
    <w:sectPr w:rsidRPr="00A47E50" w:rsidR="00F80165" w:rsidSect="009844C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95A9" w14:textId="77777777" w:rsidR="00F07B85" w:rsidRDefault="00F07B85" w:rsidP="00F07B85">
      <w:pPr>
        <w:spacing w:after="0" w:line="240" w:lineRule="auto"/>
      </w:pPr>
      <w:r>
        <w:separator/>
      </w:r>
    </w:p>
  </w:endnote>
  <w:endnote w:type="continuationSeparator" w:id="0">
    <w:p w14:paraId="5C211A16" w14:textId="77777777" w:rsidR="00F07B85" w:rsidRDefault="00F07B85" w:rsidP="00F0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490" w14:textId="77777777" w:rsidR="00F07B85" w:rsidRPr="00F07B85" w:rsidRDefault="00F07B85" w:rsidP="00F07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6E65" w14:textId="77777777" w:rsidR="00F07B85" w:rsidRPr="00F07B85" w:rsidRDefault="00F07B85" w:rsidP="00F07B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EB39" w14:textId="77777777" w:rsidR="00F07B85" w:rsidRPr="00F07B85" w:rsidRDefault="00F07B85" w:rsidP="00F07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226A" w14:textId="77777777" w:rsidR="00F07B85" w:rsidRDefault="00F07B85" w:rsidP="00F07B85">
      <w:pPr>
        <w:spacing w:after="0" w:line="240" w:lineRule="auto"/>
      </w:pPr>
      <w:r>
        <w:separator/>
      </w:r>
    </w:p>
  </w:footnote>
  <w:footnote w:type="continuationSeparator" w:id="0">
    <w:p w14:paraId="0E1EBA3D" w14:textId="77777777" w:rsidR="00F07B85" w:rsidRDefault="00F07B85" w:rsidP="00F0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349F" w14:textId="77777777" w:rsidR="00F07B85" w:rsidRPr="00F07B85" w:rsidRDefault="00F07B85" w:rsidP="00F07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7251" w14:textId="77777777" w:rsidR="00F07B85" w:rsidRPr="00F07B85" w:rsidRDefault="00F07B85" w:rsidP="00F07B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E401" w14:textId="77777777" w:rsidR="00F07B85" w:rsidRPr="00F07B85" w:rsidRDefault="00F07B85" w:rsidP="00F07B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85"/>
    <w:rsid w:val="0001096D"/>
    <w:rsid w:val="00653EF3"/>
    <w:rsid w:val="00692E58"/>
    <w:rsid w:val="009844C6"/>
    <w:rsid w:val="00A47E50"/>
    <w:rsid w:val="00EA20A8"/>
    <w:rsid w:val="00F07B8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81B4"/>
  <w15:chartTrackingRefBased/>
  <w15:docId w15:val="{AC1E679C-41DA-45B3-BAAC-A991255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7B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7B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7B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7B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7B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7B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7B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7B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7B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7B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7B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7B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7B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7B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7B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7B85"/>
    <w:rPr>
      <w:rFonts w:eastAsiaTheme="majorEastAsia" w:cstheme="majorBidi"/>
      <w:color w:val="272727" w:themeColor="text1" w:themeTint="D8"/>
    </w:rPr>
  </w:style>
  <w:style w:type="paragraph" w:styleId="Titel">
    <w:name w:val="Title"/>
    <w:basedOn w:val="Standaard"/>
    <w:next w:val="Standaard"/>
    <w:link w:val="TitelChar"/>
    <w:uiPriority w:val="10"/>
    <w:qFormat/>
    <w:rsid w:val="00F0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7B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7B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7B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7B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7B85"/>
    <w:rPr>
      <w:i/>
      <w:iCs/>
      <w:color w:val="404040" w:themeColor="text1" w:themeTint="BF"/>
    </w:rPr>
  </w:style>
  <w:style w:type="paragraph" w:styleId="Lijstalinea">
    <w:name w:val="List Paragraph"/>
    <w:basedOn w:val="Standaard"/>
    <w:uiPriority w:val="34"/>
    <w:qFormat/>
    <w:rsid w:val="00F07B85"/>
    <w:pPr>
      <w:ind w:left="720"/>
      <w:contextualSpacing/>
    </w:pPr>
  </w:style>
  <w:style w:type="character" w:styleId="Intensievebenadrukking">
    <w:name w:val="Intense Emphasis"/>
    <w:basedOn w:val="Standaardalinea-lettertype"/>
    <w:uiPriority w:val="21"/>
    <w:qFormat/>
    <w:rsid w:val="00F07B85"/>
    <w:rPr>
      <w:i/>
      <w:iCs/>
      <w:color w:val="0F4761" w:themeColor="accent1" w:themeShade="BF"/>
    </w:rPr>
  </w:style>
  <w:style w:type="paragraph" w:styleId="Duidelijkcitaat">
    <w:name w:val="Intense Quote"/>
    <w:basedOn w:val="Standaard"/>
    <w:next w:val="Standaard"/>
    <w:link w:val="DuidelijkcitaatChar"/>
    <w:uiPriority w:val="30"/>
    <w:qFormat/>
    <w:rsid w:val="00F0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7B85"/>
    <w:rPr>
      <w:i/>
      <w:iCs/>
      <w:color w:val="0F4761" w:themeColor="accent1" w:themeShade="BF"/>
    </w:rPr>
  </w:style>
  <w:style w:type="character" w:styleId="Intensieveverwijzing">
    <w:name w:val="Intense Reference"/>
    <w:basedOn w:val="Standaardalinea-lettertype"/>
    <w:uiPriority w:val="32"/>
    <w:qFormat/>
    <w:rsid w:val="00F07B85"/>
    <w:rPr>
      <w:b/>
      <w:bCs/>
      <w:smallCaps/>
      <w:color w:val="0F4761" w:themeColor="accent1" w:themeShade="BF"/>
      <w:spacing w:val="5"/>
    </w:rPr>
  </w:style>
  <w:style w:type="paragraph" w:customStyle="1" w:styleId="StandaardSlotzin">
    <w:name w:val="Standaard_Slotzin"/>
    <w:basedOn w:val="Standaard"/>
    <w:next w:val="Standaard"/>
    <w:rsid w:val="00F07B8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07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7B85"/>
  </w:style>
  <w:style w:type="paragraph" w:styleId="Voettekst">
    <w:name w:val="footer"/>
    <w:basedOn w:val="Standaard"/>
    <w:link w:val="VoettekstChar"/>
    <w:uiPriority w:val="99"/>
    <w:unhideWhenUsed/>
    <w:rsid w:val="00F07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7B85"/>
  </w:style>
  <w:style w:type="paragraph" w:styleId="Geenafstand">
    <w:name w:val="No Spacing"/>
    <w:uiPriority w:val="1"/>
    <w:qFormat/>
    <w:rsid w:val="00A47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626</ap:Words>
  <ap:Characters>3443</ap:Characters>
  <ap:DocSecurity>0</ap:DocSecurity>
  <ap:Lines>28</ap:Lines>
  <ap:Paragraphs>8</ap:Paragraphs>
  <ap:ScaleCrop>false</ap:ScaleCrop>
  <ap:LinksUpToDate>false</ap:LinksUpToDate>
  <ap:CharactersWithSpaces>4061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2025-05-21T09:52:00.0000000Z</dcterms:created>
  <dcterms:modified xsi:type="dcterms:W3CDTF">2025-05-21T09:53:00.0000000Z</dcterms:modified>
  <version/>
  <category/>
</coreProperties>
</file>