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2025Z09666</w:t>
        <w:br/>
      </w:r>
      <w:proofErr w:type="spellEnd"/>
    </w:p>
    <w:p>
      <w:pPr>
        <w:pStyle w:val="Normal"/>
        <w:rPr>
          <w:b w:val="1"/>
          <w:bCs w:val="1"/>
        </w:rPr>
      </w:pPr>
      <w:r w:rsidR="250AE766">
        <w:rPr>
          <w:b w:val="0"/>
          <w:bCs w:val="0"/>
        </w:rPr>
        <w:t>(ingezonden 19 mei 2025)</w:t>
        <w:br/>
      </w:r>
    </w:p>
    <w:p>
      <w:r>
        <w:t xml:space="preserve">Vraag van het lid Van Houwelingen (FVD) aan de minister van Volksgezondheid, Welzijn en Sport over het aantal inzetten van ambulances, rapid responders en first responders</w:t>
      </w:r>
      <w:r>
        <w:br/>
      </w:r>
    </w:p>
    <w:p>
      <w:r>
        <w:t xml:space="preserve">1)</w:t>
      </w:r>
      <w:r>
        <w:br/>
      </w:r>
    </w:p>
    <w:p>
      <w:r>
        <w:t xml:space="preserve">Kunt u een overzicht sturen van het totaal aantal inzetten van ambulances, rapid responders en first responders vanaf 2017 tot en met 2024, dat wil zeggen een aanvulling met de jaren 2022, 2023 en 2024 van de tabel die het kabinet stuurde als antwoord op vraag 2 van schriftelijke vragen die hierover eerder zijn ingediend op 18 november 2022 (Aanhangsel van de Handelingen II, vergaderjaar 2022–2023, nr. 1004, Antwoord op vragen van het lid van Houwelingen over Sectorkompas Ambulancezorg 2021, Tweede Kamer der Staten-Generaal) en een verklaring kunnen geven voor een eventuele stijging van deze inzetten gedurende de afgelopen jaren?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180">
    <w:abstractNumId w:val="10047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