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D4EBBC6" w14:textId="77777777">
        <w:tc>
          <w:tcPr>
            <w:tcW w:w="6379" w:type="dxa"/>
            <w:gridSpan w:val="2"/>
            <w:tcBorders>
              <w:top w:val="nil"/>
              <w:left w:val="nil"/>
              <w:bottom w:val="nil"/>
              <w:right w:val="nil"/>
            </w:tcBorders>
            <w:vAlign w:val="center"/>
          </w:tcPr>
          <w:p w:rsidR="004330ED" w:rsidP="002D1B2B" w:rsidRDefault="004330ED" w14:paraId="5E8966F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2D1B2B" w:rsidRDefault="004330ED" w14:paraId="5840141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9061B" w14:textId="77777777">
        <w:trPr>
          <w:cantSplit/>
        </w:trPr>
        <w:tc>
          <w:tcPr>
            <w:tcW w:w="10348" w:type="dxa"/>
            <w:gridSpan w:val="3"/>
            <w:tcBorders>
              <w:top w:val="single" w:color="auto" w:sz="4" w:space="0"/>
              <w:left w:val="nil"/>
              <w:bottom w:val="nil"/>
              <w:right w:val="nil"/>
            </w:tcBorders>
          </w:tcPr>
          <w:p w:rsidR="004330ED" w:rsidP="002D1B2B" w:rsidRDefault="004330ED" w14:paraId="40866E7A" w14:textId="791FE1B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37D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37D21">
              <w:rPr>
                <w:rFonts w:ascii="Times New Roman" w:hAnsi="Times New Roman"/>
                <w:b w:val="0"/>
              </w:rPr>
              <w:t>5</w:t>
            </w:r>
          </w:p>
        </w:tc>
      </w:tr>
      <w:tr w:rsidR="004330ED" w:rsidTr="00EA1CE4" w14:paraId="095C1A6C" w14:textId="77777777">
        <w:trPr>
          <w:cantSplit/>
        </w:trPr>
        <w:tc>
          <w:tcPr>
            <w:tcW w:w="10348" w:type="dxa"/>
            <w:gridSpan w:val="3"/>
            <w:tcBorders>
              <w:top w:val="nil"/>
              <w:left w:val="nil"/>
              <w:bottom w:val="nil"/>
              <w:right w:val="nil"/>
            </w:tcBorders>
          </w:tcPr>
          <w:p w:rsidR="004330ED" w:rsidP="002D1B2B" w:rsidRDefault="004330ED" w14:paraId="0C7BEDBD" w14:textId="77777777">
            <w:pPr>
              <w:pStyle w:val="Amendement"/>
              <w:tabs>
                <w:tab w:val="clear" w:pos="3310"/>
                <w:tab w:val="clear" w:pos="3600"/>
              </w:tabs>
              <w:rPr>
                <w:rFonts w:ascii="Times New Roman" w:hAnsi="Times New Roman"/>
                <w:b w:val="0"/>
              </w:rPr>
            </w:pPr>
          </w:p>
        </w:tc>
      </w:tr>
      <w:tr w:rsidR="004330ED" w:rsidTr="00EA1CE4" w14:paraId="7B16526D" w14:textId="77777777">
        <w:trPr>
          <w:cantSplit/>
        </w:trPr>
        <w:tc>
          <w:tcPr>
            <w:tcW w:w="10348" w:type="dxa"/>
            <w:gridSpan w:val="3"/>
            <w:tcBorders>
              <w:top w:val="nil"/>
              <w:left w:val="nil"/>
              <w:bottom w:val="single" w:color="auto" w:sz="4" w:space="0"/>
              <w:right w:val="nil"/>
            </w:tcBorders>
          </w:tcPr>
          <w:p w:rsidR="004330ED" w:rsidP="002D1B2B" w:rsidRDefault="004330ED" w14:paraId="2D6E49EA" w14:textId="77777777">
            <w:pPr>
              <w:pStyle w:val="Amendement"/>
              <w:tabs>
                <w:tab w:val="clear" w:pos="3310"/>
                <w:tab w:val="clear" w:pos="3600"/>
              </w:tabs>
              <w:rPr>
                <w:rFonts w:ascii="Times New Roman" w:hAnsi="Times New Roman"/>
              </w:rPr>
            </w:pPr>
          </w:p>
        </w:tc>
      </w:tr>
      <w:tr w:rsidR="004330ED" w:rsidTr="00EA1CE4" w14:paraId="0FB83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2D1B2B" w:rsidRDefault="004330ED" w14:paraId="2265104B" w14:textId="77777777">
            <w:pPr>
              <w:pStyle w:val="Amendement"/>
              <w:tabs>
                <w:tab w:val="clear" w:pos="3310"/>
                <w:tab w:val="clear" w:pos="3600"/>
              </w:tabs>
              <w:rPr>
                <w:rFonts w:ascii="Times New Roman" w:hAnsi="Times New Roman"/>
              </w:rPr>
            </w:pPr>
          </w:p>
        </w:tc>
        <w:tc>
          <w:tcPr>
            <w:tcW w:w="7371" w:type="dxa"/>
            <w:gridSpan w:val="2"/>
          </w:tcPr>
          <w:p w:rsidR="004330ED" w:rsidP="002D1B2B" w:rsidRDefault="004330ED" w14:paraId="1A2EC7EB" w14:textId="77777777">
            <w:pPr>
              <w:suppressAutoHyphens/>
              <w:ind w:left="-70"/>
              <w:rPr>
                <w:b/>
              </w:rPr>
            </w:pPr>
          </w:p>
        </w:tc>
      </w:tr>
      <w:tr w:rsidR="003C21AC" w:rsidTr="00EA1CE4" w14:paraId="17FAD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613277" w14:paraId="2A4128A2" w14:textId="6E143C3C">
            <w:pPr>
              <w:pStyle w:val="Amendement"/>
              <w:tabs>
                <w:tab w:val="clear" w:pos="3310"/>
                <w:tab w:val="clear" w:pos="3600"/>
              </w:tabs>
              <w:rPr>
                <w:rFonts w:ascii="Times New Roman" w:hAnsi="Times New Roman"/>
              </w:rPr>
            </w:pPr>
            <w:r>
              <w:rPr>
                <w:rFonts w:ascii="Times New Roman" w:hAnsi="Times New Roman"/>
              </w:rPr>
              <w:t xml:space="preserve">36 </w:t>
            </w:r>
            <w:r w:rsidR="00001CFC">
              <w:rPr>
                <w:rFonts w:ascii="Times New Roman" w:hAnsi="Times New Roman"/>
              </w:rPr>
              <w:t>264</w:t>
            </w:r>
          </w:p>
        </w:tc>
        <w:tc>
          <w:tcPr>
            <w:tcW w:w="7371" w:type="dxa"/>
            <w:gridSpan w:val="2"/>
          </w:tcPr>
          <w:p w:rsidRPr="00C035D4" w:rsidR="003C21AC" w:rsidP="002D1B2B" w:rsidRDefault="00001CFC" w14:paraId="20C09AAE" w14:textId="577D2441">
            <w:pPr>
              <w:ind w:left="-70"/>
              <w:rPr>
                <w:b/>
              </w:rPr>
            </w:pPr>
            <w:r w:rsidRPr="00001CFC">
              <w:rPr>
                <w:b/>
              </w:rPr>
              <w:t>Wijziging van de Uitvoeringswet Algemene verordening gegevensbescherming en enkele andere wetten in verband met het stroomlijnen en actualiseren van het gegevensbeschermingsrecht (Verzamelwet gegevensbescherming)</w:t>
            </w:r>
          </w:p>
        </w:tc>
      </w:tr>
      <w:tr w:rsidR="003C21AC" w:rsidTr="00EA1CE4" w14:paraId="109FE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3C21AC" w14:paraId="0D43534C" w14:textId="77777777">
            <w:pPr>
              <w:pStyle w:val="Amendement"/>
              <w:tabs>
                <w:tab w:val="clear" w:pos="3310"/>
                <w:tab w:val="clear" w:pos="3600"/>
              </w:tabs>
              <w:rPr>
                <w:rFonts w:ascii="Times New Roman" w:hAnsi="Times New Roman"/>
              </w:rPr>
            </w:pPr>
          </w:p>
        </w:tc>
        <w:tc>
          <w:tcPr>
            <w:tcW w:w="7371" w:type="dxa"/>
            <w:gridSpan w:val="2"/>
          </w:tcPr>
          <w:p w:rsidRPr="00C035D4" w:rsidR="003C21AC" w:rsidP="002D1B2B" w:rsidRDefault="003C21AC" w14:paraId="6ADF3923" w14:textId="77777777">
            <w:pPr>
              <w:pStyle w:val="Amendement"/>
              <w:tabs>
                <w:tab w:val="clear" w:pos="3310"/>
                <w:tab w:val="clear" w:pos="3600"/>
              </w:tabs>
              <w:ind w:left="-70"/>
              <w:rPr>
                <w:rFonts w:ascii="Times New Roman" w:hAnsi="Times New Roman"/>
              </w:rPr>
            </w:pPr>
          </w:p>
        </w:tc>
      </w:tr>
      <w:tr w:rsidR="003C21AC" w:rsidTr="00EA1CE4" w14:paraId="5AD95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3C21AC" w14:paraId="62353D5D" w14:textId="77777777">
            <w:pPr>
              <w:pStyle w:val="Amendement"/>
              <w:tabs>
                <w:tab w:val="clear" w:pos="3310"/>
                <w:tab w:val="clear" w:pos="3600"/>
              </w:tabs>
              <w:rPr>
                <w:rFonts w:ascii="Times New Roman" w:hAnsi="Times New Roman"/>
              </w:rPr>
            </w:pPr>
          </w:p>
        </w:tc>
        <w:tc>
          <w:tcPr>
            <w:tcW w:w="7371" w:type="dxa"/>
            <w:gridSpan w:val="2"/>
          </w:tcPr>
          <w:p w:rsidRPr="00C035D4" w:rsidR="003C21AC" w:rsidP="002D1B2B" w:rsidRDefault="003C21AC" w14:paraId="2F7FF4A6" w14:textId="77777777">
            <w:pPr>
              <w:pStyle w:val="Amendement"/>
              <w:tabs>
                <w:tab w:val="clear" w:pos="3310"/>
                <w:tab w:val="clear" w:pos="3600"/>
              </w:tabs>
              <w:ind w:left="-70"/>
              <w:rPr>
                <w:rFonts w:ascii="Times New Roman" w:hAnsi="Times New Roman"/>
              </w:rPr>
            </w:pPr>
          </w:p>
        </w:tc>
      </w:tr>
      <w:tr w:rsidR="003C21AC" w:rsidTr="00EA1CE4" w14:paraId="395E7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3C21AC" w14:paraId="5E37578C" w14:textId="7407987B">
            <w:pPr>
              <w:pStyle w:val="Amendement"/>
              <w:tabs>
                <w:tab w:val="clear" w:pos="3310"/>
                <w:tab w:val="clear" w:pos="3600"/>
              </w:tabs>
              <w:rPr>
                <w:rFonts w:ascii="Times New Roman" w:hAnsi="Times New Roman"/>
              </w:rPr>
            </w:pPr>
            <w:r w:rsidRPr="00C035D4">
              <w:rPr>
                <w:rFonts w:ascii="Times New Roman" w:hAnsi="Times New Roman"/>
              </w:rPr>
              <w:t xml:space="preserve">Nr. </w:t>
            </w:r>
            <w:r w:rsidR="00367FAD">
              <w:rPr>
                <w:rFonts w:ascii="Times New Roman" w:hAnsi="Times New Roman"/>
              </w:rPr>
              <w:t>20</w:t>
            </w:r>
          </w:p>
        </w:tc>
        <w:tc>
          <w:tcPr>
            <w:tcW w:w="7371" w:type="dxa"/>
            <w:gridSpan w:val="2"/>
          </w:tcPr>
          <w:p w:rsidRPr="00C035D4" w:rsidR="003C21AC" w:rsidP="002D1B2B" w:rsidRDefault="00566001" w14:paraId="0C266E34" w14:textId="407CBE2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7B2635">
              <w:rPr>
                <w:rFonts w:ascii="Times New Roman" w:hAnsi="Times New Roman"/>
                <w:caps/>
              </w:rPr>
              <w:t xml:space="preserve">het lid </w:t>
            </w:r>
            <w:r w:rsidRPr="002D1B2B" w:rsidR="007B2635">
              <w:rPr>
                <w:rFonts w:ascii="Times New Roman" w:hAnsi="Times New Roman"/>
                <w:caps/>
              </w:rPr>
              <w:t>Krul</w:t>
            </w:r>
            <w:r w:rsidRPr="002D1B2B" w:rsidR="002D1B2B">
              <w:rPr>
                <w:rFonts w:ascii="Times New Roman" w:hAnsi="Times New Roman"/>
                <w:caps/>
              </w:rPr>
              <w:t xml:space="preserve"> </w:t>
            </w:r>
            <w:r w:rsidRPr="002D1B2B" w:rsidR="002D1B2B">
              <w:rPr>
                <w:rFonts w:ascii="Times New Roman" w:hAnsi="Times New Roman"/>
                <w:caps/>
                <w:szCs w:val="24"/>
              </w:rPr>
              <w:t>TER VERVANGING VAN DAT GEDRUKT ONDER NR.</w:t>
            </w:r>
            <w:r w:rsidRPr="002D1B2B" w:rsidR="002D1B2B">
              <w:rPr>
                <w:rFonts w:ascii="Times New Roman" w:hAnsi="Times New Roman"/>
                <w:caps/>
              </w:rPr>
              <w:t xml:space="preserve"> </w:t>
            </w:r>
            <w:r w:rsidR="002D1B2B">
              <w:rPr>
                <w:rFonts w:ascii="Times New Roman" w:hAnsi="Times New Roman"/>
                <w:caps/>
              </w:rPr>
              <w:t>10</w:t>
            </w:r>
          </w:p>
        </w:tc>
      </w:tr>
      <w:tr w:rsidR="003C21AC" w:rsidTr="00EA1CE4" w14:paraId="15F5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2D1B2B" w:rsidRDefault="003C21AC" w14:paraId="7886219A" w14:textId="77777777">
            <w:pPr>
              <w:pStyle w:val="Amendement"/>
              <w:tabs>
                <w:tab w:val="clear" w:pos="3310"/>
                <w:tab w:val="clear" w:pos="3600"/>
              </w:tabs>
              <w:rPr>
                <w:rFonts w:ascii="Times New Roman" w:hAnsi="Times New Roman"/>
              </w:rPr>
            </w:pPr>
          </w:p>
        </w:tc>
        <w:tc>
          <w:tcPr>
            <w:tcW w:w="7371" w:type="dxa"/>
            <w:gridSpan w:val="2"/>
          </w:tcPr>
          <w:p w:rsidR="003C21AC" w:rsidP="002D1B2B" w:rsidRDefault="003C21AC" w14:paraId="4CC3FE0A" w14:textId="02B736C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D1B2B">
              <w:rPr>
                <w:rFonts w:ascii="Times New Roman" w:hAnsi="Times New Roman"/>
                <w:b w:val="0"/>
              </w:rPr>
              <w:t xml:space="preserve">19 mei </w:t>
            </w:r>
            <w:r w:rsidR="00E37D21">
              <w:rPr>
                <w:rFonts w:ascii="Times New Roman" w:hAnsi="Times New Roman"/>
                <w:b w:val="0"/>
              </w:rPr>
              <w:t>2025</w:t>
            </w:r>
          </w:p>
        </w:tc>
      </w:tr>
      <w:tr w:rsidR="00B01BA6" w:rsidTr="00EA1CE4" w14:paraId="5CD61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2D1B2B" w:rsidRDefault="00B01BA6" w14:paraId="0DA59798" w14:textId="77777777">
            <w:pPr>
              <w:pStyle w:val="Amendement"/>
              <w:tabs>
                <w:tab w:val="clear" w:pos="3310"/>
                <w:tab w:val="clear" w:pos="3600"/>
              </w:tabs>
              <w:rPr>
                <w:rFonts w:ascii="Times New Roman" w:hAnsi="Times New Roman"/>
              </w:rPr>
            </w:pPr>
          </w:p>
        </w:tc>
        <w:tc>
          <w:tcPr>
            <w:tcW w:w="7371" w:type="dxa"/>
            <w:gridSpan w:val="2"/>
          </w:tcPr>
          <w:p w:rsidR="00B01BA6" w:rsidP="002D1B2B" w:rsidRDefault="00B01BA6" w14:paraId="24B55DA4" w14:textId="77777777">
            <w:pPr>
              <w:pStyle w:val="Amendement"/>
              <w:tabs>
                <w:tab w:val="clear" w:pos="3310"/>
                <w:tab w:val="clear" w:pos="3600"/>
              </w:tabs>
              <w:ind w:left="-70"/>
              <w:rPr>
                <w:rFonts w:ascii="Times New Roman" w:hAnsi="Times New Roman"/>
                <w:b w:val="0"/>
              </w:rPr>
            </w:pPr>
          </w:p>
        </w:tc>
      </w:tr>
      <w:tr w:rsidRPr="00EA69AC" w:rsidR="00B01BA6" w:rsidTr="00EA1CE4" w14:paraId="0FFA2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2D1B2B" w:rsidRDefault="00B01BA6" w14:paraId="1B6F180B" w14:textId="77777777">
            <w:pPr>
              <w:ind w:firstLine="284"/>
            </w:pPr>
            <w:r w:rsidRPr="00EA69AC">
              <w:t>De ondergetekende stelt het volgende amendement voor:</w:t>
            </w:r>
          </w:p>
        </w:tc>
      </w:tr>
    </w:tbl>
    <w:p w:rsidR="005B1DCC" w:rsidP="002D1B2B" w:rsidRDefault="005B1DCC" w14:paraId="6B3A9700" w14:textId="77777777"/>
    <w:p w:rsidR="008133CB" w:rsidP="002D1B2B" w:rsidRDefault="008133CB" w14:paraId="1183A9B9" w14:textId="646C4E02">
      <w:pPr>
        <w:ind w:firstLine="284"/>
      </w:pPr>
      <w:r>
        <w:t xml:space="preserve">Na artikel I, onderdeel </w:t>
      </w:r>
      <w:r w:rsidR="00DC6E43">
        <w:t xml:space="preserve">F, </w:t>
      </w:r>
      <w:r>
        <w:t>wordt een onderdeel ingevoegd, luidende:</w:t>
      </w:r>
    </w:p>
    <w:p w:rsidR="008133CB" w:rsidP="002D1B2B" w:rsidRDefault="008133CB" w14:paraId="2D54AF41" w14:textId="75636651"/>
    <w:p w:rsidR="00DC6E43" w:rsidP="002D1B2B" w:rsidRDefault="00DC6E43" w14:paraId="653D808D" w14:textId="75DCDA06">
      <w:r>
        <w:t>Fa</w:t>
      </w:r>
    </w:p>
    <w:p w:rsidR="00DC6E43" w:rsidP="002D1B2B" w:rsidRDefault="00DC6E43" w14:paraId="67BA97BD" w14:textId="77777777"/>
    <w:p w:rsidR="0093147B" w:rsidP="002D1B2B" w:rsidRDefault="0093147B" w14:paraId="15911F99" w14:textId="17E6EF88">
      <w:pPr>
        <w:ind w:firstLine="284"/>
      </w:pPr>
      <w:r>
        <w:t>Aan artikel 14 wordt een lid toegevoegd, luidende:</w:t>
      </w:r>
    </w:p>
    <w:p w:rsidR="00566001" w:rsidP="002D1B2B" w:rsidRDefault="00566001" w14:paraId="4DB871AC" w14:textId="4C29E074">
      <w:pPr>
        <w:ind w:firstLine="284"/>
      </w:pPr>
      <w:r w:rsidRPr="00566001">
        <w:t xml:space="preserve">7. Voordat de Autoriteit </w:t>
      </w:r>
      <w:r>
        <w:t>P</w:t>
      </w:r>
      <w:r w:rsidRPr="00566001">
        <w:t xml:space="preserve">ersoonsgegevens beleidsregels vaststelt ter bevordering van een consequente toepassing van de verordening of over de uitoefening van haar handhavingsbevoegdheden, dan raadpleegt zij, voor zover passend, belanghebbende partijen. In de onderbouwing van de beleidsregels gaat de Autoriteit </w:t>
      </w:r>
      <w:r>
        <w:t>P</w:t>
      </w:r>
      <w:r w:rsidRPr="00566001">
        <w:t>ersoonsgegevens in op hetgeen in de consultatie naar voren is gebracht.</w:t>
      </w:r>
    </w:p>
    <w:p w:rsidRPr="002D1B2B" w:rsidR="002D1B2B" w:rsidP="002D1B2B" w:rsidRDefault="002D1B2B" w14:paraId="433D6CAB" w14:textId="77777777">
      <w:pPr>
        <w:ind w:firstLine="284"/>
      </w:pPr>
      <w:r w:rsidRPr="002D1B2B">
        <w:t>8. Bij ministeriële regeling kunnen nadere regels worden gesteld over de gevallen waarin het zevende lid toepassing vindt.</w:t>
      </w:r>
    </w:p>
    <w:p w:rsidR="002D1B2B" w:rsidP="002D1B2B" w:rsidRDefault="002D1B2B" w14:paraId="631BD239" w14:textId="77777777">
      <w:pPr>
        <w:ind w:firstLine="284"/>
      </w:pPr>
    </w:p>
    <w:p w:rsidRPr="004A20CC" w:rsidR="007B2635" w:rsidP="002D1B2B" w:rsidRDefault="003C21AC" w14:paraId="3A4D4FB5" w14:textId="2EC09FB1">
      <w:pPr>
        <w:rPr>
          <w:b/>
        </w:rPr>
      </w:pPr>
      <w:r w:rsidRPr="00EA69AC">
        <w:rPr>
          <w:b/>
        </w:rPr>
        <w:t>Toelichting</w:t>
      </w:r>
    </w:p>
    <w:p w:rsidR="00F93790" w:rsidP="002D1B2B" w:rsidRDefault="00F93790" w14:paraId="1BCA4B74" w14:textId="77777777"/>
    <w:p w:rsidR="008D2EC9" w:rsidP="002D1B2B" w:rsidRDefault="007B2635" w14:paraId="75C9F090" w14:textId="6F8DF5E9">
      <w:r w:rsidRPr="002B7205">
        <w:t>Omdat de A</w:t>
      </w:r>
      <w:r w:rsidR="002B7205">
        <w:t xml:space="preserve">utoriteit </w:t>
      </w:r>
      <w:r w:rsidRPr="002B7205">
        <w:t>P</w:t>
      </w:r>
      <w:r w:rsidR="002B7205">
        <w:t>ersoonsgegevens (AP)</w:t>
      </w:r>
      <w:r w:rsidRPr="002B7205">
        <w:t xml:space="preserve"> geen aparte instellingswet kent, zijn de</w:t>
      </w:r>
      <w:r w:rsidR="002B7205">
        <w:t xml:space="preserve"> taken en</w:t>
      </w:r>
      <w:r w:rsidRPr="002B7205">
        <w:t xml:space="preserve"> bevoegdheden van de AP vastgelegd in de U</w:t>
      </w:r>
      <w:r w:rsidR="002B7205">
        <w:t xml:space="preserve">itvoeringswet </w:t>
      </w:r>
      <w:r w:rsidRPr="002B7205">
        <w:t>AVG</w:t>
      </w:r>
      <w:r w:rsidR="002B7205">
        <w:t xml:space="preserve"> (UAVG)</w:t>
      </w:r>
      <w:r w:rsidR="00F773C1">
        <w:t xml:space="preserve">, die is gebaseerd op de Europese </w:t>
      </w:r>
      <w:r w:rsidR="0067776E">
        <w:t>Algemene verordening gegevensbescherming</w:t>
      </w:r>
      <w:r w:rsidR="00E458DD">
        <w:t xml:space="preserve"> (AVG)</w:t>
      </w:r>
      <w:r w:rsidR="0067776E">
        <w:t xml:space="preserve">. In deze verordening is bijvoorbeeld vastgelegd dat de AP </w:t>
      </w:r>
      <w:r w:rsidR="00BA4597">
        <w:t xml:space="preserve">verplicht is om een jaarverslag uit te brengen. Indiener stelt voor om in de UAVG vast te </w:t>
      </w:r>
      <w:r w:rsidR="00A56CC2">
        <w:t xml:space="preserve">leggen dat de AP </w:t>
      </w:r>
      <w:r w:rsidR="001004AD">
        <w:t xml:space="preserve">ook verplicht is </w:t>
      </w:r>
      <w:r w:rsidRPr="00566001" w:rsidR="00566001">
        <w:t xml:space="preserve">om belanghebbenden te consulteren voordat zij normuitleg over de AVG of handhavingsbeleid vaststelt. Deze verplichting geldt uitsluitend voor zover dat passend is. Hiermee is beoogd om zoveel mogelijk aan te sluiten bij de bestaande consultatieplicht voor het Europees Comité voor gegevensbescherming – ook wel de EDPB -, waarin de Europese gegevensbeschermingstoezichthouders samenwerken (artikel 70 lid 4 AVG). Op grond daarvan </w:t>
      </w:r>
      <w:r w:rsidR="00566001">
        <w:t xml:space="preserve">moet </w:t>
      </w:r>
      <w:r w:rsidRPr="00566001" w:rsidR="00566001">
        <w:t>de EDPB</w:t>
      </w:r>
      <w:r w:rsidR="008D2EC9">
        <w:t xml:space="preserve">, waar passend, </w:t>
      </w:r>
      <w:r w:rsidRPr="00566001" w:rsidR="00566001">
        <w:t xml:space="preserve">openbare consultaties </w:t>
      </w:r>
      <w:r w:rsidR="00566001">
        <w:t xml:space="preserve">houden </w:t>
      </w:r>
      <w:r w:rsidRPr="00566001" w:rsidR="00566001">
        <w:t>alvorens bijvoorbeeld richtsnoeren, aanbevelingen en beste praktijken uit te vaardigen.</w:t>
      </w:r>
      <w:r w:rsidR="008D2EC9">
        <w:t xml:space="preserve"> </w:t>
      </w:r>
    </w:p>
    <w:p w:rsidR="008D2EC9" w:rsidP="002D1B2B" w:rsidRDefault="008D2EC9" w14:paraId="0519C795" w14:textId="77777777"/>
    <w:p w:rsidR="002B7205" w:rsidP="002D1B2B" w:rsidRDefault="004B26A5" w14:paraId="6E96ACC7" w14:textId="7549158D">
      <w:r>
        <w:t xml:space="preserve">Het is belangrijk dat onafhankelijk toezicht samengaat met publieke verantwoording. </w:t>
      </w:r>
      <w:r w:rsidR="00BB47E0">
        <w:t xml:space="preserve">Dit </w:t>
      </w:r>
      <w:r w:rsidR="006A5D97">
        <w:t xml:space="preserve">is in het geval van de AP van extra belang, omdat zij toeziet op de naleving van algemeen geformuleerde regels </w:t>
      </w:r>
      <w:r w:rsidR="004A7068">
        <w:t xml:space="preserve">die </w:t>
      </w:r>
      <w:r w:rsidR="00EC1963">
        <w:t xml:space="preserve">gelden voor de hele samenleving. Van de publieke sector tot private bedrijven, burgers en het maatschappelijk middenveld. De AP </w:t>
      </w:r>
      <w:r w:rsidR="003576BF">
        <w:t>heeft veel taken</w:t>
      </w:r>
      <w:r w:rsidRPr="003576BF" w:rsidR="003576BF">
        <w:t xml:space="preserve">: uitvoering, toezicht, sanctionering, geschilbeslechting en pseudo-regelgeving </w:t>
      </w:r>
      <w:r w:rsidR="003576BF">
        <w:t>O</w:t>
      </w:r>
      <w:r w:rsidRPr="003576BF" w:rsidR="003576BF">
        <w:t xml:space="preserve">ok </w:t>
      </w:r>
      <w:r w:rsidR="003576BF">
        <w:t>heeft de AP ten aanzien van de</w:t>
      </w:r>
      <w:r w:rsidRPr="003576BF" w:rsidR="003576BF">
        <w:t xml:space="preserve"> invulling van wettelijke open normen zeer ruime bevoegdheden</w:t>
      </w:r>
      <w:r w:rsidR="003576BF">
        <w:t>.</w:t>
      </w:r>
      <w:r w:rsidR="00C80EC1">
        <w:t xml:space="preserve"> Het afleggen van verantwoording over de uitvoering van deze taken en bevoegdheden is daarmee van groot maatschappelijk belang. Burgers, bedrijven en het maatschappelijk middenveld </w:t>
      </w:r>
      <w:r w:rsidR="00345447">
        <w:t>moeten kunnen zien wie van de overheid waarop aanspreekbaar is. Dat geldt ook voor toezichthouder</w:t>
      </w:r>
      <w:r w:rsidR="00F85740">
        <w:t>s</w:t>
      </w:r>
      <w:r w:rsidR="00345447">
        <w:t xml:space="preserve">. </w:t>
      </w:r>
      <w:r w:rsidR="00BB3B2B">
        <w:t xml:space="preserve">Vanwege het belang van deze verantwoording regelt het amendement niet alleen een consultatieplicht, maar ook een </w:t>
      </w:r>
      <w:r w:rsidR="00BB3B2B">
        <w:lastRenderedPageBreak/>
        <w:t>plicht om in de onderbouwing van de beleidsregels in te gaan op hetgeen in de consultatie naar voren is gebracht. Hiermee wordt aangesloten bij een soortgelijke plicht bij de totstandkoming van wetgeving.</w:t>
      </w:r>
      <w:r w:rsidR="00BB3B2B">
        <w:rPr>
          <w:rStyle w:val="Voetnootmarkering"/>
        </w:rPr>
        <w:footnoteReference w:id="1"/>
      </w:r>
    </w:p>
    <w:p w:rsidR="00345447" w:rsidP="002D1B2B" w:rsidRDefault="00345447" w14:paraId="2B6B8272" w14:textId="77777777"/>
    <w:p w:rsidR="008465EA" w:rsidP="002D1B2B" w:rsidRDefault="00345447" w14:paraId="25BA3A31" w14:textId="095C5C5E">
      <w:r>
        <w:t xml:space="preserve">Een recente evaluatie </w:t>
      </w:r>
      <w:r w:rsidR="008D1733">
        <w:t xml:space="preserve">uitgevoerd in opdracht van de AP laat zien </w:t>
      </w:r>
      <w:r w:rsidR="00F85740">
        <w:t xml:space="preserve">dat er ruimte voor verbetering is. </w:t>
      </w:r>
      <w:r w:rsidR="006B15ED">
        <w:t xml:space="preserve">De AP wordt hierin geadviseerd zich ‘opener’ op te stellen </w:t>
      </w:r>
      <w:r w:rsidR="007177AA">
        <w:t xml:space="preserve">naar de samenleving </w:t>
      </w:r>
      <w:r w:rsidR="006B15ED">
        <w:t>en meer prioriteit</w:t>
      </w:r>
      <w:r w:rsidR="00257F82">
        <w:t xml:space="preserve"> te geven</w:t>
      </w:r>
      <w:r w:rsidR="006B15ED">
        <w:t xml:space="preserve"> </w:t>
      </w:r>
      <w:r w:rsidRPr="00257F82" w:rsidR="00257F82">
        <w:t xml:space="preserve">aan de vaststelling van een duidelijker handhavings- en </w:t>
      </w:r>
      <w:proofErr w:type="spellStart"/>
      <w:r w:rsidRPr="00257F82" w:rsidR="00257F82">
        <w:t>normoverdragingsbeleid</w:t>
      </w:r>
      <w:proofErr w:type="spellEnd"/>
      <w:r w:rsidR="00257F82">
        <w:t xml:space="preserve">. </w:t>
      </w:r>
      <w:r w:rsidR="001319B3">
        <w:t xml:space="preserve">De AP erkent in een reactie dat dit een </w:t>
      </w:r>
      <w:r w:rsidRPr="001319B3" w:rsidR="001319B3">
        <w:t xml:space="preserve">cruciaal onderdeel </w:t>
      </w:r>
      <w:r w:rsidR="001319B3">
        <w:t xml:space="preserve">is </w:t>
      </w:r>
      <w:r w:rsidRPr="001319B3" w:rsidR="001319B3">
        <w:t>om burgers te beschermen, én om organisaties duidelijkheid te verschaffen.</w:t>
      </w:r>
      <w:r w:rsidR="007177AA">
        <w:t xml:space="preserve"> </w:t>
      </w:r>
      <w:r w:rsidR="00E73395">
        <w:t xml:space="preserve">De wetgever kan hieraan bijdragen door de juiste wettelijke voorwaarden te scheppen. </w:t>
      </w:r>
      <w:r w:rsidR="00FA1CCA">
        <w:t xml:space="preserve">Daarom stelt indiener voor </w:t>
      </w:r>
      <w:r w:rsidR="00A37EBE">
        <w:t>om wettelijk vast te leggen dat de AP</w:t>
      </w:r>
      <w:r w:rsidR="0048621F">
        <w:t xml:space="preserve"> </w:t>
      </w:r>
      <w:r w:rsidRPr="0048621F" w:rsidR="0048621F">
        <w:t>verplicht is om belanghebbenden te consulteren voordat zij normuitleg over de AVG of handhavingsbeleid vaststelt</w:t>
      </w:r>
      <w:r w:rsidR="003E1FB6">
        <w:t xml:space="preserve">. </w:t>
      </w:r>
      <w:r w:rsidR="0052559A">
        <w:t xml:space="preserve">Zo wordt niet alleen de taakuitoefening van de AP beter, </w:t>
      </w:r>
      <w:r w:rsidR="00EF3C59">
        <w:t>maar wordt ook steviger draagvlak vanuit de samenleving gecreëerd.</w:t>
      </w:r>
      <w:r w:rsidR="0048621F">
        <w:t xml:space="preserve"> Het houden van consultaties alvorens </w:t>
      </w:r>
      <w:r w:rsidRPr="0048621F" w:rsidR="0048621F">
        <w:t xml:space="preserve">beleidsregels </w:t>
      </w:r>
      <w:r w:rsidR="0048621F">
        <w:t>vast te stellen, kan daarmee bijdragen aan de verwezenlijking van het zorgvuldigheidsbeginsel (</w:t>
      </w:r>
      <w:r w:rsidRPr="0048621F" w:rsidR="0048621F">
        <w:t xml:space="preserve">artikel 3:2 van de </w:t>
      </w:r>
      <w:r w:rsidR="0048621F">
        <w:t xml:space="preserve">Algemene wet bestuursrecht). Dat houdt in dat bestuursorganen </w:t>
      </w:r>
      <w:r w:rsidRPr="0048621F" w:rsidR="0048621F">
        <w:t xml:space="preserve">de nodige kennis </w:t>
      </w:r>
      <w:r w:rsidR="0048621F">
        <w:t xml:space="preserve">moeten </w:t>
      </w:r>
      <w:r w:rsidRPr="0048621F" w:rsidR="0048621F">
        <w:t>vergaren over de relevante feiten en de af te wegen belangen</w:t>
      </w:r>
      <w:r w:rsidR="0048621F">
        <w:t xml:space="preserve"> en zorgdragen voor </w:t>
      </w:r>
      <w:r w:rsidRPr="0048621F" w:rsidR="0048621F">
        <w:t xml:space="preserve">een evenwichtige inbreng van de noodzakelijke deskundigheid bij de besluitvorming. </w:t>
      </w:r>
      <w:r w:rsidR="0048621F">
        <w:t xml:space="preserve">Door consultaties te houden over beleidsregels, kan daarmee de zorgvuldigheid - en daarmee de juridische houdbaarheid - worden vergroot. </w:t>
      </w:r>
      <w:r w:rsidR="00A66015">
        <w:t xml:space="preserve">De voorgestelde consultatieplicht </w:t>
      </w:r>
      <w:r w:rsidRPr="0048621F" w:rsidR="0048621F">
        <w:t>laat de onafhankelijke oordeelsvorming van de AP onverlet</w:t>
      </w:r>
      <w:r w:rsidR="00BB3B2B">
        <w:t>:</w:t>
      </w:r>
      <w:r w:rsidR="00A66015">
        <w:t xml:space="preserve"> het </w:t>
      </w:r>
      <w:r w:rsidR="00BB3B2B">
        <w:t xml:space="preserve">staat </w:t>
      </w:r>
      <w:r w:rsidR="00A66015">
        <w:t xml:space="preserve">aan de AP </w:t>
      </w:r>
      <w:r w:rsidR="00BB3B2B">
        <w:t xml:space="preserve">te beoordeling in hoeverre zij </w:t>
      </w:r>
      <w:r w:rsidR="00A66015">
        <w:t xml:space="preserve">consultatiereacties al dan niet </w:t>
      </w:r>
      <w:r w:rsidR="00BB3B2B">
        <w:t>verwerkt</w:t>
      </w:r>
      <w:r w:rsidRPr="0048621F" w:rsidR="0048621F">
        <w:t xml:space="preserve">. </w:t>
      </w:r>
    </w:p>
    <w:p w:rsidR="00F93790" w:rsidP="002D1B2B" w:rsidRDefault="00F93790" w14:paraId="3A61B587" w14:textId="77777777"/>
    <w:p w:rsidR="00A66015" w:rsidP="002D1B2B" w:rsidRDefault="00A66015" w14:paraId="2F9B0506" w14:textId="2B038753">
      <w:r>
        <w:t>Om de consultatieplicht zo helder mogelijk af te bakenen, heeft deze uitsluitend betrekking op normuitleg inzake de AVG en op het handhavingsbeleid van de AP. Hiermee wordt het volgende bedoeld:</w:t>
      </w:r>
    </w:p>
    <w:p w:rsidR="00A66015" w:rsidP="002D1B2B" w:rsidRDefault="00A66015" w14:paraId="358507A9" w14:textId="77777777"/>
    <w:p w:rsidRPr="00BB3B2B" w:rsidR="00A66015" w:rsidP="002D1B2B" w:rsidRDefault="00A66015" w14:paraId="461B339E" w14:textId="0930407D">
      <w:pPr>
        <w:pStyle w:val="Lijstalinea"/>
        <w:numPr>
          <w:ilvl w:val="0"/>
          <w:numId w:val="9"/>
        </w:numPr>
        <w:spacing w:line="240" w:lineRule="auto"/>
        <w:rPr>
          <w:rFonts w:ascii="Times New Roman" w:hAnsi="Times New Roman" w:cs="Times New Roman"/>
        </w:rPr>
      </w:pPr>
      <w:r w:rsidRPr="00BB3B2B">
        <w:rPr>
          <w:rFonts w:ascii="Times New Roman" w:hAnsi="Times New Roman" w:cs="Times New Roman"/>
        </w:rPr>
        <w:t xml:space="preserve">Normuitleg inzake de AVG is in het amendement omschreven als “beleidsregels … ter bevordering van een consequente toepassing van de verordening”. Hierover moet, waar passend, een consultatie plaatsvinden. Dit is met name passend indien het gaat om belangrijke normuitleg, bijvoorbeeld omdat die een substantiële impact heeft of in belangrijke mate afwijkt van wat tot dusver werd aangenomen in de doctrine en rechtspraak. Te denken valt aan de normuitleg van de term het ‘gerechtvaardigd belang’ in de zin van artikel 6 AVG, de Handreiking van de AP inzake </w:t>
      </w:r>
      <w:proofErr w:type="spellStart"/>
      <w:r w:rsidRPr="00BB3B2B">
        <w:rPr>
          <w:rFonts w:ascii="Times New Roman" w:hAnsi="Times New Roman" w:cs="Times New Roman"/>
        </w:rPr>
        <w:t>scraping</w:t>
      </w:r>
      <w:proofErr w:type="spellEnd"/>
      <w:r w:rsidRPr="00BB3B2B">
        <w:rPr>
          <w:rStyle w:val="Voetnootmarkering"/>
          <w:rFonts w:ascii="Times New Roman" w:hAnsi="Times New Roman" w:cs="Times New Roman"/>
        </w:rPr>
        <w:footnoteReference w:id="2"/>
      </w:r>
      <w:r w:rsidRPr="00BB3B2B">
        <w:rPr>
          <w:rFonts w:ascii="Times New Roman" w:hAnsi="Times New Roman" w:cs="Times New Roman"/>
        </w:rPr>
        <w:t xml:space="preserve"> en de uitleg van de AP over de identificatieplicht op grond van de Wet ter voorkoming van witwassen en financieren van terrorisme.</w:t>
      </w:r>
      <w:r w:rsidRPr="00BB3B2B">
        <w:rPr>
          <w:rStyle w:val="Voetnootmarkering"/>
          <w:rFonts w:ascii="Times New Roman" w:hAnsi="Times New Roman" w:cs="Times New Roman"/>
        </w:rPr>
        <w:footnoteReference w:id="3"/>
      </w:r>
      <w:r w:rsidRPr="00BB3B2B">
        <w:rPr>
          <w:rFonts w:ascii="Times New Roman" w:hAnsi="Times New Roman" w:cs="Times New Roman"/>
        </w:rPr>
        <w:t xml:space="preserve"> </w:t>
      </w:r>
      <w:r w:rsidR="00097E20">
        <w:rPr>
          <w:rFonts w:ascii="Times New Roman" w:hAnsi="Times New Roman" w:cs="Times New Roman"/>
        </w:rPr>
        <w:t xml:space="preserve">De situatie waarin de AP een verwerkingsverantwoordelijke - op diens eigen verzoek - voorlichting en uitleg over een specifieke norm geeft, kwalificeert in de regels niet als passend voor het activeren van de consultatieplicht. In dergelijke gevallen is de verzoeker gebaat bij snelle duidelijkheid van de toezichthouder; een publieke consultatie </w:t>
      </w:r>
      <w:proofErr w:type="spellStart"/>
      <w:r w:rsidR="00097E20">
        <w:rPr>
          <w:rFonts w:ascii="Times New Roman" w:hAnsi="Times New Roman" w:cs="Times New Roman"/>
        </w:rPr>
        <w:t>terzake</w:t>
      </w:r>
      <w:proofErr w:type="spellEnd"/>
      <w:r w:rsidR="00097E20">
        <w:rPr>
          <w:rFonts w:ascii="Times New Roman" w:hAnsi="Times New Roman" w:cs="Times New Roman"/>
        </w:rPr>
        <w:t xml:space="preserve"> past hier niet bij. </w:t>
      </w:r>
      <w:r w:rsidRPr="00BB3B2B">
        <w:rPr>
          <w:rFonts w:ascii="Times New Roman" w:hAnsi="Times New Roman" w:cs="Times New Roman"/>
        </w:rPr>
        <w:t xml:space="preserve">De AP kan </w:t>
      </w:r>
      <w:r w:rsidR="009F00F9">
        <w:rPr>
          <w:rFonts w:ascii="Times New Roman" w:hAnsi="Times New Roman" w:cs="Times New Roman"/>
        </w:rPr>
        <w:t xml:space="preserve">overigens </w:t>
      </w:r>
      <w:r w:rsidRPr="00BB3B2B">
        <w:rPr>
          <w:rFonts w:ascii="Times New Roman" w:hAnsi="Times New Roman" w:cs="Times New Roman"/>
        </w:rPr>
        <w:t>alleen normuitleg vaststellen voor zover de bestaande normuitleg van de EDPB daarvoor ruimte laat.</w:t>
      </w:r>
    </w:p>
    <w:p w:rsidRPr="00BB3B2B" w:rsidR="00A66015" w:rsidP="002D1B2B" w:rsidRDefault="00A66015" w14:paraId="060F126E" w14:textId="0FDDCCBA">
      <w:pPr>
        <w:pStyle w:val="Lijstalinea"/>
        <w:numPr>
          <w:ilvl w:val="0"/>
          <w:numId w:val="9"/>
        </w:numPr>
        <w:spacing w:line="240" w:lineRule="auto"/>
        <w:rPr>
          <w:rFonts w:ascii="Times New Roman" w:hAnsi="Times New Roman" w:cs="Times New Roman"/>
        </w:rPr>
      </w:pPr>
      <w:r w:rsidRPr="00BB3B2B">
        <w:rPr>
          <w:rFonts w:ascii="Times New Roman" w:hAnsi="Times New Roman" w:cs="Times New Roman"/>
        </w:rPr>
        <w:t xml:space="preserve">Handhavingsbeleid is in het amendement omschreven als “beleidsregels … over de uitoefening van haar handhavingsbevoegdheden”. </w:t>
      </w:r>
      <w:r w:rsidRPr="00BB3B2B" w:rsidR="00BB3B2B">
        <w:rPr>
          <w:rFonts w:ascii="Times New Roman" w:hAnsi="Times New Roman" w:cs="Times New Roman"/>
        </w:rPr>
        <w:t xml:space="preserve">Hiervan is bijvoorbeeld sprake indien de AP in </w:t>
      </w:r>
      <w:r w:rsidRPr="00BB3B2B">
        <w:rPr>
          <w:rFonts w:ascii="Times New Roman" w:hAnsi="Times New Roman" w:cs="Times New Roman"/>
        </w:rPr>
        <w:t xml:space="preserve">beleidsregels </w:t>
      </w:r>
      <w:r w:rsidRPr="00BB3B2B" w:rsidR="00BB3B2B">
        <w:rPr>
          <w:rFonts w:ascii="Times New Roman" w:hAnsi="Times New Roman" w:cs="Times New Roman"/>
        </w:rPr>
        <w:t xml:space="preserve">zou verduidelijken </w:t>
      </w:r>
      <w:r w:rsidRPr="00BB3B2B">
        <w:rPr>
          <w:rFonts w:ascii="Times New Roman" w:hAnsi="Times New Roman" w:cs="Times New Roman"/>
        </w:rPr>
        <w:t>hoe haar handhavingsinstrumenten zich tot elkaar verhouden en uit welke stappen een handhavingstraject bestaat. In de literatuur is opgemerkt dat belanghebbenden zich nu onzeker kunnen voelen over de gang van zaken met betrekking tot een handhavingsonderzoek en dat een stappenplan met duidelijke termijnen soelaas kan bieden. Het is passend om het ontwerp van dit handhavingsbeleid het onderwerp te laten zijn van publieke consultatie.</w:t>
      </w:r>
      <w:r w:rsidRPr="00BB3B2B" w:rsidR="00BB3B2B">
        <w:rPr>
          <w:rStyle w:val="Voetnootmarkering"/>
          <w:rFonts w:ascii="Times New Roman" w:hAnsi="Times New Roman" w:cs="Times New Roman"/>
        </w:rPr>
        <w:footnoteReference w:id="4"/>
      </w:r>
      <w:r w:rsidR="00E458DD">
        <w:rPr>
          <w:rFonts w:ascii="Times New Roman" w:hAnsi="Times New Roman" w:cs="Times New Roman"/>
        </w:rPr>
        <w:t xml:space="preserve"> </w:t>
      </w:r>
      <w:r w:rsidR="00120E00">
        <w:rPr>
          <w:rFonts w:ascii="Times New Roman" w:hAnsi="Times New Roman" w:cs="Times New Roman"/>
        </w:rPr>
        <w:t>Een c</w:t>
      </w:r>
      <w:r w:rsidR="00E458DD">
        <w:rPr>
          <w:rFonts w:ascii="Times New Roman" w:hAnsi="Times New Roman" w:cs="Times New Roman"/>
        </w:rPr>
        <w:t xml:space="preserve">onsultatie zou daarentegen niet passend zijn voor zover dit kan leiden tot calculerend gedrag of consultatie niet in betekenende mate kan leiden tot aanpassing van het voorstel, zoals </w:t>
      </w:r>
      <w:r w:rsidR="00120E00">
        <w:rPr>
          <w:rFonts w:ascii="Times New Roman" w:hAnsi="Times New Roman" w:cs="Times New Roman"/>
        </w:rPr>
        <w:t xml:space="preserve">het geval kan zijn </w:t>
      </w:r>
      <w:r w:rsidR="00E458DD">
        <w:rPr>
          <w:rFonts w:ascii="Times New Roman" w:hAnsi="Times New Roman" w:cs="Times New Roman"/>
        </w:rPr>
        <w:t xml:space="preserve">bij </w:t>
      </w:r>
      <w:r w:rsidR="00120E00">
        <w:rPr>
          <w:rFonts w:ascii="Times New Roman" w:hAnsi="Times New Roman" w:cs="Times New Roman"/>
        </w:rPr>
        <w:t xml:space="preserve">beleid over </w:t>
      </w:r>
      <w:r w:rsidR="00E458DD">
        <w:rPr>
          <w:rFonts w:ascii="Times New Roman" w:hAnsi="Times New Roman" w:cs="Times New Roman"/>
        </w:rPr>
        <w:t>de prioritering van de handhaving.</w:t>
      </w:r>
      <w:r w:rsidR="00E458DD">
        <w:rPr>
          <w:rStyle w:val="Voetnootmarkering"/>
          <w:rFonts w:ascii="Times New Roman" w:hAnsi="Times New Roman" w:cs="Times New Roman"/>
        </w:rPr>
        <w:footnoteReference w:id="5"/>
      </w:r>
    </w:p>
    <w:p w:rsidRPr="00E37D21" w:rsidR="00F93790" w:rsidP="002D1B2B" w:rsidRDefault="00F93790" w14:paraId="5FC8BBB5" w14:textId="10EF3305">
      <w:r>
        <w:t>Krul</w:t>
      </w:r>
    </w:p>
    <w:sectPr w:rsidRPr="00E37D21" w:rsidR="00F93790"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CE0C" w14:textId="77777777" w:rsidR="00687679" w:rsidRDefault="00687679">
      <w:pPr>
        <w:spacing w:line="20" w:lineRule="exact"/>
      </w:pPr>
    </w:p>
  </w:endnote>
  <w:endnote w:type="continuationSeparator" w:id="0">
    <w:p w14:paraId="56B36000" w14:textId="77777777" w:rsidR="00687679" w:rsidRDefault="00687679">
      <w:pPr>
        <w:pStyle w:val="Amendement"/>
      </w:pPr>
      <w:r>
        <w:rPr>
          <w:b w:val="0"/>
        </w:rPr>
        <w:t xml:space="preserve"> </w:t>
      </w:r>
    </w:p>
  </w:endnote>
  <w:endnote w:type="continuationNotice" w:id="1">
    <w:p w14:paraId="78B5B3E9" w14:textId="77777777" w:rsidR="00687679" w:rsidRDefault="006876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B72F" w14:textId="77777777" w:rsidR="00687679" w:rsidRDefault="00687679">
      <w:pPr>
        <w:pStyle w:val="Amendement"/>
      </w:pPr>
      <w:r>
        <w:rPr>
          <w:b w:val="0"/>
        </w:rPr>
        <w:separator/>
      </w:r>
    </w:p>
  </w:footnote>
  <w:footnote w:type="continuationSeparator" w:id="0">
    <w:p w14:paraId="70F0784D" w14:textId="77777777" w:rsidR="00687679" w:rsidRDefault="00687679">
      <w:r>
        <w:continuationSeparator/>
      </w:r>
    </w:p>
  </w:footnote>
  <w:footnote w:id="1">
    <w:p w14:paraId="0B61C2B0" w14:textId="63A9350A" w:rsidR="00BB3B2B" w:rsidRPr="00BB3B2B" w:rsidRDefault="00BB3B2B">
      <w:pPr>
        <w:pStyle w:val="Voetnoottekst"/>
        <w:rPr>
          <w:sz w:val="20"/>
        </w:rPr>
      </w:pPr>
      <w:r w:rsidRPr="00BB3B2B">
        <w:rPr>
          <w:rStyle w:val="Voetnootmarkering"/>
          <w:sz w:val="20"/>
        </w:rPr>
        <w:footnoteRef/>
      </w:r>
      <w:r w:rsidRPr="00BB3B2B">
        <w:rPr>
          <w:sz w:val="20"/>
        </w:rPr>
        <w:t xml:space="preserve"> Artikel 4.44 Aanwijzingen voor de regelgeving.</w:t>
      </w:r>
    </w:p>
  </w:footnote>
  <w:footnote w:id="2">
    <w:p w14:paraId="66A6EF16" w14:textId="62A4E3B4" w:rsidR="00A66015" w:rsidRPr="00BB3B2B" w:rsidRDefault="00A66015">
      <w:pPr>
        <w:pStyle w:val="Voetnoottekst"/>
        <w:rPr>
          <w:sz w:val="20"/>
        </w:rPr>
      </w:pPr>
      <w:r w:rsidRPr="00BB3B2B">
        <w:rPr>
          <w:rStyle w:val="Voetnootmarkering"/>
          <w:sz w:val="20"/>
        </w:rPr>
        <w:footnoteRef/>
      </w:r>
      <w:r w:rsidRPr="00BB3B2B">
        <w:rPr>
          <w:sz w:val="20"/>
        </w:rPr>
        <w:t xml:space="preserve"> https://www.autoriteitpersoonsgegevens.nl/documenten/handreiking-scraping-door-particulieren-en-private-organisaties</w:t>
      </w:r>
    </w:p>
  </w:footnote>
  <w:footnote w:id="3">
    <w:p w14:paraId="705C76C5" w14:textId="0F7B8AA9" w:rsidR="00A66015" w:rsidRPr="00BB3B2B" w:rsidRDefault="00A66015">
      <w:pPr>
        <w:pStyle w:val="Voetnoottekst"/>
        <w:rPr>
          <w:sz w:val="20"/>
        </w:rPr>
      </w:pPr>
      <w:r w:rsidRPr="00BB3B2B">
        <w:rPr>
          <w:rStyle w:val="Voetnootmarkering"/>
          <w:sz w:val="20"/>
        </w:rPr>
        <w:footnoteRef/>
      </w:r>
      <w:r w:rsidRPr="00BB3B2B">
        <w:rPr>
          <w:sz w:val="20"/>
        </w:rPr>
        <w:t xml:space="preserve"> https://www.autoriteitpersoonsgegevens.nl/themas/financien/financiele-ondernemingen/identificatie-bij-financiele-ondernemingen</w:t>
      </w:r>
    </w:p>
  </w:footnote>
  <w:footnote w:id="4">
    <w:p w14:paraId="10DF3266" w14:textId="00317B1C" w:rsidR="00BB3B2B" w:rsidRPr="00BB3B2B" w:rsidRDefault="00BB3B2B">
      <w:pPr>
        <w:pStyle w:val="Voetnoottekst"/>
        <w:rPr>
          <w:sz w:val="20"/>
        </w:rPr>
      </w:pPr>
      <w:r w:rsidRPr="00BB3B2B">
        <w:rPr>
          <w:rStyle w:val="Voetnootmarkering"/>
          <w:sz w:val="20"/>
        </w:rPr>
        <w:footnoteRef/>
      </w:r>
      <w:r w:rsidRPr="00BB3B2B">
        <w:rPr>
          <w:sz w:val="20"/>
        </w:rPr>
        <w:t xml:space="preserve"> Vergelijk Peter </w:t>
      </w:r>
      <w:proofErr w:type="spellStart"/>
      <w:r w:rsidRPr="00BB3B2B">
        <w:rPr>
          <w:sz w:val="20"/>
        </w:rPr>
        <w:t>Hustinx</w:t>
      </w:r>
      <w:proofErr w:type="spellEnd"/>
      <w:r w:rsidRPr="00BB3B2B">
        <w:rPr>
          <w:sz w:val="20"/>
        </w:rPr>
        <w:t>, Onafhankelijk toezicht en publieke verantwoording - de AP ‘</w:t>
      </w:r>
      <w:proofErr w:type="spellStart"/>
      <w:r w:rsidRPr="00BB3B2B">
        <w:rPr>
          <w:sz w:val="20"/>
        </w:rPr>
        <w:t>revisited</w:t>
      </w:r>
      <w:proofErr w:type="spellEnd"/>
      <w:r w:rsidRPr="00BB3B2B">
        <w:rPr>
          <w:sz w:val="20"/>
        </w:rPr>
        <w:t>’, Nederlands Juristenblad 2023/885.</w:t>
      </w:r>
    </w:p>
  </w:footnote>
  <w:footnote w:id="5">
    <w:p w14:paraId="1E37585B" w14:textId="329B5549" w:rsidR="00E458DD" w:rsidRPr="00120E00" w:rsidRDefault="00E458DD">
      <w:pPr>
        <w:pStyle w:val="Voetnoottekst"/>
        <w:rPr>
          <w:sz w:val="20"/>
        </w:rPr>
      </w:pPr>
      <w:r w:rsidRPr="00120E00">
        <w:rPr>
          <w:rStyle w:val="Voetnootmarkering"/>
          <w:sz w:val="20"/>
        </w:rPr>
        <w:footnoteRef/>
      </w:r>
      <w:r w:rsidRPr="00120E00">
        <w:rPr>
          <w:sz w:val="20"/>
        </w:rPr>
        <w:t xml:space="preserve"> </w:t>
      </w:r>
      <w:r w:rsidR="00120E00" w:rsidRPr="00120E00">
        <w:rPr>
          <w:sz w:val="20"/>
        </w:rPr>
        <w:t xml:space="preserve">Vergelijk de gronden voor het afzien van internetconsultatie in </w:t>
      </w:r>
      <w:r w:rsidR="00120E00">
        <w:rPr>
          <w:sz w:val="20"/>
        </w:rPr>
        <w:t xml:space="preserve">nr. 16 van </w:t>
      </w:r>
      <w:r w:rsidR="00120E00" w:rsidRPr="00120E00">
        <w:rPr>
          <w:sz w:val="20"/>
        </w:rPr>
        <w:t xml:space="preserve">het Draaiboek voor de regelgeving, </w:t>
      </w:r>
      <w:hyperlink r:id="rId1" w:history="1">
        <w:r w:rsidR="00120E00" w:rsidRPr="00120E00">
          <w:rPr>
            <w:rStyle w:val="Hyperlink"/>
            <w:sz w:val="20"/>
          </w:rPr>
          <w:t>https://www.kcbr.nl/beleid-en-regelgeving-ontwikkelen/draaiboek-voor-de-regelgeving/wetten-nr-4-110/2-openbaarheid-voorstellen-van-wet-en-internetconsultatie-nr-15-17/nr-16-internetconsultatie</w:t>
        </w:r>
      </w:hyperlink>
      <w:r w:rsidR="00120E00" w:rsidRPr="00120E00">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67A"/>
    <w:multiLevelType w:val="hybridMultilevel"/>
    <w:tmpl w:val="68CAAA52"/>
    <w:lvl w:ilvl="0" w:tplc="FFFFFFFF">
      <w:start w:val="1"/>
      <w:numFmt w:val="lowerLetter"/>
      <w:lvlText w:val="%1."/>
      <w:lvlJc w:val="left"/>
      <w:pPr>
        <w:ind w:left="1080" w:hanging="360"/>
      </w:pPr>
      <w:rPr>
        <w:rFonts w:ascii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AB3706"/>
    <w:multiLevelType w:val="hybridMultilevel"/>
    <w:tmpl w:val="2FBCB18E"/>
    <w:lvl w:ilvl="0" w:tplc="31B2C374">
      <w:start w:val="1"/>
      <w:numFmt w:val="bullet"/>
      <w:lvlText w:val=""/>
      <w:lvlJc w:val="left"/>
      <w:pPr>
        <w:ind w:left="1440" w:hanging="360"/>
      </w:pPr>
      <w:rPr>
        <w:rFonts w:ascii="Symbol" w:hAnsi="Symbol"/>
      </w:rPr>
    </w:lvl>
    <w:lvl w:ilvl="1" w:tplc="C9205032">
      <w:start w:val="1"/>
      <w:numFmt w:val="bullet"/>
      <w:lvlText w:val=""/>
      <w:lvlJc w:val="left"/>
      <w:pPr>
        <w:ind w:left="1440" w:hanging="360"/>
      </w:pPr>
      <w:rPr>
        <w:rFonts w:ascii="Symbol" w:hAnsi="Symbol"/>
      </w:rPr>
    </w:lvl>
    <w:lvl w:ilvl="2" w:tplc="E1B8EAD8">
      <w:start w:val="1"/>
      <w:numFmt w:val="bullet"/>
      <w:lvlText w:val=""/>
      <w:lvlJc w:val="left"/>
      <w:pPr>
        <w:ind w:left="1440" w:hanging="360"/>
      </w:pPr>
      <w:rPr>
        <w:rFonts w:ascii="Symbol" w:hAnsi="Symbol"/>
      </w:rPr>
    </w:lvl>
    <w:lvl w:ilvl="3" w:tplc="EA3CC5D4">
      <w:start w:val="1"/>
      <w:numFmt w:val="bullet"/>
      <w:lvlText w:val=""/>
      <w:lvlJc w:val="left"/>
      <w:pPr>
        <w:ind w:left="1440" w:hanging="360"/>
      </w:pPr>
      <w:rPr>
        <w:rFonts w:ascii="Symbol" w:hAnsi="Symbol"/>
      </w:rPr>
    </w:lvl>
    <w:lvl w:ilvl="4" w:tplc="E7845F9A">
      <w:start w:val="1"/>
      <w:numFmt w:val="bullet"/>
      <w:lvlText w:val=""/>
      <w:lvlJc w:val="left"/>
      <w:pPr>
        <w:ind w:left="1440" w:hanging="360"/>
      </w:pPr>
      <w:rPr>
        <w:rFonts w:ascii="Symbol" w:hAnsi="Symbol"/>
      </w:rPr>
    </w:lvl>
    <w:lvl w:ilvl="5" w:tplc="1BD2B41E">
      <w:start w:val="1"/>
      <w:numFmt w:val="bullet"/>
      <w:lvlText w:val=""/>
      <w:lvlJc w:val="left"/>
      <w:pPr>
        <w:ind w:left="1440" w:hanging="360"/>
      </w:pPr>
      <w:rPr>
        <w:rFonts w:ascii="Symbol" w:hAnsi="Symbol"/>
      </w:rPr>
    </w:lvl>
    <w:lvl w:ilvl="6" w:tplc="72D494AC">
      <w:start w:val="1"/>
      <w:numFmt w:val="bullet"/>
      <w:lvlText w:val=""/>
      <w:lvlJc w:val="left"/>
      <w:pPr>
        <w:ind w:left="1440" w:hanging="360"/>
      </w:pPr>
      <w:rPr>
        <w:rFonts w:ascii="Symbol" w:hAnsi="Symbol"/>
      </w:rPr>
    </w:lvl>
    <w:lvl w:ilvl="7" w:tplc="FDDED4F6">
      <w:start w:val="1"/>
      <w:numFmt w:val="bullet"/>
      <w:lvlText w:val=""/>
      <w:lvlJc w:val="left"/>
      <w:pPr>
        <w:ind w:left="1440" w:hanging="360"/>
      </w:pPr>
      <w:rPr>
        <w:rFonts w:ascii="Symbol" w:hAnsi="Symbol"/>
      </w:rPr>
    </w:lvl>
    <w:lvl w:ilvl="8" w:tplc="595A49A2">
      <w:start w:val="1"/>
      <w:numFmt w:val="bullet"/>
      <w:lvlText w:val=""/>
      <w:lvlJc w:val="left"/>
      <w:pPr>
        <w:ind w:left="1440" w:hanging="360"/>
      </w:pPr>
      <w:rPr>
        <w:rFonts w:ascii="Symbol" w:hAnsi="Symbol"/>
      </w:rPr>
    </w:lvl>
  </w:abstractNum>
  <w:abstractNum w:abstractNumId="2" w15:restartNumberingAfterBreak="0">
    <w:nsid w:val="2C2B1738"/>
    <w:multiLevelType w:val="hybridMultilevel"/>
    <w:tmpl w:val="C344C03E"/>
    <w:lvl w:ilvl="0" w:tplc="FC12D6D2">
      <w:start w:val="23"/>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1720AA"/>
    <w:multiLevelType w:val="hybridMultilevel"/>
    <w:tmpl w:val="A0DEF33E"/>
    <w:lvl w:ilvl="0" w:tplc="31BEA29C">
      <w:start w:val="1"/>
      <w:numFmt w:val="bullet"/>
      <w:lvlText w:val=""/>
      <w:lvlJc w:val="left"/>
      <w:pPr>
        <w:ind w:left="1440" w:hanging="360"/>
      </w:pPr>
      <w:rPr>
        <w:rFonts w:ascii="Symbol" w:hAnsi="Symbol"/>
      </w:rPr>
    </w:lvl>
    <w:lvl w:ilvl="1" w:tplc="D4BA821C">
      <w:start w:val="1"/>
      <w:numFmt w:val="bullet"/>
      <w:lvlText w:val=""/>
      <w:lvlJc w:val="left"/>
      <w:pPr>
        <w:ind w:left="1440" w:hanging="360"/>
      </w:pPr>
      <w:rPr>
        <w:rFonts w:ascii="Symbol" w:hAnsi="Symbol"/>
      </w:rPr>
    </w:lvl>
    <w:lvl w:ilvl="2" w:tplc="DC24E3AA">
      <w:start w:val="1"/>
      <w:numFmt w:val="bullet"/>
      <w:lvlText w:val=""/>
      <w:lvlJc w:val="left"/>
      <w:pPr>
        <w:ind w:left="1440" w:hanging="360"/>
      </w:pPr>
      <w:rPr>
        <w:rFonts w:ascii="Symbol" w:hAnsi="Symbol"/>
      </w:rPr>
    </w:lvl>
    <w:lvl w:ilvl="3" w:tplc="AA0ACA8E">
      <w:start w:val="1"/>
      <w:numFmt w:val="bullet"/>
      <w:lvlText w:val=""/>
      <w:lvlJc w:val="left"/>
      <w:pPr>
        <w:ind w:left="1440" w:hanging="360"/>
      </w:pPr>
      <w:rPr>
        <w:rFonts w:ascii="Symbol" w:hAnsi="Symbol"/>
      </w:rPr>
    </w:lvl>
    <w:lvl w:ilvl="4" w:tplc="1E08837A">
      <w:start w:val="1"/>
      <w:numFmt w:val="bullet"/>
      <w:lvlText w:val=""/>
      <w:lvlJc w:val="left"/>
      <w:pPr>
        <w:ind w:left="1440" w:hanging="360"/>
      </w:pPr>
      <w:rPr>
        <w:rFonts w:ascii="Symbol" w:hAnsi="Symbol"/>
      </w:rPr>
    </w:lvl>
    <w:lvl w:ilvl="5" w:tplc="7E20125E">
      <w:start w:val="1"/>
      <w:numFmt w:val="bullet"/>
      <w:lvlText w:val=""/>
      <w:lvlJc w:val="left"/>
      <w:pPr>
        <w:ind w:left="1440" w:hanging="360"/>
      </w:pPr>
      <w:rPr>
        <w:rFonts w:ascii="Symbol" w:hAnsi="Symbol"/>
      </w:rPr>
    </w:lvl>
    <w:lvl w:ilvl="6" w:tplc="EAECF4D8">
      <w:start w:val="1"/>
      <w:numFmt w:val="bullet"/>
      <w:lvlText w:val=""/>
      <w:lvlJc w:val="left"/>
      <w:pPr>
        <w:ind w:left="1440" w:hanging="360"/>
      </w:pPr>
      <w:rPr>
        <w:rFonts w:ascii="Symbol" w:hAnsi="Symbol"/>
      </w:rPr>
    </w:lvl>
    <w:lvl w:ilvl="7" w:tplc="A16E9C64">
      <w:start w:val="1"/>
      <w:numFmt w:val="bullet"/>
      <w:lvlText w:val=""/>
      <w:lvlJc w:val="left"/>
      <w:pPr>
        <w:ind w:left="1440" w:hanging="360"/>
      </w:pPr>
      <w:rPr>
        <w:rFonts w:ascii="Symbol" w:hAnsi="Symbol"/>
      </w:rPr>
    </w:lvl>
    <w:lvl w:ilvl="8" w:tplc="4594ABA4">
      <w:start w:val="1"/>
      <w:numFmt w:val="bullet"/>
      <w:lvlText w:val=""/>
      <w:lvlJc w:val="left"/>
      <w:pPr>
        <w:ind w:left="1440" w:hanging="360"/>
      </w:pPr>
      <w:rPr>
        <w:rFonts w:ascii="Symbol" w:hAnsi="Symbol"/>
      </w:rPr>
    </w:lvl>
  </w:abstractNum>
  <w:abstractNum w:abstractNumId="4" w15:restartNumberingAfterBreak="0">
    <w:nsid w:val="45CD1104"/>
    <w:multiLevelType w:val="hybridMultilevel"/>
    <w:tmpl w:val="43DCE122"/>
    <w:lvl w:ilvl="0" w:tplc="6952F4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463F1DEE"/>
    <w:multiLevelType w:val="hybridMultilevel"/>
    <w:tmpl w:val="1360BDFE"/>
    <w:lvl w:ilvl="0" w:tplc="1D36268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47DD3AED"/>
    <w:multiLevelType w:val="hybridMultilevel"/>
    <w:tmpl w:val="B2DC2F8E"/>
    <w:lvl w:ilvl="0" w:tplc="B1AECB8E">
      <w:start w:val="1"/>
      <w:numFmt w:val="bullet"/>
      <w:lvlText w:val=""/>
      <w:lvlJc w:val="left"/>
      <w:pPr>
        <w:ind w:left="1440" w:hanging="360"/>
      </w:pPr>
      <w:rPr>
        <w:rFonts w:ascii="Symbol" w:hAnsi="Symbol"/>
      </w:rPr>
    </w:lvl>
    <w:lvl w:ilvl="1" w:tplc="B296A1C0">
      <w:start w:val="1"/>
      <w:numFmt w:val="bullet"/>
      <w:lvlText w:val=""/>
      <w:lvlJc w:val="left"/>
      <w:pPr>
        <w:ind w:left="1440" w:hanging="360"/>
      </w:pPr>
      <w:rPr>
        <w:rFonts w:ascii="Symbol" w:hAnsi="Symbol"/>
      </w:rPr>
    </w:lvl>
    <w:lvl w:ilvl="2" w:tplc="B3AC6742">
      <w:start w:val="1"/>
      <w:numFmt w:val="bullet"/>
      <w:lvlText w:val=""/>
      <w:lvlJc w:val="left"/>
      <w:pPr>
        <w:ind w:left="1440" w:hanging="360"/>
      </w:pPr>
      <w:rPr>
        <w:rFonts w:ascii="Symbol" w:hAnsi="Symbol"/>
      </w:rPr>
    </w:lvl>
    <w:lvl w:ilvl="3" w:tplc="C66EEE44">
      <w:start w:val="1"/>
      <w:numFmt w:val="bullet"/>
      <w:lvlText w:val=""/>
      <w:lvlJc w:val="left"/>
      <w:pPr>
        <w:ind w:left="1440" w:hanging="360"/>
      </w:pPr>
      <w:rPr>
        <w:rFonts w:ascii="Symbol" w:hAnsi="Symbol"/>
      </w:rPr>
    </w:lvl>
    <w:lvl w:ilvl="4" w:tplc="353ED782">
      <w:start w:val="1"/>
      <w:numFmt w:val="bullet"/>
      <w:lvlText w:val=""/>
      <w:lvlJc w:val="left"/>
      <w:pPr>
        <w:ind w:left="1440" w:hanging="360"/>
      </w:pPr>
      <w:rPr>
        <w:rFonts w:ascii="Symbol" w:hAnsi="Symbol"/>
      </w:rPr>
    </w:lvl>
    <w:lvl w:ilvl="5" w:tplc="0DD60A8A">
      <w:start w:val="1"/>
      <w:numFmt w:val="bullet"/>
      <w:lvlText w:val=""/>
      <w:lvlJc w:val="left"/>
      <w:pPr>
        <w:ind w:left="1440" w:hanging="360"/>
      </w:pPr>
      <w:rPr>
        <w:rFonts w:ascii="Symbol" w:hAnsi="Symbol"/>
      </w:rPr>
    </w:lvl>
    <w:lvl w:ilvl="6" w:tplc="8A0A033C">
      <w:start w:val="1"/>
      <w:numFmt w:val="bullet"/>
      <w:lvlText w:val=""/>
      <w:lvlJc w:val="left"/>
      <w:pPr>
        <w:ind w:left="1440" w:hanging="360"/>
      </w:pPr>
      <w:rPr>
        <w:rFonts w:ascii="Symbol" w:hAnsi="Symbol"/>
      </w:rPr>
    </w:lvl>
    <w:lvl w:ilvl="7" w:tplc="809088D6">
      <w:start w:val="1"/>
      <w:numFmt w:val="bullet"/>
      <w:lvlText w:val=""/>
      <w:lvlJc w:val="left"/>
      <w:pPr>
        <w:ind w:left="1440" w:hanging="360"/>
      </w:pPr>
      <w:rPr>
        <w:rFonts w:ascii="Symbol" w:hAnsi="Symbol"/>
      </w:rPr>
    </w:lvl>
    <w:lvl w:ilvl="8" w:tplc="E7369580">
      <w:start w:val="1"/>
      <w:numFmt w:val="bullet"/>
      <w:lvlText w:val=""/>
      <w:lvlJc w:val="left"/>
      <w:pPr>
        <w:ind w:left="1440" w:hanging="360"/>
      </w:pPr>
      <w:rPr>
        <w:rFonts w:ascii="Symbol" w:hAnsi="Symbol"/>
      </w:rPr>
    </w:lvl>
  </w:abstractNum>
  <w:abstractNum w:abstractNumId="7" w15:restartNumberingAfterBreak="0">
    <w:nsid w:val="4DEC1D9A"/>
    <w:multiLevelType w:val="hybridMultilevel"/>
    <w:tmpl w:val="C264E9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CA26292"/>
    <w:multiLevelType w:val="hybridMultilevel"/>
    <w:tmpl w:val="16925164"/>
    <w:lvl w:ilvl="0" w:tplc="EFA2A118">
      <w:start w:val="1"/>
      <w:numFmt w:val="lowerLetter"/>
      <w:lvlText w:val="%1."/>
      <w:lvlJc w:val="left"/>
      <w:pPr>
        <w:ind w:left="1080" w:hanging="360"/>
      </w:pPr>
      <w:rPr>
        <w:rFonts w:ascii="Times New Roman" w:hAnsi="Times New Roman"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2050020">
    <w:abstractNumId w:val="2"/>
  </w:num>
  <w:num w:numId="2" w16cid:durableId="922837558">
    <w:abstractNumId w:val="5"/>
  </w:num>
  <w:num w:numId="3" w16cid:durableId="762995791">
    <w:abstractNumId w:val="8"/>
  </w:num>
  <w:num w:numId="4" w16cid:durableId="897278489">
    <w:abstractNumId w:val="0"/>
  </w:num>
  <w:num w:numId="5" w16cid:durableId="539784313">
    <w:abstractNumId w:val="1"/>
  </w:num>
  <w:num w:numId="6" w16cid:durableId="2019581721">
    <w:abstractNumId w:val="6"/>
  </w:num>
  <w:num w:numId="7" w16cid:durableId="248151771">
    <w:abstractNumId w:val="3"/>
  </w:num>
  <w:num w:numId="8" w16cid:durableId="1800956248">
    <w:abstractNumId w:val="4"/>
  </w:num>
  <w:num w:numId="9" w16cid:durableId="1962955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77"/>
    <w:rsid w:val="00001CFC"/>
    <w:rsid w:val="0006632D"/>
    <w:rsid w:val="00092D79"/>
    <w:rsid w:val="00097E20"/>
    <w:rsid w:val="000A1ED7"/>
    <w:rsid w:val="000A5368"/>
    <w:rsid w:val="000D17BF"/>
    <w:rsid w:val="000F151D"/>
    <w:rsid w:val="001004AD"/>
    <w:rsid w:val="001103B7"/>
    <w:rsid w:val="001121CF"/>
    <w:rsid w:val="00120E00"/>
    <w:rsid w:val="001319B3"/>
    <w:rsid w:val="00157CAF"/>
    <w:rsid w:val="001656EE"/>
    <w:rsid w:val="0016653D"/>
    <w:rsid w:val="0019366E"/>
    <w:rsid w:val="001C527C"/>
    <w:rsid w:val="001D0D8E"/>
    <w:rsid w:val="001D56AF"/>
    <w:rsid w:val="001D6273"/>
    <w:rsid w:val="001E0E21"/>
    <w:rsid w:val="001F60CB"/>
    <w:rsid w:val="002064D1"/>
    <w:rsid w:val="00212E0A"/>
    <w:rsid w:val="002153B0"/>
    <w:rsid w:val="0021777F"/>
    <w:rsid w:val="00231D12"/>
    <w:rsid w:val="00234329"/>
    <w:rsid w:val="00241DD0"/>
    <w:rsid w:val="00244865"/>
    <w:rsid w:val="00257F82"/>
    <w:rsid w:val="00263409"/>
    <w:rsid w:val="002646D2"/>
    <w:rsid w:val="002A0713"/>
    <w:rsid w:val="002B7205"/>
    <w:rsid w:val="002D1B2B"/>
    <w:rsid w:val="00305290"/>
    <w:rsid w:val="00314EC6"/>
    <w:rsid w:val="00340258"/>
    <w:rsid w:val="00345447"/>
    <w:rsid w:val="003576BF"/>
    <w:rsid w:val="00367FAD"/>
    <w:rsid w:val="0037184F"/>
    <w:rsid w:val="00382EC9"/>
    <w:rsid w:val="003A18F5"/>
    <w:rsid w:val="003A1CD0"/>
    <w:rsid w:val="003C21AC"/>
    <w:rsid w:val="003C4984"/>
    <w:rsid w:val="003C5218"/>
    <w:rsid w:val="003C7876"/>
    <w:rsid w:val="003D0844"/>
    <w:rsid w:val="003E1FB6"/>
    <w:rsid w:val="003E2F98"/>
    <w:rsid w:val="003E36F9"/>
    <w:rsid w:val="00415BA6"/>
    <w:rsid w:val="0042574B"/>
    <w:rsid w:val="004330A1"/>
    <w:rsid w:val="004330ED"/>
    <w:rsid w:val="00452E48"/>
    <w:rsid w:val="00472C17"/>
    <w:rsid w:val="0047634B"/>
    <w:rsid w:val="00481C91"/>
    <w:rsid w:val="0048621F"/>
    <w:rsid w:val="004911E3"/>
    <w:rsid w:val="00497D57"/>
    <w:rsid w:val="004A1E29"/>
    <w:rsid w:val="004A20CC"/>
    <w:rsid w:val="004A7068"/>
    <w:rsid w:val="004A7DD4"/>
    <w:rsid w:val="004B09BC"/>
    <w:rsid w:val="004B26A5"/>
    <w:rsid w:val="004B50D8"/>
    <w:rsid w:val="004B5B90"/>
    <w:rsid w:val="004B6611"/>
    <w:rsid w:val="004B7C62"/>
    <w:rsid w:val="004C5D19"/>
    <w:rsid w:val="00501109"/>
    <w:rsid w:val="00505C19"/>
    <w:rsid w:val="00505FA5"/>
    <w:rsid w:val="0052559A"/>
    <w:rsid w:val="00566001"/>
    <w:rsid w:val="005703C9"/>
    <w:rsid w:val="005808C0"/>
    <w:rsid w:val="00597703"/>
    <w:rsid w:val="005A3813"/>
    <w:rsid w:val="005A6097"/>
    <w:rsid w:val="005B1DCC"/>
    <w:rsid w:val="005B7323"/>
    <w:rsid w:val="005C25B9"/>
    <w:rsid w:val="005C3F23"/>
    <w:rsid w:val="00613277"/>
    <w:rsid w:val="006267E6"/>
    <w:rsid w:val="006476EB"/>
    <w:rsid w:val="006558D2"/>
    <w:rsid w:val="00672D25"/>
    <w:rsid w:val="006738BC"/>
    <w:rsid w:val="0067776E"/>
    <w:rsid w:val="00687679"/>
    <w:rsid w:val="00691652"/>
    <w:rsid w:val="006A5D97"/>
    <w:rsid w:val="006B15ED"/>
    <w:rsid w:val="006D3E69"/>
    <w:rsid w:val="006E0971"/>
    <w:rsid w:val="007177AA"/>
    <w:rsid w:val="00732456"/>
    <w:rsid w:val="00735672"/>
    <w:rsid w:val="00754318"/>
    <w:rsid w:val="007648CA"/>
    <w:rsid w:val="00770297"/>
    <w:rsid w:val="007709F6"/>
    <w:rsid w:val="00770B60"/>
    <w:rsid w:val="0079090B"/>
    <w:rsid w:val="007965FC"/>
    <w:rsid w:val="007B2635"/>
    <w:rsid w:val="007B66A1"/>
    <w:rsid w:val="007D2608"/>
    <w:rsid w:val="00800CD0"/>
    <w:rsid w:val="008133CB"/>
    <w:rsid w:val="00814F64"/>
    <w:rsid w:val="008164E5"/>
    <w:rsid w:val="0082110A"/>
    <w:rsid w:val="00830081"/>
    <w:rsid w:val="00842F64"/>
    <w:rsid w:val="00843121"/>
    <w:rsid w:val="008465EA"/>
    <w:rsid w:val="008467D7"/>
    <w:rsid w:val="00852541"/>
    <w:rsid w:val="00865D47"/>
    <w:rsid w:val="0088452C"/>
    <w:rsid w:val="008A1764"/>
    <w:rsid w:val="008A3E74"/>
    <w:rsid w:val="008A7C96"/>
    <w:rsid w:val="008C7BAB"/>
    <w:rsid w:val="008D1733"/>
    <w:rsid w:val="008D2EC9"/>
    <w:rsid w:val="008D7DCB"/>
    <w:rsid w:val="009055DB"/>
    <w:rsid w:val="00905ECB"/>
    <w:rsid w:val="00921143"/>
    <w:rsid w:val="0093147B"/>
    <w:rsid w:val="0096165D"/>
    <w:rsid w:val="0097621B"/>
    <w:rsid w:val="0098481B"/>
    <w:rsid w:val="00993E91"/>
    <w:rsid w:val="009A409F"/>
    <w:rsid w:val="009A6509"/>
    <w:rsid w:val="009B4737"/>
    <w:rsid w:val="009B5845"/>
    <w:rsid w:val="009C0C1F"/>
    <w:rsid w:val="009D3892"/>
    <w:rsid w:val="009E1E48"/>
    <w:rsid w:val="009E3B6C"/>
    <w:rsid w:val="009F00F9"/>
    <w:rsid w:val="009F2491"/>
    <w:rsid w:val="00A0264D"/>
    <w:rsid w:val="00A10505"/>
    <w:rsid w:val="00A1288B"/>
    <w:rsid w:val="00A169AF"/>
    <w:rsid w:val="00A23C55"/>
    <w:rsid w:val="00A37EBE"/>
    <w:rsid w:val="00A53203"/>
    <w:rsid w:val="00A56CC2"/>
    <w:rsid w:val="00A66015"/>
    <w:rsid w:val="00A772EB"/>
    <w:rsid w:val="00AB2258"/>
    <w:rsid w:val="00AF3114"/>
    <w:rsid w:val="00AF4A2A"/>
    <w:rsid w:val="00AF5AC2"/>
    <w:rsid w:val="00B01BA6"/>
    <w:rsid w:val="00B25F90"/>
    <w:rsid w:val="00B4708A"/>
    <w:rsid w:val="00B47880"/>
    <w:rsid w:val="00B75FA3"/>
    <w:rsid w:val="00B87770"/>
    <w:rsid w:val="00B87C40"/>
    <w:rsid w:val="00B963E7"/>
    <w:rsid w:val="00BA4597"/>
    <w:rsid w:val="00BB3B2B"/>
    <w:rsid w:val="00BB47E0"/>
    <w:rsid w:val="00BB5D6C"/>
    <w:rsid w:val="00BB72FB"/>
    <w:rsid w:val="00BC118C"/>
    <w:rsid w:val="00BC1BF2"/>
    <w:rsid w:val="00BD08BE"/>
    <w:rsid w:val="00BD6106"/>
    <w:rsid w:val="00BE13FF"/>
    <w:rsid w:val="00BF623B"/>
    <w:rsid w:val="00C035D4"/>
    <w:rsid w:val="00C0499B"/>
    <w:rsid w:val="00C1066E"/>
    <w:rsid w:val="00C52435"/>
    <w:rsid w:val="00C53755"/>
    <w:rsid w:val="00C679BF"/>
    <w:rsid w:val="00C80EC1"/>
    <w:rsid w:val="00C81BBD"/>
    <w:rsid w:val="00C979A3"/>
    <w:rsid w:val="00CA79B0"/>
    <w:rsid w:val="00CC5BB7"/>
    <w:rsid w:val="00CD27EC"/>
    <w:rsid w:val="00CD3132"/>
    <w:rsid w:val="00CE27CD"/>
    <w:rsid w:val="00D134F3"/>
    <w:rsid w:val="00D14C0D"/>
    <w:rsid w:val="00D26C74"/>
    <w:rsid w:val="00D47D01"/>
    <w:rsid w:val="00D60BB0"/>
    <w:rsid w:val="00D774B3"/>
    <w:rsid w:val="00DA18B7"/>
    <w:rsid w:val="00DC6E43"/>
    <w:rsid w:val="00DD35A5"/>
    <w:rsid w:val="00DD4DC5"/>
    <w:rsid w:val="00DE2948"/>
    <w:rsid w:val="00DF68BE"/>
    <w:rsid w:val="00DF712A"/>
    <w:rsid w:val="00E05CFE"/>
    <w:rsid w:val="00E06EC3"/>
    <w:rsid w:val="00E22B6D"/>
    <w:rsid w:val="00E25DF4"/>
    <w:rsid w:val="00E3485D"/>
    <w:rsid w:val="00E37D21"/>
    <w:rsid w:val="00E458DD"/>
    <w:rsid w:val="00E6619B"/>
    <w:rsid w:val="00E67A27"/>
    <w:rsid w:val="00E73395"/>
    <w:rsid w:val="00E93597"/>
    <w:rsid w:val="00EA0C23"/>
    <w:rsid w:val="00EA1CE4"/>
    <w:rsid w:val="00EA69AC"/>
    <w:rsid w:val="00EA7FDB"/>
    <w:rsid w:val="00EB40A1"/>
    <w:rsid w:val="00EB6296"/>
    <w:rsid w:val="00EC1963"/>
    <w:rsid w:val="00EC3112"/>
    <w:rsid w:val="00ED5E57"/>
    <w:rsid w:val="00EE1BD8"/>
    <w:rsid w:val="00EF3C59"/>
    <w:rsid w:val="00F0546F"/>
    <w:rsid w:val="00F463C9"/>
    <w:rsid w:val="00F55697"/>
    <w:rsid w:val="00F773C1"/>
    <w:rsid w:val="00F85740"/>
    <w:rsid w:val="00F93790"/>
    <w:rsid w:val="00F95C43"/>
    <w:rsid w:val="00F9707A"/>
    <w:rsid w:val="00FA1CCA"/>
    <w:rsid w:val="00FA5BBE"/>
    <w:rsid w:val="00FB2026"/>
    <w:rsid w:val="00FB6234"/>
    <w:rsid w:val="00FD32A4"/>
    <w:rsid w:val="00FD5542"/>
    <w:rsid w:val="00FE7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16034"/>
  <w15:docId w15:val="{94347605-C285-4CA1-B782-0621428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13277"/>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customStyle="1" w:styleId="VoetnoottekstChar">
    <w:name w:val="Voetnoottekst Char"/>
    <w:basedOn w:val="Standaardalinea-lettertype"/>
    <w:link w:val="Voetnoottekst"/>
    <w:uiPriority w:val="99"/>
    <w:semiHidden/>
    <w:rsid w:val="00613277"/>
    <w:rPr>
      <w:sz w:val="24"/>
    </w:rPr>
  </w:style>
  <w:style w:type="character" w:styleId="Voetnootmarkering">
    <w:name w:val="footnote reference"/>
    <w:basedOn w:val="Standaardalinea-lettertype"/>
    <w:uiPriority w:val="99"/>
    <w:semiHidden/>
    <w:unhideWhenUsed/>
    <w:rsid w:val="00613277"/>
    <w:rPr>
      <w:vertAlign w:val="superscript"/>
    </w:rPr>
  </w:style>
  <w:style w:type="character" w:styleId="Hyperlink">
    <w:name w:val="Hyperlink"/>
    <w:basedOn w:val="Standaardalinea-lettertype"/>
    <w:uiPriority w:val="99"/>
    <w:unhideWhenUsed/>
    <w:rsid w:val="00613277"/>
    <w:rPr>
      <w:color w:val="0000FF" w:themeColor="hyperlink"/>
      <w:u w:val="single"/>
    </w:rPr>
  </w:style>
  <w:style w:type="paragraph" w:styleId="Revisie">
    <w:name w:val="Revision"/>
    <w:hidden/>
    <w:uiPriority w:val="99"/>
    <w:semiHidden/>
    <w:rsid w:val="007648CA"/>
    <w:rPr>
      <w:sz w:val="24"/>
    </w:rPr>
  </w:style>
  <w:style w:type="character" w:styleId="Verwijzingopmerking">
    <w:name w:val="annotation reference"/>
    <w:basedOn w:val="Standaardalinea-lettertype"/>
    <w:semiHidden/>
    <w:unhideWhenUsed/>
    <w:rsid w:val="007648CA"/>
    <w:rPr>
      <w:sz w:val="16"/>
      <w:szCs w:val="16"/>
    </w:rPr>
  </w:style>
  <w:style w:type="paragraph" w:styleId="Tekstopmerking">
    <w:name w:val="annotation text"/>
    <w:basedOn w:val="Standaard"/>
    <w:link w:val="TekstopmerkingChar"/>
    <w:unhideWhenUsed/>
    <w:rsid w:val="007648CA"/>
    <w:rPr>
      <w:sz w:val="20"/>
    </w:rPr>
  </w:style>
  <w:style w:type="character" w:customStyle="1" w:styleId="TekstopmerkingChar">
    <w:name w:val="Tekst opmerking Char"/>
    <w:basedOn w:val="Standaardalinea-lettertype"/>
    <w:link w:val="Tekstopmerking"/>
    <w:rsid w:val="007648CA"/>
  </w:style>
  <w:style w:type="paragraph" w:styleId="Onderwerpvanopmerking">
    <w:name w:val="annotation subject"/>
    <w:basedOn w:val="Tekstopmerking"/>
    <w:next w:val="Tekstopmerking"/>
    <w:link w:val="OnderwerpvanopmerkingChar"/>
    <w:semiHidden/>
    <w:unhideWhenUsed/>
    <w:rsid w:val="007648CA"/>
    <w:rPr>
      <w:b/>
      <w:bCs/>
    </w:rPr>
  </w:style>
  <w:style w:type="character" w:customStyle="1" w:styleId="OnderwerpvanopmerkingChar">
    <w:name w:val="Onderwerp van opmerking Char"/>
    <w:basedOn w:val="TekstopmerkingChar"/>
    <w:link w:val="Onderwerpvanopmerking"/>
    <w:semiHidden/>
    <w:rsid w:val="007648CA"/>
    <w:rPr>
      <w:b/>
      <w:bCs/>
    </w:rPr>
  </w:style>
  <w:style w:type="character" w:customStyle="1" w:styleId="cf01">
    <w:name w:val="cf01"/>
    <w:basedOn w:val="Standaardalinea-lettertype"/>
    <w:rsid w:val="00EB6296"/>
    <w:rPr>
      <w:rFonts w:ascii="Segoe UI" w:hAnsi="Segoe UI" w:cs="Segoe UI" w:hint="default"/>
      <w:sz w:val="18"/>
      <w:szCs w:val="18"/>
    </w:rPr>
  </w:style>
  <w:style w:type="character" w:styleId="Nadruk">
    <w:name w:val="Emphasis"/>
    <w:basedOn w:val="Standaardalinea-lettertype"/>
    <w:uiPriority w:val="20"/>
    <w:qFormat/>
    <w:rsid w:val="0079090B"/>
    <w:rPr>
      <w:i/>
      <w:iCs/>
    </w:rPr>
  </w:style>
  <w:style w:type="character" w:styleId="Onopgelostemelding">
    <w:name w:val="Unresolved Mention"/>
    <w:basedOn w:val="Standaardalinea-lettertype"/>
    <w:uiPriority w:val="99"/>
    <w:semiHidden/>
    <w:unhideWhenUsed/>
    <w:rsid w:val="00E3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6580">
      <w:bodyDiv w:val="1"/>
      <w:marLeft w:val="0"/>
      <w:marRight w:val="0"/>
      <w:marTop w:val="0"/>
      <w:marBottom w:val="0"/>
      <w:divBdr>
        <w:top w:val="none" w:sz="0" w:space="0" w:color="auto"/>
        <w:left w:val="none" w:sz="0" w:space="0" w:color="auto"/>
        <w:bottom w:val="none" w:sz="0" w:space="0" w:color="auto"/>
        <w:right w:val="none" w:sz="0" w:space="0" w:color="auto"/>
      </w:divBdr>
    </w:div>
    <w:div w:id="507914067">
      <w:bodyDiv w:val="1"/>
      <w:marLeft w:val="0"/>
      <w:marRight w:val="0"/>
      <w:marTop w:val="0"/>
      <w:marBottom w:val="0"/>
      <w:divBdr>
        <w:top w:val="none" w:sz="0" w:space="0" w:color="auto"/>
        <w:left w:val="none" w:sz="0" w:space="0" w:color="auto"/>
        <w:bottom w:val="none" w:sz="0" w:space="0" w:color="auto"/>
        <w:right w:val="none" w:sz="0" w:space="0" w:color="auto"/>
      </w:divBdr>
    </w:div>
    <w:div w:id="533732584">
      <w:bodyDiv w:val="1"/>
      <w:marLeft w:val="0"/>
      <w:marRight w:val="0"/>
      <w:marTop w:val="0"/>
      <w:marBottom w:val="0"/>
      <w:divBdr>
        <w:top w:val="none" w:sz="0" w:space="0" w:color="auto"/>
        <w:left w:val="none" w:sz="0" w:space="0" w:color="auto"/>
        <w:bottom w:val="none" w:sz="0" w:space="0" w:color="auto"/>
        <w:right w:val="none" w:sz="0" w:space="0" w:color="auto"/>
      </w:divBdr>
    </w:div>
    <w:div w:id="538278395">
      <w:bodyDiv w:val="1"/>
      <w:marLeft w:val="0"/>
      <w:marRight w:val="0"/>
      <w:marTop w:val="0"/>
      <w:marBottom w:val="0"/>
      <w:divBdr>
        <w:top w:val="none" w:sz="0" w:space="0" w:color="auto"/>
        <w:left w:val="none" w:sz="0" w:space="0" w:color="auto"/>
        <w:bottom w:val="none" w:sz="0" w:space="0" w:color="auto"/>
        <w:right w:val="none" w:sz="0" w:space="0" w:color="auto"/>
      </w:divBdr>
    </w:div>
    <w:div w:id="874578396">
      <w:bodyDiv w:val="1"/>
      <w:marLeft w:val="0"/>
      <w:marRight w:val="0"/>
      <w:marTop w:val="0"/>
      <w:marBottom w:val="0"/>
      <w:divBdr>
        <w:top w:val="none" w:sz="0" w:space="0" w:color="auto"/>
        <w:left w:val="none" w:sz="0" w:space="0" w:color="auto"/>
        <w:bottom w:val="none" w:sz="0" w:space="0" w:color="auto"/>
        <w:right w:val="none" w:sz="0" w:space="0" w:color="auto"/>
      </w:divBdr>
    </w:div>
    <w:div w:id="953442140">
      <w:bodyDiv w:val="1"/>
      <w:marLeft w:val="0"/>
      <w:marRight w:val="0"/>
      <w:marTop w:val="0"/>
      <w:marBottom w:val="0"/>
      <w:divBdr>
        <w:top w:val="none" w:sz="0" w:space="0" w:color="auto"/>
        <w:left w:val="none" w:sz="0" w:space="0" w:color="auto"/>
        <w:bottom w:val="none" w:sz="0" w:space="0" w:color="auto"/>
        <w:right w:val="none" w:sz="0" w:space="0" w:color="auto"/>
      </w:divBdr>
    </w:div>
    <w:div w:id="974213343">
      <w:bodyDiv w:val="1"/>
      <w:marLeft w:val="0"/>
      <w:marRight w:val="0"/>
      <w:marTop w:val="0"/>
      <w:marBottom w:val="0"/>
      <w:divBdr>
        <w:top w:val="none" w:sz="0" w:space="0" w:color="auto"/>
        <w:left w:val="none" w:sz="0" w:space="0" w:color="auto"/>
        <w:bottom w:val="none" w:sz="0" w:space="0" w:color="auto"/>
        <w:right w:val="none" w:sz="0" w:space="0" w:color="auto"/>
      </w:divBdr>
    </w:div>
    <w:div w:id="1086537003">
      <w:bodyDiv w:val="1"/>
      <w:marLeft w:val="0"/>
      <w:marRight w:val="0"/>
      <w:marTop w:val="0"/>
      <w:marBottom w:val="0"/>
      <w:divBdr>
        <w:top w:val="none" w:sz="0" w:space="0" w:color="auto"/>
        <w:left w:val="none" w:sz="0" w:space="0" w:color="auto"/>
        <w:bottom w:val="none" w:sz="0" w:space="0" w:color="auto"/>
        <w:right w:val="none" w:sz="0" w:space="0" w:color="auto"/>
      </w:divBdr>
    </w:div>
    <w:div w:id="1371686177">
      <w:bodyDiv w:val="1"/>
      <w:marLeft w:val="0"/>
      <w:marRight w:val="0"/>
      <w:marTop w:val="0"/>
      <w:marBottom w:val="0"/>
      <w:divBdr>
        <w:top w:val="none" w:sz="0" w:space="0" w:color="auto"/>
        <w:left w:val="none" w:sz="0" w:space="0" w:color="auto"/>
        <w:bottom w:val="none" w:sz="0" w:space="0" w:color="auto"/>
        <w:right w:val="none" w:sz="0" w:space="0" w:color="auto"/>
      </w:divBdr>
    </w:div>
    <w:div w:id="1528372476">
      <w:bodyDiv w:val="1"/>
      <w:marLeft w:val="0"/>
      <w:marRight w:val="0"/>
      <w:marTop w:val="0"/>
      <w:marBottom w:val="0"/>
      <w:divBdr>
        <w:top w:val="none" w:sz="0" w:space="0" w:color="auto"/>
        <w:left w:val="none" w:sz="0" w:space="0" w:color="auto"/>
        <w:bottom w:val="none" w:sz="0" w:space="0" w:color="auto"/>
        <w:right w:val="none" w:sz="0" w:space="0" w:color="auto"/>
      </w:divBdr>
    </w:div>
    <w:div w:id="1696686881">
      <w:bodyDiv w:val="1"/>
      <w:marLeft w:val="0"/>
      <w:marRight w:val="0"/>
      <w:marTop w:val="0"/>
      <w:marBottom w:val="0"/>
      <w:divBdr>
        <w:top w:val="none" w:sz="0" w:space="0" w:color="auto"/>
        <w:left w:val="none" w:sz="0" w:space="0" w:color="auto"/>
        <w:bottom w:val="none" w:sz="0" w:space="0" w:color="auto"/>
        <w:right w:val="none" w:sz="0" w:space="0" w:color="auto"/>
      </w:divBdr>
    </w:div>
    <w:div w:id="1703625759">
      <w:bodyDiv w:val="1"/>
      <w:marLeft w:val="0"/>
      <w:marRight w:val="0"/>
      <w:marTop w:val="0"/>
      <w:marBottom w:val="0"/>
      <w:divBdr>
        <w:top w:val="none" w:sz="0" w:space="0" w:color="auto"/>
        <w:left w:val="none" w:sz="0" w:space="0" w:color="auto"/>
        <w:bottom w:val="none" w:sz="0" w:space="0" w:color="auto"/>
        <w:right w:val="none" w:sz="0" w:space="0" w:color="auto"/>
      </w:divBdr>
    </w:div>
    <w:div w:id="18493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draaiboek-voor-de-regelgeving/wetten-nr-4-110/2-openbaarheid-voorstellen-van-wet-en-internetconsultatie-nr-15-17/nr-16-internetconsultat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1025</ap:Words>
  <ap:Characters>6059</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2025-05-19T13:02:00.0000000Z</dcterms:created>
  <dcterms:modified xsi:type="dcterms:W3CDTF">2025-05-19T13:02:00.0000000Z</dcterms:modified>
  <category/>
  <version/>
</coreProperties>
</file>