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1347E" w:rsidR="00E371B1" w:rsidP="00B1347E" w:rsidRDefault="00B1347E" w14:paraId="65485285" w14:textId="2AFF108C">
      <w:pPr>
        <w:pStyle w:val="Kop1"/>
      </w:pPr>
      <w:r>
        <w:t xml:space="preserve">Ramingstoelichting </w:t>
      </w:r>
      <w:r w:rsidRPr="00B1347E" w:rsidR="00E371B1">
        <w:t xml:space="preserve">Wet </w:t>
      </w:r>
      <w:r w:rsidRPr="00B1347E" w:rsidR="001E2758">
        <w:t>Werkelijk rendement</w:t>
      </w:r>
      <w:r>
        <w:t xml:space="preserve"> box 3</w:t>
      </w:r>
    </w:p>
    <w:p w:rsidRPr="00B1347E" w:rsidR="00E371B1" w:rsidP="00E371B1" w:rsidRDefault="00E371B1" w14:paraId="22929B4C" w14:textId="77777777">
      <w:pPr>
        <w:rPr>
          <w:rFonts w:ascii="Verdana" w:hAnsi="Verdana"/>
          <w:b/>
          <w:sz w:val="18"/>
          <w:szCs w:val="18"/>
        </w:rPr>
      </w:pPr>
    </w:p>
    <w:p w:rsidRPr="00B1347E" w:rsidR="00E371B1" w:rsidP="00E371B1" w:rsidRDefault="00E371B1" w14:paraId="6D5C8A6C" w14:textId="77777777">
      <w:pPr>
        <w:rPr>
          <w:rFonts w:ascii="Verdana" w:hAnsi="Verdana"/>
          <w:b/>
          <w:sz w:val="18"/>
          <w:szCs w:val="18"/>
        </w:rPr>
      </w:pPr>
      <w:r w:rsidRPr="00B1347E">
        <w:rPr>
          <w:rFonts w:ascii="Verdana" w:hAnsi="Verdana"/>
          <w:b/>
          <w:sz w:val="18"/>
          <w:szCs w:val="18"/>
        </w:rPr>
        <w:t>Kern van de maatregel</w:t>
      </w:r>
    </w:p>
    <w:p w:rsidRPr="00B1347E" w:rsidR="00E371B1" w:rsidP="00E371B1" w:rsidRDefault="00E371B1" w14:paraId="6E8F8F31" w14:textId="67235486">
      <w:pPr>
        <w:rPr>
          <w:rFonts w:ascii="Verdana" w:hAnsi="Verdana"/>
          <w:sz w:val="18"/>
          <w:szCs w:val="18"/>
        </w:rPr>
      </w:pPr>
      <w:r w:rsidRPr="00B1347E">
        <w:rPr>
          <w:rFonts w:ascii="Verdana" w:hAnsi="Verdana"/>
          <w:sz w:val="18"/>
          <w:szCs w:val="18"/>
        </w:rPr>
        <w:t>Het kabinet stelt voor om vanaf 2028 in box 3 belasting te heffen over het werkelijke rendement op vermogen van belastingplichtigen via een vermogensaanwasbelasting (</w:t>
      </w:r>
      <w:proofErr w:type="spellStart"/>
      <w:r w:rsidRPr="00B1347E">
        <w:rPr>
          <w:rFonts w:ascii="Verdana" w:hAnsi="Verdana"/>
          <w:sz w:val="18"/>
          <w:szCs w:val="18"/>
        </w:rPr>
        <w:t>vab</w:t>
      </w:r>
      <w:proofErr w:type="spellEnd"/>
      <w:r w:rsidRPr="00B1347E">
        <w:rPr>
          <w:rFonts w:ascii="Verdana" w:hAnsi="Verdana"/>
          <w:sz w:val="18"/>
          <w:szCs w:val="18"/>
        </w:rPr>
        <w:t xml:space="preserve">) als hoofdregel. </w:t>
      </w:r>
      <w:r w:rsidRPr="00B1347E" w:rsidR="00EE69BA">
        <w:rPr>
          <w:rFonts w:ascii="Verdana" w:hAnsi="Verdana"/>
          <w:sz w:val="18"/>
          <w:szCs w:val="18"/>
        </w:rPr>
        <w:t xml:space="preserve">Dat betekent dat directe inkomsten, zoals huur, rente en dividend, én waardeontwikkelingen jaarlijks worden belast en dat bepaalde kosten kunnen worden afgetrokken. </w:t>
      </w:r>
      <w:r w:rsidRPr="00B1347E">
        <w:rPr>
          <w:rFonts w:ascii="Verdana" w:hAnsi="Verdana"/>
          <w:sz w:val="18"/>
          <w:szCs w:val="18"/>
        </w:rPr>
        <w:t>Een</w:t>
      </w:r>
      <w:r w:rsidRPr="00B1347E" w:rsidR="00EE69BA">
        <w:rPr>
          <w:rFonts w:ascii="Verdana" w:hAnsi="Verdana"/>
          <w:sz w:val="18"/>
          <w:szCs w:val="18"/>
        </w:rPr>
        <w:t xml:space="preserve"> belangrijke</w:t>
      </w:r>
      <w:r w:rsidRPr="00B1347E">
        <w:rPr>
          <w:rFonts w:ascii="Verdana" w:hAnsi="Verdana"/>
          <w:sz w:val="18"/>
          <w:szCs w:val="18"/>
        </w:rPr>
        <w:t xml:space="preserve"> uitzondering op deze hoofdregel geldt voor onroerende zaken en aandelen in </w:t>
      </w:r>
      <w:proofErr w:type="spellStart"/>
      <w:r w:rsidRPr="00B1347E">
        <w:rPr>
          <w:rFonts w:ascii="Verdana" w:hAnsi="Verdana"/>
          <w:sz w:val="18"/>
          <w:szCs w:val="18"/>
        </w:rPr>
        <w:t>start-ups</w:t>
      </w:r>
      <w:proofErr w:type="spellEnd"/>
      <w:r w:rsidRPr="00B1347E">
        <w:rPr>
          <w:rFonts w:ascii="Verdana" w:hAnsi="Verdana"/>
          <w:sz w:val="18"/>
          <w:szCs w:val="18"/>
        </w:rPr>
        <w:t xml:space="preserve">: </w:t>
      </w:r>
      <w:r w:rsidR="00770F41">
        <w:rPr>
          <w:rFonts w:ascii="Verdana" w:hAnsi="Verdana"/>
          <w:sz w:val="18"/>
          <w:szCs w:val="18"/>
        </w:rPr>
        <w:t xml:space="preserve">daarvoor geldt een vermogenswinstbelasting. Bij een vermogenswinstbelasting wordt </w:t>
      </w:r>
      <w:r w:rsidRPr="00B1347E" w:rsidR="00EE69BA">
        <w:rPr>
          <w:rFonts w:ascii="Verdana" w:hAnsi="Verdana"/>
          <w:sz w:val="18"/>
          <w:szCs w:val="18"/>
        </w:rPr>
        <w:t>de waardeontwikkeling</w:t>
      </w:r>
      <w:r w:rsidRPr="00B1347E">
        <w:rPr>
          <w:rFonts w:ascii="Verdana" w:hAnsi="Verdana"/>
          <w:sz w:val="18"/>
          <w:szCs w:val="18"/>
        </w:rPr>
        <w:t xml:space="preserve"> </w:t>
      </w:r>
      <w:r w:rsidR="00770F41">
        <w:rPr>
          <w:rFonts w:ascii="Verdana" w:hAnsi="Verdana"/>
          <w:sz w:val="18"/>
          <w:szCs w:val="18"/>
        </w:rPr>
        <w:t>belast</w:t>
      </w:r>
      <w:r w:rsidRPr="00B1347E" w:rsidR="00EE69BA">
        <w:rPr>
          <w:rFonts w:ascii="Verdana" w:hAnsi="Verdana"/>
          <w:sz w:val="18"/>
          <w:szCs w:val="18"/>
        </w:rPr>
        <w:t xml:space="preserve"> op</w:t>
      </w:r>
      <w:r w:rsidRPr="00B1347E">
        <w:rPr>
          <w:rFonts w:ascii="Verdana" w:hAnsi="Verdana"/>
          <w:sz w:val="18"/>
          <w:szCs w:val="18"/>
        </w:rPr>
        <w:t xml:space="preserve"> basis van </w:t>
      </w:r>
      <w:r w:rsidR="00770F41">
        <w:rPr>
          <w:rFonts w:ascii="Verdana" w:hAnsi="Verdana"/>
          <w:sz w:val="18"/>
          <w:szCs w:val="18"/>
        </w:rPr>
        <w:t>het realisatiebeginsel.</w:t>
      </w:r>
      <w:r w:rsidRPr="00B1347E" w:rsidR="00EE69BA">
        <w:rPr>
          <w:rFonts w:ascii="Verdana" w:hAnsi="Verdana"/>
          <w:sz w:val="18"/>
          <w:szCs w:val="18"/>
        </w:rPr>
        <w:t xml:space="preserve"> </w:t>
      </w:r>
      <w:r w:rsidR="00770F41">
        <w:rPr>
          <w:rFonts w:ascii="Verdana" w:hAnsi="Verdana"/>
          <w:sz w:val="18"/>
          <w:szCs w:val="18"/>
        </w:rPr>
        <w:t>D</w:t>
      </w:r>
      <w:r w:rsidRPr="00B1347E" w:rsidR="00EE69BA">
        <w:rPr>
          <w:rFonts w:ascii="Verdana" w:hAnsi="Verdana"/>
          <w:sz w:val="18"/>
          <w:szCs w:val="18"/>
        </w:rPr>
        <w:t xml:space="preserve">at wil zeggen </w:t>
      </w:r>
      <w:r w:rsidR="00770F41">
        <w:rPr>
          <w:rFonts w:ascii="Verdana" w:hAnsi="Verdana"/>
          <w:sz w:val="18"/>
          <w:szCs w:val="18"/>
        </w:rPr>
        <w:t>dat d</w:t>
      </w:r>
      <w:r w:rsidR="009E7A57">
        <w:rPr>
          <w:rFonts w:ascii="Verdana" w:hAnsi="Verdana"/>
          <w:sz w:val="18"/>
          <w:szCs w:val="18"/>
        </w:rPr>
        <w:t>e waardeontwikkeling</w:t>
      </w:r>
      <w:r w:rsidR="00770F41">
        <w:rPr>
          <w:rFonts w:ascii="Verdana" w:hAnsi="Verdana"/>
          <w:sz w:val="18"/>
          <w:szCs w:val="18"/>
        </w:rPr>
        <w:t xml:space="preserve"> </w:t>
      </w:r>
      <w:r w:rsidRPr="00B1347E" w:rsidR="00EE69BA">
        <w:rPr>
          <w:rFonts w:ascii="Verdana" w:hAnsi="Verdana"/>
          <w:sz w:val="18"/>
          <w:szCs w:val="18"/>
        </w:rPr>
        <w:t>op het moment van vervreemding</w:t>
      </w:r>
      <w:r w:rsidRPr="00B1347E">
        <w:rPr>
          <w:rFonts w:ascii="Verdana" w:hAnsi="Verdana"/>
          <w:sz w:val="18"/>
          <w:szCs w:val="18"/>
        </w:rPr>
        <w:t xml:space="preserve"> in de belastingheffing </w:t>
      </w:r>
      <w:r w:rsidR="0056021D">
        <w:rPr>
          <w:rFonts w:ascii="Verdana" w:hAnsi="Verdana"/>
          <w:sz w:val="18"/>
          <w:szCs w:val="18"/>
        </w:rPr>
        <w:t xml:space="preserve">wordt </w:t>
      </w:r>
      <w:r w:rsidRPr="00B1347E">
        <w:rPr>
          <w:rFonts w:ascii="Verdana" w:hAnsi="Verdana"/>
          <w:sz w:val="18"/>
          <w:szCs w:val="18"/>
        </w:rPr>
        <w:t xml:space="preserve">betrokken. </w:t>
      </w:r>
      <w:r w:rsidRPr="00B1347E" w:rsidR="00EE69BA">
        <w:rPr>
          <w:rFonts w:ascii="Verdana" w:hAnsi="Verdana"/>
          <w:sz w:val="18"/>
          <w:szCs w:val="18"/>
        </w:rPr>
        <w:t>De eerste € 1.800 aan</w:t>
      </w:r>
      <w:r w:rsidR="009E7A57">
        <w:rPr>
          <w:rFonts w:ascii="Verdana" w:hAnsi="Verdana"/>
          <w:sz w:val="18"/>
          <w:szCs w:val="18"/>
        </w:rPr>
        <w:t xml:space="preserve"> werkelijk</w:t>
      </w:r>
      <w:r w:rsidRPr="00B1347E" w:rsidR="00EE69BA">
        <w:rPr>
          <w:rFonts w:ascii="Verdana" w:hAnsi="Verdana"/>
          <w:sz w:val="18"/>
          <w:szCs w:val="18"/>
        </w:rPr>
        <w:t xml:space="preserve"> rendement is vrijgesteld, dat is het heffing</w:t>
      </w:r>
      <w:r w:rsidR="009E7A57">
        <w:rPr>
          <w:rFonts w:ascii="Verdana" w:hAnsi="Verdana"/>
          <w:sz w:val="18"/>
          <w:szCs w:val="18"/>
        </w:rPr>
        <w:t>s</w:t>
      </w:r>
      <w:r w:rsidRPr="00B1347E" w:rsidR="00EE69BA">
        <w:rPr>
          <w:rFonts w:ascii="Verdana" w:hAnsi="Verdana"/>
          <w:sz w:val="18"/>
          <w:szCs w:val="18"/>
        </w:rPr>
        <w:t>vrije resultaat. Verliezen kunnen onbeperkt met toekomstige jaren worden verrekend, voor zover zij de verliesdrempel van € 500 overschrijden. Het tarief blijft 36%.</w:t>
      </w:r>
    </w:p>
    <w:p w:rsidRPr="00B1347E" w:rsidR="00E371B1" w:rsidP="00E371B1" w:rsidRDefault="00E371B1" w14:paraId="2A07EF39" w14:textId="77777777">
      <w:pPr>
        <w:rPr>
          <w:rFonts w:ascii="Verdana" w:hAnsi="Verdana"/>
          <w:sz w:val="18"/>
          <w:szCs w:val="18"/>
        </w:rPr>
      </w:pPr>
    </w:p>
    <w:p w:rsidRPr="00B1347E" w:rsidR="00E371B1" w:rsidP="00E371B1" w:rsidRDefault="00E371B1" w14:paraId="14753C3F" w14:textId="77777777">
      <w:pPr>
        <w:rPr>
          <w:rFonts w:ascii="Verdana" w:hAnsi="Verdana"/>
          <w:b/>
          <w:sz w:val="18"/>
          <w:szCs w:val="18"/>
        </w:rPr>
      </w:pPr>
      <w:r w:rsidRPr="00B1347E">
        <w:rPr>
          <w:rFonts w:ascii="Verdana" w:hAnsi="Verdana"/>
          <w:b/>
          <w:sz w:val="18"/>
          <w:szCs w:val="18"/>
        </w:rPr>
        <w:t>Kern van de raming</w:t>
      </w:r>
    </w:p>
    <w:p w:rsidR="00EF5B61" w:rsidP="00B66039" w:rsidRDefault="007534ED" w14:paraId="66E0F8DF" w14:textId="16685BC4">
      <w:pPr>
        <w:rPr>
          <w:rFonts w:ascii="Verdana" w:hAnsi="Verdana"/>
          <w:bCs/>
          <w:sz w:val="18"/>
          <w:szCs w:val="18"/>
        </w:rPr>
      </w:pPr>
      <w:r w:rsidRPr="00B1347E">
        <w:rPr>
          <w:rFonts w:ascii="Verdana" w:hAnsi="Verdana"/>
          <w:bCs/>
          <w:sz w:val="18"/>
          <w:szCs w:val="18"/>
        </w:rPr>
        <w:t xml:space="preserve">Het </w:t>
      </w:r>
      <w:r w:rsidR="00B1347E">
        <w:rPr>
          <w:rFonts w:ascii="Verdana" w:hAnsi="Verdana"/>
          <w:bCs/>
          <w:sz w:val="18"/>
          <w:szCs w:val="18"/>
        </w:rPr>
        <w:t xml:space="preserve">geraamde </w:t>
      </w:r>
      <w:r w:rsidRPr="00B1347E">
        <w:rPr>
          <w:rFonts w:ascii="Verdana" w:hAnsi="Verdana"/>
          <w:bCs/>
          <w:sz w:val="18"/>
          <w:szCs w:val="18"/>
        </w:rPr>
        <w:t xml:space="preserve">budgettaire effect </w:t>
      </w:r>
      <w:r w:rsidRPr="00B1347E" w:rsidR="00C87D0D">
        <w:rPr>
          <w:rFonts w:ascii="Verdana" w:hAnsi="Verdana"/>
          <w:bCs/>
          <w:sz w:val="18"/>
          <w:szCs w:val="18"/>
        </w:rPr>
        <w:t xml:space="preserve">voor de inkomstenkant </w:t>
      </w:r>
      <w:r w:rsidRPr="00B1347E">
        <w:rPr>
          <w:rFonts w:ascii="Verdana" w:hAnsi="Verdana"/>
          <w:bCs/>
          <w:sz w:val="18"/>
          <w:szCs w:val="18"/>
        </w:rPr>
        <w:t>is</w:t>
      </w:r>
      <w:r w:rsidRPr="00B1347E" w:rsidR="00790C9A">
        <w:rPr>
          <w:rFonts w:ascii="Verdana" w:hAnsi="Verdana"/>
          <w:bCs/>
          <w:sz w:val="18"/>
          <w:szCs w:val="18"/>
        </w:rPr>
        <w:t xml:space="preserve"> getoond in Tabel 1.</w:t>
      </w:r>
      <w:r w:rsidR="00B1347E">
        <w:rPr>
          <w:rFonts w:ascii="Verdana" w:hAnsi="Verdana"/>
          <w:bCs/>
          <w:sz w:val="18"/>
          <w:szCs w:val="18"/>
        </w:rPr>
        <w:t xml:space="preserve"> </w:t>
      </w:r>
      <w:r w:rsidR="00200CA9">
        <w:rPr>
          <w:rFonts w:ascii="Verdana" w:hAnsi="Verdana"/>
          <w:bCs/>
          <w:sz w:val="18"/>
          <w:szCs w:val="18"/>
        </w:rPr>
        <w:t>Deze toelichting ziet dus niet op de uitvoeringskosten van het wetsvoorstel</w:t>
      </w:r>
      <w:r w:rsidR="002D5F5C">
        <w:rPr>
          <w:rFonts w:ascii="Verdana" w:hAnsi="Verdana"/>
          <w:bCs/>
          <w:sz w:val="18"/>
          <w:szCs w:val="18"/>
        </w:rPr>
        <w:t>.</w:t>
      </w:r>
      <w:r w:rsidR="00200CA9">
        <w:rPr>
          <w:rFonts w:ascii="Verdana" w:hAnsi="Verdana"/>
          <w:bCs/>
          <w:sz w:val="18"/>
          <w:szCs w:val="18"/>
        </w:rPr>
        <w:t xml:space="preserve"> </w:t>
      </w:r>
      <w:r w:rsidRPr="00B1347E" w:rsidR="00790C9A">
        <w:rPr>
          <w:rFonts w:ascii="Verdana" w:hAnsi="Verdana"/>
          <w:bCs/>
          <w:sz w:val="18"/>
          <w:szCs w:val="18"/>
        </w:rPr>
        <w:t>De raming is</w:t>
      </w:r>
      <w:r w:rsidRPr="00B1347E">
        <w:rPr>
          <w:rFonts w:ascii="Verdana" w:hAnsi="Verdana"/>
          <w:bCs/>
          <w:sz w:val="18"/>
          <w:szCs w:val="18"/>
        </w:rPr>
        <w:t xml:space="preserve">, zoals altijd, het verschil in opbrengst met het </w:t>
      </w:r>
      <w:proofErr w:type="spellStart"/>
      <w:r w:rsidRPr="00B1347E">
        <w:rPr>
          <w:rFonts w:ascii="Verdana" w:hAnsi="Verdana"/>
          <w:bCs/>
          <w:sz w:val="18"/>
          <w:szCs w:val="18"/>
        </w:rPr>
        <w:t>basispad</w:t>
      </w:r>
      <w:proofErr w:type="spellEnd"/>
      <w:r w:rsidRPr="00B1347E">
        <w:rPr>
          <w:rFonts w:ascii="Verdana" w:hAnsi="Verdana"/>
          <w:bCs/>
          <w:sz w:val="18"/>
          <w:szCs w:val="18"/>
        </w:rPr>
        <w:t>.</w:t>
      </w:r>
      <w:r w:rsidR="00B1347E">
        <w:rPr>
          <w:rFonts w:ascii="Verdana" w:hAnsi="Verdana"/>
          <w:bCs/>
          <w:sz w:val="18"/>
          <w:szCs w:val="18"/>
        </w:rPr>
        <w:t xml:space="preserve"> </w:t>
      </w:r>
      <w:r w:rsidR="00EF5B61">
        <w:rPr>
          <w:rFonts w:ascii="Verdana" w:hAnsi="Verdana"/>
          <w:bCs/>
          <w:sz w:val="18"/>
          <w:szCs w:val="18"/>
        </w:rPr>
        <w:t xml:space="preserve">Het </w:t>
      </w:r>
      <w:proofErr w:type="spellStart"/>
      <w:r w:rsidR="00EF5B61">
        <w:rPr>
          <w:rFonts w:ascii="Verdana" w:hAnsi="Verdana"/>
          <w:bCs/>
          <w:sz w:val="18"/>
          <w:szCs w:val="18"/>
        </w:rPr>
        <w:t>basispad</w:t>
      </w:r>
      <w:proofErr w:type="spellEnd"/>
      <w:r w:rsidR="00EF5B61">
        <w:rPr>
          <w:rFonts w:ascii="Verdana" w:hAnsi="Verdana"/>
          <w:bCs/>
          <w:sz w:val="18"/>
          <w:szCs w:val="18"/>
        </w:rPr>
        <w:t xml:space="preserve"> gaat vanaf 2028 uit van </w:t>
      </w:r>
      <w:r w:rsidRPr="00B1347E" w:rsidR="00EF5B61">
        <w:rPr>
          <w:rFonts w:ascii="Verdana" w:hAnsi="Verdana"/>
          <w:bCs/>
          <w:sz w:val="18"/>
          <w:szCs w:val="18"/>
        </w:rPr>
        <w:t>het oude box 3-stelsel uit 2017</w:t>
      </w:r>
      <w:r w:rsidR="00EF5B61">
        <w:rPr>
          <w:rFonts w:ascii="Verdana" w:hAnsi="Verdana"/>
          <w:bCs/>
          <w:sz w:val="18"/>
          <w:szCs w:val="18"/>
        </w:rPr>
        <w:t xml:space="preserve">. Dit betekent dat de opbrengst van </w:t>
      </w:r>
      <w:r w:rsidR="00EF5B61">
        <w:rPr>
          <w:rFonts w:ascii="Verdana" w:hAnsi="Verdana" w:eastAsia="Times New Roman" w:cs="Arial"/>
          <w:sz w:val="18"/>
          <w:szCs w:val="18"/>
        </w:rPr>
        <w:t>h</w:t>
      </w:r>
      <w:r w:rsidRPr="00EA6587" w:rsidR="00EF5B61">
        <w:rPr>
          <w:rFonts w:ascii="Verdana" w:hAnsi="Verdana" w:eastAsia="Times New Roman" w:cs="Arial"/>
          <w:sz w:val="18"/>
          <w:szCs w:val="18"/>
        </w:rPr>
        <w:t xml:space="preserve">et nieuwe stelsel dus niet </w:t>
      </w:r>
      <w:r w:rsidR="00EF5B61">
        <w:rPr>
          <w:rFonts w:ascii="Verdana" w:hAnsi="Verdana" w:eastAsia="Times New Roman" w:cs="Arial"/>
          <w:sz w:val="18"/>
          <w:szCs w:val="18"/>
        </w:rPr>
        <w:t xml:space="preserve">wordt </w:t>
      </w:r>
      <w:r w:rsidRPr="00EA6587" w:rsidR="00EF5B61">
        <w:rPr>
          <w:rFonts w:ascii="Verdana" w:hAnsi="Verdana" w:eastAsia="Times New Roman" w:cs="Arial"/>
          <w:sz w:val="18"/>
          <w:szCs w:val="18"/>
        </w:rPr>
        <w:t>vergeleken met het box 3-stelsel zoals dat door de Overbruggingswet box 3</w:t>
      </w:r>
      <w:r w:rsidR="00EF5B61">
        <w:rPr>
          <w:rFonts w:ascii="Verdana" w:hAnsi="Verdana" w:eastAsia="Times New Roman" w:cs="Arial"/>
          <w:sz w:val="18"/>
          <w:szCs w:val="18"/>
        </w:rPr>
        <w:t xml:space="preserve"> en de Wet tegenbewijsregeling</w:t>
      </w:r>
      <w:r w:rsidRPr="00EA6587" w:rsidR="00EF5B61">
        <w:rPr>
          <w:rFonts w:ascii="Verdana" w:hAnsi="Verdana" w:eastAsia="Times New Roman" w:cs="Arial"/>
          <w:sz w:val="18"/>
          <w:szCs w:val="18"/>
        </w:rPr>
        <w:t xml:space="preserve"> is komen te luiden</w:t>
      </w:r>
      <w:r w:rsidR="00EF5B61">
        <w:rPr>
          <w:rFonts w:ascii="Verdana" w:hAnsi="Verdana" w:eastAsia="Times New Roman" w:cs="Arial"/>
          <w:sz w:val="18"/>
          <w:szCs w:val="18"/>
        </w:rPr>
        <w:t>; de derving die hiermee gepaard gaat is namelijk als tijdelijk ingeboekt.</w:t>
      </w:r>
      <w:r w:rsidRPr="00EF5B61" w:rsidR="00EF5B61">
        <w:rPr>
          <w:rFonts w:ascii="Verdana" w:hAnsi="Verdana"/>
          <w:bCs/>
          <w:sz w:val="18"/>
          <w:szCs w:val="18"/>
        </w:rPr>
        <w:t xml:space="preserve"> </w:t>
      </w:r>
      <w:r w:rsidR="00EF5B61">
        <w:rPr>
          <w:rFonts w:ascii="Verdana" w:hAnsi="Verdana"/>
          <w:bCs/>
          <w:sz w:val="18"/>
          <w:szCs w:val="18"/>
        </w:rPr>
        <w:t xml:space="preserve">Het </w:t>
      </w:r>
      <w:proofErr w:type="spellStart"/>
      <w:r w:rsidR="00EF5B61">
        <w:rPr>
          <w:rFonts w:ascii="Verdana" w:hAnsi="Verdana"/>
          <w:bCs/>
          <w:sz w:val="18"/>
          <w:szCs w:val="18"/>
        </w:rPr>
        <w:t>basispad</w:t>
      </w:r>
      <w:proofErr w:type="spellEnd"/>
      <w:r w:rsidR="00EF5B61">
        <w:rPr>
          <w:rFonts w:ascii="Verdana" w:hAnsi="Verdana"/>
          <w:bCs/>
          <w:sz w:val="18"/>
          <w:szCs w:val="18"/>
        </w:rPr>
        <w:t xml:space="preserve"> is wél gecorrigeerd voor structurele wijzigingen </w:t>
      </w:r>
      <w:r w:rsidRPr="00B1347E" w:rsidR="00EF5B61">
        <w:rPr>
          <w:rFonts w:ascii="Verdana" w:hAnsi="Verdana"/>
          <w:bCs/>
          <w:sz w:val="18"/>
          <w:szCs w:val="18"/>
        </w:rPr>
        <w:t xml:space="preserve">in box 3 </w:t>
      </w:r>
      <w:r w:rsidR="00EF5B61">
        <w:rPr>
          <w:rFonts w:ascii="Verdana" w:hAnsi="Verdana"/>
          <w:bCs/>
          <w:sz w:val="18"/>
          <w:szCs w:val="18"/>
        </w:rPr>
        <w:t>waar in de tussentijd toe is besloten</w:t>
      </w:r>
      <w:r w:rsidRPr="00B1347E" w:rsidR="00EF5B61">
        <w:rPr>
          <w:rFonts w:ascii="Verdana" w:hAnsi="Verdana"/>
          <w:bCs/>
          <w:sz w:val="18"/>
          <w:szCs w:val="18"/>
        </w:rPr>
        <w:t xml:space="preserve">. Dit zijn de actualisatie van de </w:t>
      </w:r>
      <w:proofErr w:type="spellStart"/>
      <w:r w:rsidRPr="00B1347E" w:rsidR="00EF5B61">
        <w:rPr>
          <w:rFonts w:ascii="Verdana" w:hAnsi="Verdana"/>
          <w:bCs/>
          <w:sz w:val="18"/>
          <w:szCs w:val="18"/>
        </w:rPr>
        <w:t>leegwaarderatiotabel</w:t>
      </w:r>
      <w:proofErr w:type="spellEnd"/>
      <w:r w:rsidRPr="00B1347E" w:rsidR="00EF5B61">
        <w:rPr>
          <w:rFonts w:ascii="Verdana" w:hAnsi="Verdana"/>
          <w:bCs/>
          <w:sz w:val="18"/>
          <w:szCs w:val="18"/>
        </w:rPr>
        <w:t xml:space="preserve">, aanpassingen in het tarief en </w:t>
      </w:r>
      <w:proofErr w:type="spellStart"/>
      <w:r w:rsidRPr="00B1347E" w:rsidR="00EF5B61">
        <w:rPr>
          <w:rFonts w:ascii="Verdana" w:hAnsi="Verdana"/>
          <w:bCs/>
          <w:sz w:val="18"/>
          <w:szCs w:val="18"/>
        </w:rPr>
        <w:t>heffingvrije</w:t>
      </w:r>
      <w:proofErr w:type="spellEnd"/>
      <w:r w:rsidRPr="00B1347E" w:rsidR="00EF5B61">
        <w:rPr>
          <w:rFonts w:ascii="Verdana" w:hAnsi="Verdana"/>
          <w:bCs/>
          <w:sz w:val="18"/>
          <w:szCs w:val="18"/>
        </w:rPr>
        <w:t xml:space="preserve"> vermogen in 2023 en 2024 en versobering en afschaffing van de groenbeleggingsregelingen zoals geamendeerd is in </w:t>
      </w:r>
      <w:r w:rsidR="00EF5B61">
        <w:rPr>
          <w:rFonts w:ascii="Verdana" w:hAnsi="Verdana"/>
          <w:bCs/>
          <w:sz w:val="18"/>
          <w:szCs w:val="18"/>
        </w:rPr>
        <w:t xml:space="preserve">het </w:t>
      </w:r>
      <w:r w:rsidRPr="00B1347E" w:rsidR="00EF5B61">
        <w:rPr>
          <w:rFonts w:ascii="Verdana" w:hAnsi="Verdana"/>
          <w:bCs/>
          <w:sz w:val="18"/>
          <w:szCs w:val="18"/>
        </w:rPr>
        <w:t xml:space="preserve">Belastingplan 2025. </w:t>
      </w:r>
    </w:p>
    <w:p w:rsidR="00EF5B61" w:rsidP="00B66039" w:rsidRDefault="00EF5B61" w14:paraId="10A5CC6E" w14:textId="77777777">
      <w:pPr>
        <w:rPr>
          <w:rFonts w:ascii="Verdana" w:hAnsi="Verdana"/>
          <w:bCs/>
          <w:sz w:val="18"/>
          <w:szCs w:val="18"/>
        </w:rPr>
      </w:pPr>
    </w:p>
    <w:p w:rsidRPr="00B1347E" w:rsidR="003E65FC" w:rsidP="00E371B1" w:rsidRDefault="00B1347E" w14:paraId="21CB35A1" w14:textId="372582FE">
      <w:pPr>
        <w:rPr>
          <w:rFonts w:ascii="Verdana" w:hAnsi="Verdana"/>
          <w:bCs/>
          <w:sz w:val="18"/>
          <w:szCs w:val="18"/>
        </w:rPr>
      </w:pPr>
      <w:r>
        <w:rPr>
          <w:rFonts w:ascii="Verdana" w:hAnsi="Verdana"/>
          <w:bCs/>
          <w:sz w:val="18"/>
          <w:szCs w:val="18"/>
        </w:rPr>
        <w:t xml:space="preserve">Figuur 1 toont de geraamde box 3-opbrengst per jaar van het wetsvoorstel en van het </w:t>
      </w:r>
      <w:proofErr w:type="spellStart"/>
      <w:r>
        <w:rPr>
          <w:rFonts w:ascii="Verdana" w:hAnsi="Verdana"/>
          <w:bCs/>
          <w:sz w:val="18"/>
          <w:szCs w:val="18"/>
        </w:rPr>
        <w:t>basispad</w:t>
      </w:r>
      <w:proofErr w:type="spellEnd"/>
      <w:r>
        <w:rPr>
          <w:rFonts w:ascii="Verdana" w:hAnsi="Verdana"/>
          <w:bCs/>
          <w:sz w:val="18"/>
          <w:szCs w:val="18"/>
        </w:rPr>
        <w:t xml:space="preserve"> afzonderlijk.</w:t>
      </w:r>
      <w:r w:rsidRPr="00B1347E">
        <w:rPr>
          <w:rFonts w:ascii="Verdana" w:hAnsi="Verdana"/>
          <w:bCs/>
          <w:sz w:val="18"/>
          <w:szCs w:val="18"/>
        </w:rPr>
        <w:t xml:space="preserve"> </w:t>
      </w:r>
      <w:r w:rsidRPr="00B1347E" w:rsidR="00EE5497">
        <w:rPr>
          <w:rFonts w:ascii="Verdana" w:hAnsi="Verdana"/>
          <w:bCs/>
          <w:sz w:val="18"/>
          <w:szCs w:val="18"/>
        </w:rPr>
        <w:t>De</w:t>
      </w:r>
      <w:r w:rsidRPr="00B1347E" w:rsidR="00790C9A">
        <w:rPr>
          <w:rFonts w:ascii="Verdana" w:hAnsi="Verdana"/>
          <w:bCs/>
          <w:sz w:val="18"/>
          <w:szCs w:val="18"/>
        </w:rPr>
        <w:t xml:space="preserve"> opbrengsten uit het nieuwe stelsel kunnen in werkelijkheid meer fluctueren dan in Tabel 1</w:t>
      </w:r>
      <w:r>
        <w:rPr>
          <w:rFonts w:ascii="Verdana" w:hAnsi="Verdana"/>
          <w:bCs/>
          <w:sz w:val="18"/>
          <w:szCs w:val="18"/>
        </w:rPr>
        <w:t xml:space="preserve"> en Figuur 1</w:t>
      </w:r>
      <w:r w:rsidRPr="00B1347E" w:rsidR="00790C9A">
        <w:rPr>
          <w:rFonts w:ascii="Verdana" w:hAnsi="Verdana"/>
          <w:bCs/>
          <w:sz w:val="18"/>
          <w:szCs w:val="18"/>
        </w:rPr>
        <w:t xml:space="preserve">, afhankelijk van de ontwikkeling van de markten. Deze raming gaat uit van een gemiddelde van goede en slechte jaren. </w:t>
      </w:r>
      <w:r w:rsidR="003E65FC">
        <w:rPr>
          <w:rFonts w:ascii="Verdana" w:hAnsi="Verdana"/>
          <w:bCs/>
          <w:sz w:val="18"/>
          <w:szCs w:val="18"/>
        </w:rPr>
        <w:t xml:space="preserve">Het cumulatieve budgettaire effect tot en met 2033 is € 678 miljoen aan de inkomstenkant. </w:t>
      </w:r>
      <w:r w:rsidR="002D5F5C">
        <w:rPr>
          <w:rFonts w:ascii="Verdana" w:hAnsi="Verdana"/>
          <w:bCs/>
          <w:sz w:val="18"/>
          <w:szCs w:val="18"/>
        </w:rPr>
        <w:t xml:space="preserve">Deze opbrengst wordt ingezet om de uitvoeringskosten te dekken van € 664 miljoen tot </w:t>
      </w:r>
      <w:r w:rsidR="00B66039">
        <w:rPr>
          <w:rFonts w:ascii="Verdana" w:hAnsi="Verdana"/>
          <w:bCs/>
          <w:sz w:val="18"/>
          <w:szCs w:val="18"/>
        </w:rPr>
        <w:t xml:space="preserve">en met </w:t>
      </w:r>
      <w:r w:rsidR="002D5F5C">
        <w:rPr>
          <w:rFonts w:ascii="Verdana" w:hAnsi="Verdana"/>
          <w:bCs/>
          <w:sz w:val="18"/>
          <w:szCs w:val="18"/>
        </w:rPr>
        <w:t>2033.</w:t>
      </w:r>
    </w:p>
    <w:p w:rsidRPr="00B1347E" w:rsidR="007534ED" w:rsidP="00E371B1" w:rsidRDefault="007534ED" w14:paraId="6B824C4D" w14:textId="77777777">
      <w:pPr>
        <w:rPr>
          <w:rFonts w:ascii="Verdana" w:hAnsi="Verdana"/>
          <w:bCs/>
          <w:sz w:val="18"/>
          <w:szCs w:val="18"/>
        </w:rPr>
      </w:pPr>
    </w:p>
    <w:p w:rsidRPr="00B1347E" w:rsidR="00E371B1" w:rsidP="00B1347E" w:rsidRDefault="00E371B1" w14:paraId="428D020E" w14:textId="53871CEF">
      <w:pPr>
        <w:rPr>
          <w:rFonts w:ascii="Verdana" w:hAnsi="Verdana"/>
          <w:i/>
          <w:iCs/>
          <w:sz w:val="18"/>
          <w:szCs w:val="18"/>
        </w:rPr>
      </w:pPr>
      <w:r w:rsidRPr="00B1347E">
        <w:rPr>
          <w:rFonts w:ascii="Verdana" w:hAnsi="Verdana"/>
          <w:i/>
          <w:iCs/>
          <w:sz w:val="18"/>
          <w:szCs w:val="18"/>
        </w:rPr>
        <w:t xml:space="preserve">Tabel </w:t>
      </w:r>
      <w:r w:rsidRPr="00B1347E">
        <w:rPr>
          <w:rFonts w:ascii="Verdana" w:hAnsi="Verdana"/>
          <w:i/>
          <w:iCs/>
          <w:sz w:val="18"/>
          <w:szCs w:val="18"/>
        </w:rPr>
        <w:fldChar w:fldCharType="begin"/>
      </w:r>
      <w:r w:rsidRPr="00B1347E">
        <w:rPr>
          <w:rFonts w:ascii="Verdana" w:hAnsi="Verdana"/>
          <w:i/>
          <w:iCs/>
          <w:sz w:val="18"/>
          <w:szCs w:val="18"/>
        </w:rPr>
        <w:instrText xml:space="preserve"> SEQ Tabel \* ARABIC </w:instrText>
      </w:r>
      <w:r w:rsidRPr="00B1347E">
        <w:rPr>
          <w:rFonts w:ascii="Verdana" w:hAnsi="Verdana"/>
          <w:i/>
          <w:iCs/>
          <w:sz w:val="18"/>
          <w:szCs w:val="18"/>
        </w:rPr>
        <w:fldChar w:fldCharType="separate"/>
      </w:r>
      <w:r w:rsidR="00606C4E">
        <w:rPr>
          <w:rFonts w:ascii="Verdana" w:hAnsi="Verdana"/>
          <w:i/>
          <w:iCs/>
          <w:noProof/>
          <w:sz w:val="18"/>
          <w:szCs w:val="18"/>
        </w:rPr>
        <w:t>1</w:t>
      </w:r>
      <w:r w:rsidRPr="00B1347E">
        <w:rPr>
          <w:rFonts w:ascii="Verdana" w:hAnsi="Verdana"/>
          <w:i/>
          <w:iCs/>
          <w:sz w:val="18"/>
          <w:szCs w:val="18"/>
        </w:rPr>
        <w:fldChar w:fldCharType="end"/>
      </w:r>
      <w:r w:rsidRPr="00B1347E">
        <w:rPr>
          <w:rFonts w:ascii="Verdana" w:hAnsi="Verdana"/>
          <w:i/>
          <w:iCs/>
          <w:sz w:val="18"/>
          <w:szCs w:val="18"/>
        </w:rPr>
        <w:t xml:space="preserve">: </w:t>
      </w:r>
      <w:r w:rsidR="00B1347E">
        <w:rPr>
          <w:rFonts w:ascii="Verdana" w:hAnsi="Verdana"/>
          <w:i/>
          <w:iCs/>
          <w:sz w:val="18"/>
          <w:szCs w:val="18"/>
        </w:rPr>
        <w:t>Het</w:t>
      </w:r>
      <w:r w:rsidRPr="00B1347E">
        <w:rPr>
          <w:rFonts w:ascii="Verdana" w:hAnsi="Verdana"/>
          <w:i/>
          <w:iCs/>
          <w:sz w:val="18"/>
          <w:szCs w:val="18"/>
        </w:rPr>
        <w:t xml:space="preserve"> geraamde budgettaire </w:t>
      </w:r>
      <w:r w:rsidR="00B1347E">
        <w:rPr>
          <w:rFonts w:ascii="Verdana" w:hAnsi="Verdana"/>
          <w:i/>
          <w:iCs/>
          <w:sz w:val="18"/>
          <w:szCs w:val="18"/>
        </w:rPr>
        <w:t>effect</w:t>
      </w:r>
      <w:r w:rsidRPr="00B1347E">
        <w:rPr>
          <w:rFonts w:ascii="Verdana" w:hAnsi="Verdana"/>
          <w:i/>
          <w:iCs/>
          <w:sz w:val="18"/>
          <w:szCs w:val="18"/>
        </w:rPr>
        <w:t xml:space="preserve"> in miljoenen euro's (prijzen 2025).</w:t>
      </w:r>
      <w:r w:rsidR="00200CA9">
        <w:rPr>
          <w:rFonts w:ascii="Verdana" w:hAnsi="Verdana"/>
          <w:i/>
          <w:iCs/>
          <w:sz w:val="18"/>
          <w:szCs w:val="18"/>
        </w:rPr>
        <w:t xml:space="preserve"> Dit is het effect aan de inkomstenkant. Uitvoeringskosten zitten hier niet bij in. </w:t>
      </w:r>
    </w:p>
    <w:tbl>
      <w:tblPr>
        <w:tblStyle w:val="Onopgemaaktetabel2"/>
        <w:tblpPr w:leftFromText="141" w:rightFromText="141" w:vertAnchor="text" w:horzAnchor="margin" w:tblpY="46"/>
        <w:tblW w:w="9072" w:type="dxa"/>
        <w:tblLook w:val="04A0" w:firstRow="1" w:lastRow="0" w:firstColumn="1" w:lastColumn="0" w:noHBand="0" w:noVBand="1"/>
      </w:tblPr>
      <w:tblGrid>
        <w:gridCol w:w="1288"/>
        <w:gridCol w:w="480"/>
        <w:gridCol w:w="740"/>
        <w:gridCol w:w="728"/>
        <w:gridCol w:w="728"/>
        <w:gridCol w:w="728"/>
        <w:gridCol w:w="728"/>
        <w:gridCol w:w="728"/>
        <w:gridCol w:w="728"/>
        <w:gridCol w:w="728"/>
        <w:gridCol w:w="728"/>
        <w:gridCol w:w="740"/>
      </w:tblGrid>
      <w:tr w:rsidRPr="00B1347E" w:rsidR="00FF0FC5" w:rsidTr="00FF0FC5" w14:paraId="77FB0574" w14:textId="77777777">
        <w:trPr>
          <w:cnfStyle w:val="100000000000" w:firstRow="1" w:lastRow="0" w:firstColumn="0" w:lastColumn="0" w:oddVBand="0" w:evenVBand="0" w:oddHBand="0"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288" w:type="dxa"/>
          </w:tcPr>
          <w:p w:rsidRPr="00B1347E" w:rsidR="00FF0FC5" w:rsidP="00FF0FC5" w:rsidRDefault="00FF0FC5" w14:paraId="357C6722" w14:textId="77777777">
            <w:pPr>
              <w:spacing w:line="240" w:lineRule="atLeast"/>
              <w:rPr>
                <w:rFonts w:ascii="Verdana" w:hAnsi="Verdana" w:eastAsia="Times New Roman" w:cs="Times New Roman"/>
                <w:sz w:val="18"/>
                <w:szCs w:val="18"/>
                <w:lang w:eastAsia="nl-NL"/>
              </w:rPr>
            </w:pPr>
            <w:r w:rsidRPr="00B1347E">
              <w:rPr>
                <w:rFonts w:ascii="Verdana" w:hAnsi="Verdana" w:eastAsia="Times New Roman" w:cs="Times New Roman"/>
                <w:sz w:val="18"/>
                <w:szCs w:val="18"/>
                <w:lang w:eastAsia="nl-NL"/>
              </w:rPr>
              <w:t>Jaar</w:t>
            </w:r>
          </w:p>
        </w:tc>
        <w:tc>
          <w:tcPr>
            <w:tcW w:w="480" w:type="dxa"/>
          </w:tcPr>
          <w:p w:rsidRPr="00B1347E" w:rsidR="00FF0FC5" w:rsidP="00FF0FC5" w:rsidRDefault="00FF0FC5" w14:paraId="008D5E18" w14:textId="77777777">
            <w:pPr>
              <w:spacing w:line="240" w:lineRule="atLeast"/>
              <w:cnfStyle w:val="100000000000" w:firstRow="1" w:lastRow="0" w:firstColumn="0" w:lastColumn="0" w:oddVBand="0" w:evenVBand="0" w:oddHBand="0" w:evenHBand="0" w:firstRowFirstColumn="0" w:firstRowLastColumn="0" w:lastRowFirstColumn="0" w:lastRowLastColumn="0"/>
              <w:rPr>
                <w:rFonts w:ascii="Verdana" w:hAnsi="Verdana" w:eastAsia="Times New Roman" w:cs="Times New Roman"/>
                <w:sz w:val="18"/>
                <w:szCs w:val="18"/>
                <w:lang w:eastAsia="nl-NL"/>
              </w:rPr>
            </w:pPr>
          </w:p>
        </w:tc>
        <w:tc>
          <w:tcPr>
            <w:tcW w:w="740" w:type="dxa"/>
          </w:tcPr>
          <w:p w:rsidRPr="00B1347E" w:rsidR="00FF0FC5" w:rsidP="00FF0FC5" w:rsidRDefault="00FF0FC5" w14:paraId="4A5F70EC" w14:textId="77777777">
            <w:pPr>
              <w:spacing w:line="240" w:lineRule="atLeast"/>
              <w:cnfStyle w:val="100000000000" w:firstRow="1" w:lastRow="0" w:firstColumn="0" w:lastColumn="0" w:oddVBand="0" w:evenVBand="0" w:oddHBand="0" w:evenHBand="0" w:firstRowFirstColumn="0" w:firstRowLastColumn="0" w:lastRowFirstColumn="0" w:lastRowLastColumn="0"/>
              <w:rPr>
                <w:rFonts w:ascii="Verdana" w:hAnsi="Verdana" w:eastAsia="Times New Roman" w:cs="Times New Roman"/>
                <w:sz w:val="18"/>
                <w:szCs w:val="18"/>
                <w:lang w:eastAsia="nl-NL"/>
              </w:rPr>
            </w:pPr>
            <w:r w:rsidRPr="00B1347E">
              <w:rPr>
                <w:rFonts w:ascii="Verdana" w:hAnsi="Verdana" w:eastAsia="Times New Roman" w:cs="Times New Roman"/>
                <w:sz w:val="18"/>
                <w:szCs w:val="18"/>
                <w:lang w:eastAsia="nl-NL"/>
              </w:rPr>
              <w:t>2028</w:t>
            </w:r>
          </w:p>
        </w:tc>
        <w:tc>
          <w:tcPr>
            <w:tcW w:w="728" w:type="dxa"/>
          </w:tcPr>
          <w:p w:rsidRPr="00B1347E" w:rsidR="00FF0FC5" w:rsidP="00FF0FC5" w:rsidRDefault="00FF0FC5" w14:paraId="4A7BDC09" w14:textId="77777777">
            <w:pPr>
              <w:spacing w:line="240" w:lineRule="atLeast"/>
              <w:cnfStyle w:val="100000000000" w:firstRow="1" w:lastRow="0" w:firstColumn="0" w:lastColumn="0" w:oddVBand="0" w:evenVBand="0" w:oddHBand="0" w:evenHBand="0" w:firstRowFirstColumn="0" w:firstRowLastColumn="0" w:lastRowFirstColumn="0" w:lastRowLastColumn="0"/>
              <w:rPr>
                <w:rFonts w:ascii="Verdana" w:hAnsi="Verdana" w:eastAsia="Times New Roman" w:cs="Times New Roman"/>
                <w:sz w:val="18"/>
                <w:szCs w:val="18"/>
                <w:lang w:eastAsia="nl-NL"/>
              </w:rPr>
            </w:pPr>
            <w:r w:rsidRPr="00B1347E">
              <w:rPr>
                <w:rFonts w:ascii="Verdana" w:hAnsi="Verdana" w:eastAsia="Times New Roman" w:cs="Times New Roman"/>
                <w:sz w:val="18"/>
                <w:szCs w:val="18"/>
                <w:lang w:eastAsia="nl-NL"/>
              </w:rPr>
              <w:t>2029</w:t>
            </w:r>
          </w:p>
        </w:tc>
        <w:tc>
          <w:tcPr>
            <w:tcW w:w="728" w:type="dxa"/>
          </w:tcPr>
          <w:p w:rsidRPr="00B1347E" w:rsidR="00FF0FC5" w:rsidP="00FF0FC5" w:rsidRDefault="00FF0FC5" w14:paraId="0CB52375" w14:textId="77777777">
            <w:pPr>
              <w:spacing w:line="240" w:lineRule="atLeast"/>
              <w:cnfStyle w:val="100000000000" w:firstRow="1" w:lastRow="0" w:firstColumn="0" w:lastColumn="0" w:oddVBand="0" w:evenVBand="0" w:oddHBand="0" w:evenHBand="0" w:firstRowFirstColumn="0" w:firstRowLastColumn="0" w:lastRowFirstColumn="0" w:lastRowLastColumn="0"/>
              <w:rPr>
                <w:rFonts w:ascii="Verdana" w:hAnsi="Verdana" w:eastAsia="Times New Roman" w:cs="Times New Roman"/>
                <w:sz w:val="18"/>
                <w:szCs w:val="18"/>
                <w:lang w:eastAsia="nl-NL"/>
              </w:rPr>
            </w:pPr>
            <w:r w:rsidRPr="00B1347E">
              <w:rPr>
                <w:rFonts w:ascii="Verdana" w:hAnsi="Verdana" w:eastAsia="Times New Roman" w:cs="Times New Roman"/>
                <w:sz w:val="18"/>
                <w:szCs w:val="18"/>
                <w:lang w:eastAsia="nl-NL"/>
              </w:rPr>
              <w:t>2030</w:t>
            </w:r>
          </w:p>
        </w:tc>
        <w:tc>
          <w:tcPr>
            <w:tcW w:w="728" w:type="dxa"/>
          </w:tcPr>
          <w:p w:rsidRPr="00B1347E" w:rsidR="00FF0FC5" w:rsidP="00FF0FC5" w:rsidRDefault="00FF0FC5" w14:paraId="1C1DFF58" w14:textId="77777777">
            <w:pPr>
              <w:spacing w:line="240" w:lineRule="atLeast"/>
              <w:cnfStyle w:val="100000000000" w:firstRow="1" w:lastRow="0" w:firstColumn="0" w:lastColumn="0" w:oddVBand="0" w:evenVBand="0" w:oddHBand="0" w:evenHBand="0" w:firstRowFirstColumn="0" w:firstRowLastColumn="0" w:lastRowFirstColumn="0" w:lastRowLastColumn="0"/>
              <w:rPr>
                <w:rFonts w:ascii="Verdana" w:hAnsi="Verdana" w:eastAsia="Times New Roman" w:cs="Times New Roman"/>
                <w:sz w:val="18"/>
                <w:szCs w:val="18"/>
                <w:lang w:eastAsia="nl-NL"/>
              </w:rPr>
            </w:pPr>
            <w:r w:rsidRPr="00B1347E">
              <w:rPr>
                <w:rFonts w:ascii="Verdana" w:hAnsi="Verdana" w:eastAsia="Times New Roman" w:cs="Times New Roman"/>
                <w:sz w:val="18"/>
                <w:szCs w:val="18"/>
                <w:lang w:eastAsia="nl-NL"/>
              </w:rPr>
              <w:t>2031</w:t>
            </w:r>
          </w:p>
        </w:tc>
        <w:tc>
          <w:tcPr>
            <w:tcW w:w="728" w:type="dxa"/>
          </w:tcPr>
          <w:p w:rsidRPr="00B1347E" w:rsidR="00FF0FC5" w:rsidP="00FF0FC5" w:rsidRDefault="00FF0FC5" w14:paraId="45D9A384" w14:textId="77777777">
            <w:pPr>
              <w:spacing w:line="240" w:lineRule="atLeast"/>
              <w:cnfStyle w:val="100000000000" w:firstRow="1" w:lastRow="0" w:firstColumn="0" w:lastColumn="0" w:oddVBand="0" w:evenVBand="0" w:oddHBand="0" w:evenHBand="0" w:firstRowFirstColumn="0" w:firstRowLastColumn="0" w:lastRowFirstColumn="0" w:lastRowLastColumn="0"/>
              <w:rPr>
                <w:rFonts w:ascii="Verdana" w:hAnsi="Verdana" w:eastAsia="Times New Roman" w:cs="Times New Roman"/>
                <w:sz w:val="18"/>
                <w:szCs w:val="18"/>
                <w:lang w:eastAsia="nl-NL"/>
              </w:rPr>
            </w:pPr>
            <w:r w:rsidRPr="00B1347E">
              <w:rPr>
                <w:rFonts w:ascii="Verdana" w:hAnsi="Verdana" w:eastAsia="Times New Roman" w:cs="Times New Roman"/>
                <w:sz w:val="18"/>
                <w:szCs w:val="18"/>
                <w:lang w:eastAsia="nl-NL"/>
              </w:rPr>
              <w:t>2032</w:t>
            </w:r>
          </w:p>
        </w:tc>
        <w:tc>
          <w:tcPr>
            <w:tcW w:w="728" w:type="dxa"/>
          </w:tcPr>
          <w:p w:rsidRPr="00B1347E" w:rsidR="00FF0FC5" w:rsidP="00FF0FC5" w:rsidRDefault="00FF0FC5" w14:paraId="4962E2E8" w14:textId="77777777">
            <w:pPr>
              <w:spacing w:line="240" w:lineRule="atLeast"/>
              <w:cnfStyle w:val="100000000000" w:firstRow="1" w:lastRow="0" w:firstColumn="0" w:lastColumn="0" w:oddVBand="0" w:evenVBand="0" w:oddHBand="0" w:evenHBand="0" w:firstRowFirstColumn="0" w:firstRowLastColumn="0" w:lastRowFirstColumn="0" w:lastRowLastColumn="0"/>
              <w:rPr>
                <w:rFonts w:ascii="Verdana" w:hAnsi="Verdana" w:eastAsia="Times New Roman" w:cs="Times New Roman"/>
                <w:sz w:val="18"/>
                <w:szCs w:val="18"/>
                <w:lang w:eastAsia="nl-NL"/>
              </w:rPr>
            </w:pPr>
            <w:r w:rsidRPr="00B1347E">
              <w:rPr>
                <w:rFonts w:ascii="Verdana" w:hAnsi="Verdana" w:eastAsia="Times New Roman" w:cs="Times New Roman"/>
                <w:sz w:val="18"/>
                <w:szCs w:val="18"/>
                <w:lang w:eastAsia="nl-NL"/>
              </w:rPr>
              <w:t>2033</w:t>
            </w:r>
          </w:p>
        </w:tc>
        <w:tc>
          <w:tcPr>
            <w:tcW w:w="728" w:type="dxa"/>
          </w:tcPr>
          <w:p w:rsidRPr="00B1347E" w:rsidR="00FF0FC5" w:rsidP="00FF0FC5" w:rsidRDefault="00FF0FC5" w14:paraId="71A7C3F5" w14:textId="77777777">
            <w:pPr>
              <w:spacing w:line="240" w:lineRule="atLeast"/>
              <w:cnfStyle w:val="100000000000" w:firstRow="1" w:lastRow="0" w:firstColumn="0" w:lastColumn="0" w:oddVBand="0" w:evenVBand="0" w:oddHBand="0" w:evenHBand="0" w:firstRowFirstColumn="0" w:firstRowLastColumn="0" w:lastRowFirstColumn="0" w:lastRowLastColumn="0"/>
              <w:rPr>
                <w:rFonts w:ascii="Verdana" w:hAnsi="Verdana" w:eastAsia="Times New Roman" w:cs="Times New Roman"/>
                <w:sz w:val="18"/>
                <w:szCs w:val="18"/>
                <w:lang w:eastAsia="nl-NL"/>
              </w:rPr>
            </w:pPr>
            <w:r w:rsidRPr="00B1347E">
              <w:rPr>
                <w:rFonts w:ascii="Verdana" w:hAnsi="Verdana" w:eastAsia="Times New Roman" w:cs="Times New Roman"/>
                <w:sz w:val="18"/>
                <w:szCs w:val="18"/>
                <w:lang w:eastAsia="nl-NL"/>
              </w:rPr>
              <w:t>2034</w:t>
            </w:r>
          </w:p>
        </w:tc>
        <w:tc>
          <w:tcPr>
            <w:tcW w:w="728" w:type="dxa"/>
          </w:tcPr>
          <w:p w:rsidRPr="00B1347E" w:rsidR="00FF0FC5" w:rsidP="00FF0FC5" w:rsidRDefault="00FF0FC5" w14:paraId="4C157A80" w14:textId="77777777">
            <w:pPr>
              <w:spacing w:line="240" w:lineRule="atLeast"/>
              <w:cnfStyle w:val="100000000000" w:firstRow="1" w:lastRow="0" w:firstColumn="0" w:lastColumn="0" w:oddVBand="0" w:evenVBand="0" w:oddHBand="0" w:evenHBand="0" w:firstRowFirstColumn="0" w:firstRowLastColumn="0" w:lastRowFirstColumn="0" w:lastRowLastColumn="0"/>
              <w:rPr>
                <w:rFonts w:ascii="Verdana" w:hAnsi="Verdana" w:eastAsia="Times New Roman" w:cs="Times New Roman"/>
                <w:sz w:val="18"/>
                <w:szCs w:val="18"/>
                <w:lang w:eastAsia="nl-NL"/>
              </w:rPr>
            </w:pPr>
            <w:r w:rsidRPr="00B1347E">
              <w:rPr>
                <w:rFonts w:ascii="Verdana" w:hAnsi="Verdana" w:eastAsia="Times New Roman" w:cs="Times New Roman"/>
                <w:sz w:val="18"/>
                <w:szCs w:val="18"/>
                <w:lang w:eastAsia="nl-NL"/>
              </w:rPr>
              <w:t>2035</w:t>
            </w:r>
          </w:p>
        </w:tc>
        <w:tc>
          <w:tcPr>
            <w:tcW w:w="728" w:type="dxa"/>
          </w:tcPr>
          <w:p w:rsidRPr="00B1347E" w:rsidR="00FF0FC5" w:rsidP="00FF0FC5" w:rsidRDefault="00FF0FC5" w14:paraId="6F095AF0" w14:textId="77777777">
            <w:pPr>
              <w:spacing w:line="240" w:lineRule="atLeast"/>
              <w:cnfStyle w:val="100000000000" w:firstRow="1" w:lastRow="0" w:firstColumn="0" w:lastColumn="0" w:oddVBand="0" w:evenVBand="0" w:oddHBand="0" w:evenHBand="0" w:firstRowFirstColumn="0" w:firstRowLastColumn="0" w:lastRowFirstColumn="0" w:lastRowLastColumn="0"/>
              <w:rPr>
                <w:rFonts w:ascii="Verdana" w:hAnsi="Verdana" w:eastAsia="Times New Roman" w:cs="Times New Roman"/>
                <w:sz w:val="18"/>
                <w:szCs w:val="18"/>
                <w:lang w:eastAsia="nl-NL"/>
              </w:rPr>
            </w:pPr>
            <w:r w:rsidRPr="00B1347E">
              <w:rPr>
                <w:rFonts w:ascii="Verdana" w:hAnsi="Verdana" w:eastAsia="Times New Roman" w:cs="Times New Roman"/>
                <w:sz w:val="18"/>
                <w:szCs w:val="18"/>
                <w:lang w:eastAsia="nl-NL"/>
              </w:rPr>
              <w:t>2036</w:t>
            </w:r>
          </w:p>
        </w:tc>
        <w:tc>
          <w:tcPr>
            <w:tcW w:w="740" w:type="dxa"/>
          </w:tcPr>
          <w:p w:rsidRPr="00B1347E" w:rsidR="00FF0FC5" w:rsidP="00FF0FC5" w:rsidRDefault="00FF0FC5" w14:paraId="54F28C3E" w14:textId="77777777">
            <w:pPr>
              <w:spacing w:line="240" w:lineRule="atLeast"/>
              <w:cnfStyle w:val="100000000000" w:firstRow="1" w:lastRow="0" w:firstColumn="0" w:lastColumn="0" w:oddVBand="0" w:evenVBand="0" w:oddHBand="0" w:evenHBand="0" w:firstRowFirstColumn="0" w:firstRowLastColumn="0" w:lastRowFirstColumn="0" w:lastRowLastColumn="0"/>
              <w:rPr>
                <w:rFonts w:ascii="Verdana" w:hAnsi="Verdana" w:eastAsia="Times New Roman" w:cs="Times New Roman"/>
                <w:sz w:val="18"/>
                <w:szCs w:val="18"/>
                <w:lang w:eastAsia="nl-NL"/>
              </w:rPr>
            </w:pPr>
            <w:proofErr w:type="spellStart"/>
            <w:proofErr w:type="gramStart"/>
            <w:r w:rsidRPr="00B1347E">
              <w:rPr>
                <w:rFonts w:ascii="Verdana" w:hAnsi="Verdana" w:eastAsia="Times New Roman" w:cs="Times New Roman"/>
                <w:sz w:val="18"/>
                <w:szCs w:val="18"/>
                <w:lang w:eastAsia="nl-NL"/>
              </w:rPr>
              <w:t>struc</w:t>
            </w:r>
            <w:proofErr w:type="spellEnd"/>
            <w:proofErr w:type="gramEnd"/>
          </w:p>
        </w:tc>
      </w:tr>
      <w:tr w:rsidRPr="00B1347E" w:rsidR="00FF0FC5" w:rsidTr="00FF0FC5" w14:paraId="1962D195" w14:textId="77777777">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288" w:type="dxa"/>
          </w:tcPr>
          <w:p w:rsidRPr="00B1347E" w:rsidR="00FF0FC5" w:rsidP="00FF0FC5" w:rsidRDefault="00FF0FC5" w14:paraId="740D38A9" w14:textId="77777777">
            <w:pPr>
              <w:spacing w:line="240" w:lineRule="atLeast"/>
              <w:rPr>
                <w:rFonts w:ascii="Verdana" w:hAnsi="Verdana" w:eastAsia="Times New Roman" w:cs="Times New Roman"/>
                <w:sz w:val="18"/>
                <w:szCs w:val="18"/>
                <w:lang w:eastAsia="nl-NL"/>
              </w:rPr>
            </w:pPr>
            <w:r w:rsidRPr="00B1347E">
              <w:rPr>
                <w:rFonts w:ascii="Verdana" w:hAnsi="Verdana" w:eastAsia="Times New Roman" w:cs="Times New Roman"/>
                <w:sz w:val="18"/>
                <w:szCs w:val="18"/>
                <w:lang w:eastAsia="nl-NL"/>
              </w:rPr>
              <w:t xml:space="preserve">Budgettair </w:t>
            </w:r>
          </w:p>
        </w:tc>
        <w:tc>
          <w:tcPr>
            <w:tcW w:w="480" w:type="dxa"/>
          </w:tcPr>
          <w:p w:rsidRPr="00B1347E" w:rsidR="00FF0FC5" w:rsidP="00FF0FC5" w:rsidRDefault="00FF0FC5" w14:paraId="3A439F9C" w14:textId="77777777">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8"/>
                <w:szCs w:val="18"/>
                <w:lang w:eastAsia="nl-NL"/>
              </w:rPr>
            </w:pPr>
          </w:p>
        </w:tc>
        <w:tc>
          <w:tcPr>
            <w:tcW w:w="740" w:type="dxa"/>
          </w:tcPr>
          <w:p w:rsidRPr="00B1347E" w:rsidR="00FF0FC5" w:rsidP="00FF0FC5" w:rsidRDefault="00FF0FC5" w14:paraId="4F4EF305" w14:textId="77777777">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sz w:val="18"/>
                <w:szCs w:val="18"/>
                <w:lang w:eastAsia="nl-NL"/>
              </w:rPr>
            </w:pPr>
            <w:r w:rsidRPr="00B1347E">
              <w:rPr>
                <w:rFonts w:ascii="Verdana" w:hAnsi="Verdana" w:eastAsia="Times New Roman" w:cs="Calibri"/>
                <w:color w:val="000000"/>
                <w:sz w:val="18"/>
                <w:szCs w:val="18"/>
                <w:lang w:eastAsia="nl-NL"/>
              </w:rPr>
              <w:t>1.006</w:t>
            </w:r>
          </w:p>
        </w:tc>
        <w:tc>
          <w:tcPr>
            <w:tcW w:w="728" w:type="dxa"/>
          </w:tcPr>
          <w:p w:rsidRPr="00B1347E" w:rsidR="00FF0FC5" w:rsidP="00FF0FC5" w:rsidRDefault="00FF0FC5" w14:paraId="22CDEE5F" w14:textId="77777777">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sz w:val="18"/>
                <w:szCs w:val="18"/>
                <w:lang w:eastAsia="nl-NL"/>
              </w:rPr>
            </w:pPr>
            <w:r w:rsidRPr="00B1347E">
              <w:rPr>
                <w:rFonts w:ascii="Verdana" w:hAnsi="Verdana" w:eastAsia="Times New Roman" w:cs="Calibri"/>
                <w:color w:val="000000"/>
                <w:sz w:val="18"/>
                <w:szCs w:val="18"/>
                <w:lang w:eastAsia="nl-NL"/>
              </w:rPr>
              <w:t>70</w:t>
            </w:r>
          </w:p>
        </w:tc>
        <w:tc>
          <w:tcPr>
            <w:tcW w:w="728" w:type="dxa"/>
          </w:tcPr>
          <w:p w:rsidRPr="00B1347E" w:rsidR="00FF0FC5" w:rsidP="00FF0FC5" w:rsidRDefault="00FF0FC5" w14:paraId="513E6709" w14:textId="77777777">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sz w:val="18"/>
                <w:szCs w:val="18"/>
                <w:lang w:eastAsia="nl-NL"/>
              </w:rPr>
            </w:pPr>
            <w:r w:rsidRPr="00B1347E">
              <w:rPr>
                <w:rFonts w:ascii="Verdana" w:hAnsi="Verdana" w:eastAsia="Times New Roman" w:cs="Calibri"/>
                <w:color w:val="000000"/>
                <w:sz w:val="18"/>
                <w:szCs w:val="18"/>
                <w:lang w:eastAsia="nl-NL"/>
              </w:rPr>
              <w:t>-122</w:t>
            </w:r>
          </w:p>
        </w:tc>
        <w:tc>
          <w:tcPr>
            <w:tcW w:w="728" w:type="dxa"/>
          </w:tcPr>
          <w:p w:rsidRPr="00B1347E" w:rsidR="00FF0FC5" w:rsidP="00FF0FC5" w:rsidRDefault="00FF0FC5" w14:paraId="6203AAC5" w14:textId="77777777">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sz w:val="18"/>
                <w:szCs w:val="18"/>
                <w:lang w:eastAsia="nl-NL"/>
              </w:rPr>
            </w:pPr>
            <w:r w:rsidRPr="00B1347E">
              <w:rPr>
                <w:rFonts w:ascii="Verdana" w:hAnsi="Verdana" w:eastAsia="Times New Roman" w:cs="Calibri"/>
                <w:color w:val="000000"/>
                <w:sz w:val="18"/>
                <w:szCs w:val="18"/>
                <w:lang w:eastAsia="nl-NL"/>
              </w:rPr>
              <w:t>-167</w:t>
            </w:r>
          </w:p>
        </w:tc>
        <w:tc>
          <w:tcPr>
            <w:tcW w:w="728" w:type="dxa"/>
          </w:tcPr>
          <w:p w:rsidRPr="00B1347E" w:rsidR="00FF0FC5" w:rsidP="00FF0FC5" w:rsidRDefault="00FF0FC5" w14:paraId="41BB33FD" w14:textId="77777777">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sz w:val="18"/>
                <w:szCs w:val="18"/>
                <w:lang w:eastAsia="nl-NL"/>
              </w:rPr>
            </w:pPr>
            <w:r w:rsidRPr="00B1347E">
              <w:rPr>
                <w:rFonts w:ascii="Verdana" w:hAnsi="Verdana" w:eastAsia="Times New Roman" w:cs="Calibri"/>
                <w:color w:val="000000"/>
                <w:sz w:val="18"/>
                <w:szCs w:val="18"/>
                <w:lang w:eastAsia="nl-NL"/>
              </w:rPr>
              <w:t>-96</w:t>
            </w:r>
          </w:p>
        </w:tc>
        <w:tc>
          <w:tcPr>
            <w:tcW w:w="728" w:type="dxa"/>
          </w:tcPr>
          <w:p w:rsidRPr="00B1347E" w:rsidR="00FF0FC5" w:rsidP="00FF0FC5" w:rsidRDefault="00FF0FC5" w14:paraId="45C64461" w14:textId="77777777">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sz w:val="18"/>
                <w:szCs w:val="18"/>
                <w:lang w:eastAsia="nl-NL"/>
              </w:rPr>
            </w:pPr>
            <w:r w:rsidRPr="00B1347E">
              <w:rPr>
                <w:rFonts w:ascii="Verdana" w:hAnsi="Verdana" w:eastAsia="Times New Roman" w:cs="Calibri"/>
                <w:color w:val="000000"/>
                <w:sz w:val="18"/>
                <w:szCs w:val="18"/>
                <w:lang w:eastAsia="nl-NL"/>
              </w:rPr>
              <w:t>-13</w:t>
            </w:r>
          </w:p>
        </w:tc>
        <w:tc>
          <w:tcPr>
            <w:tcW w:w="728" w:type="dxa"/>
          </w:tcPr>
          <w:p w:rsidRPr="00B1347E" w:rsidR="00FF0FC5" w:rsidP="00FF0FC5" w:rsidRDefault="00FF0FC5" w14:paraId="623A246A" w14:textId="77777777">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sz w:val="18"/>
                <w:szCs w:val="18"/>
                <w:lang w:eastAsia="nl-NL"/>
              </w:rPr>
            </w:pPr>
            <w:r w:rsidRPr="00B1347E">
              <w:rPr>
                <w:rFonts w:ascii="Verdana" w:hAnsi="Verdana" w:eastAsia="Times New Roman" w:cs="Calibri"/>
                <w:color w:val="000000"/>
                <w:sz w:val="18"/>
                <w:szCs w:val="18"/>
                <w:lang w:eastAsia="nl-NL"/>
              </w:rPr>
              <w:t>82</w:t>
            </w:r>
          </w:p>
        </w:tc>
        <w:tc>
          <w:tcPr>
            <w:tcW w:w="728" w:type="dxa"/>
          </w:tcPr>
          <w:p w:rsidRPr="00B1347E" w:rsidR="00FF0FC5" w:rsidP="00FF0FC5" w:rsidRDefault="00FF0FC5" w14:paraId="6B93D4EA" w14:textId="77777777">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sz w:val="18"/>
                <w:szCs w:val="18"/>
                <w:lang w:eastAsia="nl-NL"/>
              </w:rPr>
            </w:pPr>
            <w:r w:rsidRPr="00B1347E">
              <w:rPr>
                <w:rFonts w:ascii="Verdana" w:hAnsi="Verdana" w:eastAsia="Times New Roman" w:cs="Calibri"/>
                <w:color w:val="000000"/>
                <w:sz w:val="18"/>
                <w:szCs w:val="18"/>
                <w:lang w:eastAsia="nl-NL"/>
              </w:rPr>
              <w:t>169</w:t>
            </w:r>
          </w:p>
        </w:tc>
        <w:tc>
          <w:tcPr>
            <w:tcW w:w="728" w:type="dxa"/>
          </w:tcPr>
          <w:p w:rsidRPr="00B1347E" w:rsidR="00FF0FC5" w:rsidP="00FF0FC5" w:rsidRDefault="00FF0FC5" w14:paraId="215C101E" w14:textId="77777777">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sz w:val="18"/>
                <w:szCs w:val="18"/>
                <w:lang w:eastAsia="nl-NL"/>
              </w:rPr>
            </w:pPr>
            <w:r w:rsidRPr="00B1347E">
              <w:rPr>
                <w:rFonts w:ascii="Verdana" w:hAnsi="Verdana" w:eastAsia="Times New Roman" w:cs="Calibri"/>
                <w:color w:val="000000"/>
                <w:sz w:val="18"/>
                <w:szCs w:val="18"/>
                <w:lang w:eastAsia="nl-NL"/>
              </w:rPr>
              <w:t>279</w:t>
            </w:r>
          </w:p>
        </w:tc>
        <w:tc>
          <w:tcPr>
            <w:tcW w:w="740" w:type="dxa"/>
          </w:tcPr>
          <w:p w:rsidRPr="00B1347E" w:rsidR="00FF0FC5" w:rsidP="00FF0FC5" w:rsidRDefault="00FF0FC5" w14:paraId="63E31328" w14:textId="77777777">
            <w:pPr>
              <w:spacing w:line="240" w:lineRule="atLeast"/>
              <w:jc w:val="center"/>
              <w:cnfStyle w:val="000000100000" w:firstRow="0" w:lastRow="0" w:firstColumn="0" w:lastColumn="0" w:oddVBand="0" w:evenVBand="0" w:oddHBand="1" w:evenHBand="0" w:firstRowFirstColumn="0" w:firstRowLastColumn="0" w:lastRowFirstColumn="0" w:lastRowLastColumn="0"/>
              <w:rPr>
                <w:rFonts w:ascii="Verdana" w:hAnsi="Verdana" w:eastAsia="Times New Roman" w:cs="Times New Roman"/>
                <w:sz w:val="18"/>
                <w:szCs w:val="18"/>
                <w:lang w:eastAsia="nl-NL"/>
              </w:rPr>
            </w:pPr>
            <w:r w:rsidRPr="00B1347E">
              <w:rPr>
                <w:rFonts w:ascii="Verdana" w:hAnsi="Verdana" w:eastAsia="Times New Roman" w:cs="Times New Roman"/>
                <w:sz w:val="18"/>
                <w:szCs w:val="18"/>
                <w:lang w:eastAsia="nl-NL"/>
              </w:rPr>
              <w:t>1.897</w:t>
            </w:r>
          </w:p>
        </w:tc>
      </w:tr>
    </w:tbl>
    <w:p w:rsidRPr="00B1347E" w:rsidR="00E371B1" w:rsidP="00E371B1" w:rsidRDefault="00E371B1" w14:paraId="199966D1" w14:textId="77777777">
      <w:pPr>
        <w:keepNext/>
        <w:rPr>
          <w:rFonts w:ascii="Verdana" w:hAnsi="Verdana"/>
          <w:sz w:val="18"/>
          <w:szCs w:val="18"/>
        </w:rPr>
      </w:pPr>
    </w:p>
    <w:p w:rsidRPr="00B1347E" w:rsidR="00B1347E" w:rsidP="00B1347E" w:rsidRDefault="00B1347E" w14:paraId="35C914CF" w14:textId="583CA40E">
      <w:pPr>
        <w:rPr>
          <w:rFonts w:ascii="Verdana" w:hAnsi="Verdana"/>
          <w:i/>
          <w:iCs/>
          <w:sz w:val="18"/>
          <w:szCs w:val="18"/>
        </w:rPr>
      </w:pPr>
      <w:r w:rsidRPr="00B1347E">
        <w:rPr>
          <w:rFonts w:ascii="Verdana" w:hAnsi="Verdana"/>
          <w:i/>
          <w:iCs/>
          <w:sz w:val="18"/>
          <w:szCs w:val="18"/>
        </w:rPr>
        <w:t xml:space="preserve">Figuur </w:t>
      </w:r>
      <w:r w:rsidRPr="00B1347E">
        <w:rPr>
          <w:rFonts w:ascii="Verdana" w:hAnsi="Verdana"/>
          <w:i/>
          <w:iCs/>
          <w:sz w:val="18"/>
          <w:szCs w:val="18"/>
        </w:rPr>
        <w:fldChar w:fldCharType="begin"/>
      </w:r>
      <w:r w:rsidRPr="00B1347E">
        <w:rPr>
          <w:rFonts w:ascii="Verdana" w:hAnsi="Verdana"/>
          <w:i/>
          <w:iCs/>
          <w:sz w:val="18"/>
          <w:szCs w:val="18"/>
        </w:rPr>
        <w:instrText xml:space="preserve"> SEQ Figuur \* ARABIC </w:instrText>
      </w:r>
      <w:r w:rsidRPr="00B1347E">
        <w:rPr>
          <w:rFonts w:ascii="Verdana" w:hAnsi="Verdana"/>
          <w:i/>
          <w:iCs/>
          <w:sz w:val="18"/>
          <w:szCs w:val="18"/>
        </w:rPr>
        <w:fldChar w:fldCharType="separate"/>
      </w:r>
      <w:r w:rsidR="00606C4E">
        <w:rPr>
          <w:rFonts w:ascii="Verdana" w:hAnsi="Verdana"/>
          <w:i/>
          <w:iCs/>
          <w:noProof/>
          <w:sz w:val="18"/>
          <w:szCs w:val="18"/>
        </w:rPr>
        <w:t>1</w:t>
      </w:r>
      <w:r w:rsidRPr="00B1347E">
        <w:rPr>
          <w:rFonts w:ascii="Verdana" w:hAnsi="Verdana"/>
          <w:i/>
          <w:iCs/>
          <w:sz w:val="18"/>
          <w:szCs w:val="18"/>
        </w:rPr>
        <w:fldChar w:fldCharType="end"/>
      </w:r>
      <w:r w:rsidRPr="00B1347E">
        <w:rPr>
          <w:rFonts w:ascii="Verdana" w:hAnsi="Verdana"/>
          <w:i/>
          <w:iCs/>
          <w:sz w:val="18"/>
          <w:szCs w:val="18"/>
        </w:rPr>
        <w:t xml:space="preserve">: De geraamde opbrengst van het wetsvoorstel en van het </w:t>
      </w:r>
      <w:proofErr w:type="spellStart"/>
      <w:r w:rsidRPr="00B1347E">
        <w:rPr>
          <w:rFonts w:ascii="Verdana" w:hAnsi="Verdana"/>
          <w:i/>
          <w:iCs/>
          <w:sz w:val="18"/>
          <w:szCs w:val="18"/>
        </w:rPr>
        <w:t>basispad</w:t>
      </w:r>
      <w:proofErr w:type="spellEnd"/>
      <w:r w:rsidRPr="00B1347E">
        <w:rPr>
          <w:rFonts w:ascii="Verdana" w:hAnsi="Verdana"/>
          <w:i/>
          <w:iCs/>
          <w:sz w:val="18"/>
          <w:szCs w:val="18"/>
        </w:rPr>
        <w:t xml:space="preserve"> per jaar</w:t>
      </w:r>
      <w:r>
        <w:rPr>
          <w:rFonts w:ascii="Verdana" w:hAnsi="Verdana"/>
          <w:i/>
          <w:iCs/>
          <w:sz w:val="18"/>
          <w:szCs w:val="18"/>
        </w:rPr>
        <w:t xml:space="preserve"> (€ </w:t>
      </w:r>
      <w:proofErr w:type="spellStart"/>
      <w:r>
        <w:rPr>
          <w:rFonts w:ascii="Verdana" w:hAnsi="Verdana"/>
          <w:i/>
          <w:iCs/>
          <w:sz w:val="18"/>
          <w:szCs w:val="18"/>
        </w:rPr>
        <w:t>mln</w:t>
      </w:r>
      <w:proofErr w:type="spellEnd"/>
      <w:r>
        <w:rPr>
          <w:rFonts w:ascii="Verdana" w:hAnsi="Verdana"/>
          <w:i/>
          <w:iCs/>
          <w:sz w:val="18"/>
          <w:szCs w:val="18"/>
        </w:rPr>
        <w:t>)</w:t>
      </w:r>
      <w:r w:rsidRPr="00FF0FC5" w:rsidR="00FF0FC5">
        <w:rPr>
          <w:rFonts w:ascii="Verdana" w:hAnsi="Verdana"/>
          <w:noProof/>
          <w:sz w:val="18"/>
          <w:szCs w:val="18"/>
          <w14:ligatures w14:val="standardContextual"/>
        </w:rPr>
        <w:t xml:space="preserve"> </w:t>
      </w:r>
      <w:r w:rsidRPr="00B1347E" w:rsidR="00FF0FC5">
        <w:rPr>
          <w:rFonts w:ascii="Verdana" w:hAnsi="Verdana"/>
          <w:noProof/>
          <w:sz w:val="18"/>
          <w:szCs w:val="18"/>
          <w14:ligatures w14:val="standardContextual"/>
        </w:rPr>
        <w:drawing>
          <wp:inline distT="0" distB="0" distL="0" distR="0" wp14:anchorId="1F724A25" wp14:editId="122D33F0">
            <wp:extent cx="5539740" cy="2400300"/>
            <wp:effectExtent l="0" t="0" r="3810" b="0"/>
            <wp:docPr id="729200794" name="Grafiek 1">
              <a:extLst xmlns:a="http://schemas.openxmlformats.org/drawingml/2006/main">
                <a:ext uri="{FF2B5EF4-FFF2-40B4-BE49-F238E27FC236}">
                  <a16:creationId xmlns:a16="http://schemas.microsoft.com/office/drawing/2014/main" id="{0F92443F-9DDA-8BEB-9D0A-2FEFE54C4AA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EE69BA" w:rsidP="00EE69BA" w:rsidRDefault="00E371B1" w14:paraId="55FCC061" w14:textId="48F9E1F4">
      <w:pPr>
        <w:keepNext/>
        <w:rPr>
          <w:rFonts w:ascii="Verdana" w:hAnsi="Verdana"/>
          <w:sz w:val="18"/>
          <w:szCs w:val="18"/>
        </w:rPr>
      </w:pPr>
      <w:r w:rsidRPr="00B1347E">
        <w:rPr>
          <w:rFonts w:ascii="Verdana" w:hAnsi="Verdana"/>
          <w:b/>
          <w:bCs/>
          <w:sz w:val="18"/>
          <w:szCs w:val="18"/>
        </w:rPr>
        <w:lastRenderedPageBreak/>
        <w:t>Toelichting bij de raming</w:t>
      </w:r>
      <w:r w:rsidRPr="00B1347E">
        <w:rPr>
          <w:rFonts w:ascii="Verdana" w:hAnsi="Verdana"/>
          <w:sz w:val="18"/>
          <w:szCs w:val="18"/>
        </w:rPr>
        <w:br/>
      </w:r>
      <w:r w:rsidRPr="00B1347E" w:rsidR="00EE69BA">
        <w:rPr>
          <w:rFonts w:ascii="Verdana" w:hAnsi="Verdana"/>
          <w:sz w:val="18"/>
          <w:szCs w:val="18"/>
        </w:rPr>
        <w:t xml:space="preserve">In het jaar van invoering, 2028, is er een forse budgettaire opbrengst, omdat in dat jaar nog geen verliezen uit eerdere jaren kunnen worden verrekend. In 2029 kunnen verliezen uit 2028 worden verrekend, in 2030 uit 2029 en uit 2028 (voor zover nog niet verrekend in 2029) et cetera. Zo zorgt de ingroei van verliesverrekening voor een dalende opbrengst. Tegelijkertijd is in de eerste jaren de opbrengst uit de vermogenswinstbelasting op onroerende zaken en </w:t>
      </w:r>
      <w:proofErr w:type="spellStart"/>
      <w:r w:rsidRPr="00B1347E" w:rsidR="00EE69BA">
        <w:rPr>
          <w:rFonts w:ascii="Verdana" w:hAnsi="Verdana"/>
          <w:sz w:val="18"/>
          <w:szCs w:val="18"/>
        </w:rPr>
        <w:t>start-ups</w:t>
      </w:r>
      <w:proofErr w:type="spellEnd"/>
      <w:r w:rsidRPr="00B1347E" w:rsidR="00EE69BA">
        <w:rPr>
          <w:rFonts w:ascii="Verdana" w:hAnsi="Verdana"/>
          <w:sz w:val="18"/>
          <w:szCs w:val="18"/>
        </w:rPr>
        <w:t xml:space="preserve"> nog beperkt, omdat van vervreemde vastgoedobjecten en </w:t>
      </w:r>
      <w:proofErr w:type="spellStart"/>
      <w:r w:rsidRPr="00B1347E" w:rsidR="00EE69BA">
        <w:rPr>
          <w:rFonts w:ascii="Verdana" w:hAnsi="Verdana"/>
          <w:sz w:val="18"/>
          <w:szCs w:val="18"/>
        </w:rPr>
        <w:t>start-ups</w:t>
      </w:r>
      <w:proofErr w:type="spellEnd"/>
      <w:r w:rsidRPr="00B1347E" w:rsidR="00EE69BA">
        <w:rPr>
          <w:rFonts w:ascii="Verdana" w:hAnsi="Verdana"/>
          <w:sz w:val="18"/>
          <w:szCs w:val="18"/>
        </w:rPr>
        <w:t xml:space="preserve"> slechts het verschil met de waarde op 1 januari 2028 in de heffing wordt betrokken. Dit verklaart de budgettaire derving in 2030 tot en met 2033. De opbrengst uit de vermogenswinstbelasting neemt langzaam toe, wat uiteindelijk de verliesverrekening compenseert. Ten slotte is de verwachting dat de forfaitaire rendementen </w:t>
      </w:r>
      <w:r w:rsidRPr="00B1347E" w:rsidR="00ED1D20">
        <w:rPr>
          <w:rFonts w:ascii="Verdana" w:hAnsi="Verdana"/>
          <w:sz w:val="18"/>
          <w:szCs w:val="18"/>
        </w:rPr>
        <w:t>van het oude stelsel (</w:t>
      </w:r>
      <w:proofErr w:type="spellStart"/>
      <w:r w:rsidRPr="00B1347E" w:rsidR="00EE69BA">
        <w:rPr>
          <w:rFonts w:ascii="Verdana" w:hAnsi="Verdana"/>
          <w:sz w:val="18"/>
          <w:szCs w:val="18"/>
        </w:rPr>
        <w:t>basispad</w:t>
      </w:r>
      <w:proofErr w:type="spellEnd"/>
      <w:r w:rsidRPr="00B1347E" w:rsidR="00ED1D20">
        <w:rPr>
          <w:rFonts w:ascii="Verdana" w:hAnsi="Verdana"/>
          <w:sz w:val="18"/>
          <w:szCs w:val="18"/>
        </w:rPr>
        <w:t>)</w:t>
      </w:r>
      <w:r w:rsidRPr="00B1347E" w:rsidR="00EE69BA">
        <w:rPr>
          <w:rFonts w:ascii="Verdana" w:hAnsi="Verdana"/>
          <w:sz w:val="18"/>
          <w:szCs w:val="18"/>
        </w:rPr>
        <w:t xml:space="preserve"> langzaam zullen dalen, omdat de hoge </w:t>
      </w:r>
      <w:r w:rsidRPr="00B1347E" w:rsidR="00ED1D20">
        <w:rPr>
          <w:rFonts w:ascii="Verdana" w:hAnsi="Verdana"/>
          <w:sz w:val="18"/>
          <w:szCs w:val="18"/>
        </w:rPr>
        <w:t>waardestijgingen</w:t>
      </w:r>
      <w:r w:rsidRPr="00B1347E" w:rsidR="00EE69BA">
        <w:rPr>
          <w:rFonts w:ascii="Verdana" w:hAnsi="Verdana"/>
          <w:sz w:val="18"/>
          <w:szCs w:val="18"/>
        </w:rPr>
        <w:t xml:space="preserve"> uit het recente verleden niet onbeperkt kunnen worden volgehouden. Deze dalende forfaits in het </w:t>
      </w:r>
      <w:proofErr w:type="spellStart"/>
      <w:r w:rsidRPr="00B1347E" w:rsidR="00EE69BA">
        <w:rPr>
          <w:rFonts w:ascii="Verdana" w:hAnsi="Verdana"/>
          <w:sz w:val="18"/>
          <w:szCs w:val="18"/>
        </w:rPr>
        <w:t>basispad</w:t>
      </w:r>
      <w:proofErr w:type="spellEnd"/>
      <w:r w:rsidRPr="00B1347E" w:rsidR="00EE69BA">
        <w:rPr>
          <w:rFonts w:ascii="Verdana" w:hAnsi="Verdana"/>
          <w:sz w:val="18"/>
          <w:szCs w:val="18"/>
        </w:rPr>
        <w:t xml:space="preserve"> zorgen voor een afnemende opbrengst in het </w:t>
      </w:r>
      <w:proofErr w:type="spellStart"/>
      <w:r w:rsidRPr="00B1347E" w:rsidR="00EE69BA">
        <w:rPr>
          <w:rFonts w:ascii="Verdana" w:hAnsi="Verdana"/>
          <w:sz w:val="18"/>
          <w:szCs w:val="18"/>
        </w:rPr>
        <w:t>basispad</w:t>
      </w:r>
      <w:proofErr w:type="spellEnd"/>
      <w:r w:rsidRPr="00B1347E" w:rsidR="00EE69BA">
        <w:rPr>
          <w:rFonts w:ascii="Verdana" w:hAnsi="Verdana"/>
          <w:sz w:val="18"/>
          <w:szCs w:val="18"/>
        </w:rPr>
        <w:t xml:space="preserve"> en dus voor een toenemend budgettair effect. </w:t>
      </w:r>
      <w:r w:rsidRPr="00B1347E" w:rsidR="00790C9A">
        <w:rPr>
          <w:rFonts w:ascii="Verdana" w:hAnsi="Verdana"/>
          <w:sz w:val="18"/>
          <w:szCs w:val="18"/>
        </w:rPr>
        <w:t>Samen met de ingroei van de vermogenswinstbelasting</w:t>
      </w:r>
      <w:r w:rsidRPr="00B1347E" w:rsidR="00EE69BA">
        <w:rPr>
          <w:rFonts w:ascii="Verdana" w:hAnsi="Verdana"/>
          <w:sz w:val="18"/>
          <w:szCs w:val="18"/>
        </w:rPr>
        <w:t xml:space="preserve"> komt </w:t>
      </w:r>
      <w:r w:rsidRPr="00B1347E" w:rsidR="00790C9A">
        <w:rPr>
          <w:rFonts w:ascii="Verdana" w:hAnsi="Verdana"/>
          <w:sz w:val="18"/>
          <w:szCs w:val="18"/>
        </w:rPr>
        <w:t xml:space="preserve">dit </w:t>
      </w:r>
      <w:r w:rsidRPr="00B1347E" w:rsidR="00EE69BA">
        <w:rPr>
          <w:rFonts w:ascii="Verdana" w:hAnsi="Verdana"/>
          <w:sz w:val="18"/>
          <w:szCs w:val="18"/>
        </w:rPr>
        <w:t xml:space="preserve">in de verre toekomst tot uitdrukking in een aanzienlijke budgettaire opbrengst, die oploopt tot € 1.897 miljoen in 2060. In de raming is verondersteld dat in 2060 de structurele situatie is bereikt. </w:t>
      </w:r>
    </w:p>
    <w:p w:rsidRPr="00B1347E" w:rsidR="00E371B1" w:rsidP="00E371B1" w:rsidRDefault="00E371B1" w14:paraId="6F931A28" w14:textId="77777777">
      <w:pPr>
        <w:rPr>
          <w:rFonts w:ascii="Verdana" w:hAnsi="Verdana"/>
          <w:b/>
          <w:bCs/>
          <w:sz w:val="18"/>
          <w:szCs w:val="18"/>
        </w:rPr>
      </w:pPr>
      <w:r w:rsidRPr="00B1347E">
        <w:rPr>
          <w:rFonts w:ascii="Verdana" w:hAnsi="Verdana"/>
          <w:sz w:val="18"/>
          <w:szCs w:val="18"/>
        </w:rPr>
        <w:br/>
      </w:r>
      <w:r w:rsidRPr="00B1347E">
        <w:rPr>
          <w:rFonts w:ascii="Verdana" w:hAnsi="Verdana"/>
          <w:b/>
          <w:bCs/>
          <w:sz w:val="18"/>
          <w:szCs w:val="18"/>
        </w:rPr>
        <w:t>Bronnen</w:t>
      </w:r>
    </w:p>
    <w:p w:rsidRPr="00B1347E" w:rsidR="00E371B1" w:rsidP="00E371B1" w:rsidRDefault="00E371B1" w14:paraId="795F5083" w14:textId="2BDDD67E">
      <w:pPr>
        <w:rPr>
          <w:rFonts w:ascii="Verdana" w:hAnsi="Verdana"/>
          <w:sz w:val="18"/>
          <w:szCs w:val="18"/>
        </w:rPr>
      </w:pPr>
      <w:r w:rsidRPr="00B1347E">
        <w:rPr>
          <w:rFonts w:ascii="Verdana" w:hAnsi="Verdana"/>
          <w:sz w:val="18"/>
          <w:szCs w:val="18"/>
        </w:rPr>
        <w:t>De raming is gebaseerd op aangiftegegevens van de Belastingdienst uit 202</w:t>
      </w:r>
      <w:r w:rsidRPr="00B1347E" w:rsidR="007534ED">
        <w:rPr>
          <w:rFonts w:ascii="Verdana" w:hAnsi="Verdana"/>
          <w:sz w:val="18"/>
          <w:szCs w:val="18"/>
        </w:rPr>
        <w:t>2</w:t>
      </w:r>
      <w:r w:rsidRPr="00B1347E">
        <w:rPr>
          <w:rFonts w:ascii="Verdana" w:hAnsi="Verdana"/>
          <w:sz w:val="18"/>
          <w:szCs w:val="18"/>
        </w:rPr>
        <w:t xml:space="preserve">, aangevuld met onder andere WOZ-gegevens van onroerende zaken. Daarnaast zijn macrocijfers over rendementen van onder andere de Commissie Parameters en het CPB gebruikt. Ook hebben enkele banken op vertrouwelijke </w:t>
      </w:r>
      <w:proofErr w:type="gramStart"/>
      <w:r w:rsidRPr="00B1347E">
        <w:rPr>
          <w:rFonts w:ascii="Verdana" w:hAnsi="Verdana"/>
          <w:sz w:val="18"/>
          <w:szCs w:val="18"/>
        </w:rPr>
        <w:t>basis</w:t>
      </w:r>
      <w:r w:rsidR="004936C2">
        <w:rPr>
          <w:rFonts w:ascii="Verdana" w:hAnsi="Verdana"/>
          <w:sz w:val="18"/>
          <w:szCs w:val="18"/>
        </w:rPr>
        <w:t xml:space="preserve"> </w:t>
      </w:r>
      <w:r w:rsidRPr="00B1347E">
        <w:rPr>
          <w:rFonts w:ascii="Verdana" w:hAnsi="Verdana"/>
          <w:sz w:val="18"/>
          <w:szCs w:val="18"/>
        </w:rPr>
        <w:t>gegevens</w:t>
      </w:r>
      <w:proofErr w:type="gramEnd"/>
      <w:r w:rsidRPr="00B1347E">
        <w:rPr>
          <w:rFonts w:ascii="Verdana" w:hAnsi="Verdana"/>
          <w:sz w:val="18"/>
          <w:szCs w:val="18"/>
        </w:rPr>
        <w:t xml:space="preserve"> over het gemiddelde rendement van effectenportefeuilles en de spreiding daarin gedeeld. </w:t>
      </w:r>
    </w:p>
    <w:p w:rsidRPr="00B1347E" w:rsidR="00E371B1" w:rsidP="00E371B1" w:rsidRDefault="00E371B1" w14:paraId="58A0A5A7" w14:textId="77777777">
      <w:pPr>
        <w:rPr>
          <w:rFonts w:ascii="Verdana" w:hAnsi="Verdana"/>
          <w:b/>
          <w:bCs/>
          <w:sz w:val="18"/>
          <w:szCs w:val="18"/>
        </w:rPr>
      </w:pPr>
      <w:r w:rsidRPr="00B1347E">
        <w:rPr>
          <w:rFonts w:ascii="Verdana" w:hAnsi="Verdana"/>
          <w:sz w:val="18"/>
          <w:szCs w:val="18"/>
        </w:rPr>
        <w:br/>
      </w:r>
      <w:r w:rsidRPr="00B1347E">
        <w:rPr>
          <w:rFonts w:ascii="Verdana" w:hAnsi="Verdana"/>
          <w:b/>
          <w:bCs/>
          <w:sz w:val="18"/>
          <w:szCs w:val="18"/>
        </w:rPr>
        <w:t>Ramingsmethode</w:t>
      </w:r>
    </w:p>
    <w:p w:rsidRPr="00B1347E" w:rsidR="00EE69BA" w:rsidP="00EE69BA" w:rsidRDefault="00EE69BA" w14:paraId="0ED1A9DF" w14:textId="787A57F8">
      <w:pPr>
        <w:keepNext/>
        <w:rPr>
          <w:rFonts w:ascii="Verdana" w:hAnsi="Verdana"/>
          <w:sz w:val="18"/>
          <w:szCs w:val="18"/>
        </w:rPr>
      </w:pPr>
      <w:r w:rsidRPr="00B1347E">
        <w:rPr>
          <w:rFonts w:ascii="Verdana" w:hAnsi="Verdana"/>
          <w:sz w:val="18"/>
          <w:szCs w:val="18"/>
        </w:rPr>
        <w:t xml:space="preserve">Omdat de werkelijke rendementen van belastingplichtigen in de toekomst niet bekend zijn, is ten behoeve van deze raming een microsimulatiemodel ontwikkeld. Dit model is gebaseerd op de box 3-aangiften uit 2022 van belastingplichtigen met meer vermogen dan de vermogensgrens in de huurtoeslag (deze groep was verplicht om aangifte te doen), aangevuld met personen uit de IPO-steekproef van het CBS die op grond van het </w:t>
      </w:r>
      <w:proofErr w:type="spellStart"/>
      <w:r w:rsidRPr="00B1347E">
        <w:rPr>
          <w:rFonts w:ascii="Verdana" w:hAnsi="Verdana"/>
          <w:sz w:val="18"/>
          <w:szCs w:val="18"/>
        </w:rPr>
        <w:t>Mimosi</w:t>
      </w:r>
      <w:proofErr w:type="spellEnd"/>
      <w:r w:rsidRPr="00B1347E">
        <w:rPr>
          <w:rFonts w:ascii="Verdana" w:hAnsi="Verdana"/>
          <w:sz w:val="18"/>
          <w:szCs w:val="18"/>
        </w:rPr>
        <w:t xml:space="preserve">-model van het Centraal Planbureau minder vermogen hadden dan de grens voor de huurtoeslag. Op deze manier zijn alle volwassen Nederlanders in het model vertegenwoordigd. </w:t>
      </w:r>
    </w:p>
    <w:p w:rsidRPr="00B1347E" w:rsidR="00EE69BA" w:rsidP="00EE69BA" w:rsidRDefault="00EE69BA" w14:paraId="1C6E7B53" w14:textId="77777777">
      <w:pPr>
        <w:keepNext/>
        <w:rPr>
          <w:rFonts w:ascii="Verdana" w:hAnsi="Verdana"/>
          <w:sz w:val="18"/>
          <w:szCs w:val="18"/>
        </w:rPr>
      </w:pPr>
    </w:p>
    <w:p w:rsidRPr="00B1347E" w:rsidR="00EE69BA" w:rsidP="00EE69BA" w:rsidRDefault="00EE69BA" w14:paraId="557DD22D" w14:textId="18CFCF23">
      <w:pPr>
        <w:keepNext/>
        <w:rPr>
          <w:rFonts w:ascii="Verdana" w:hAnsi="Verdana"/>
          <w:sz w:val="18"/>
          <w:szCs w:val="18"/>
        </w:rPr>
      </w:pPr>
      <w:r w:rsidRPr="00B1347E">
        <w:rPr>
          <w:rFonts w:ascii="Verdana" w:hAnsi="Verdana"/>
          <w:sz w:val="18"/>
          <w:szCs w:val="18"/>
        </w:rPr>
        <w:t xml:space="preserve">Van deze personen is het vermogen in op 1 januari 2022 per vermogensbestanddeel bekend. Vervolgens </w:t>
      </w:r>
      <w:r w:rsidRPr="00B1347E" w:rsidR="00790C9A">
        <w:rPr>
          <w:rFonts w:ascii="Verdana" w:hAnsi="Verdana"/>
          <w:sz w:val="18"/>
          <w:szCs w:val="18"/>
        </w:rPr>
        <w:t>is ieder vermogensbestanddeel</w:t>
      </w:r>
      <w:r w:rsidRPr="00B1347E">
        <w:rPr>
          <w:rFonts w:ascii="Verdana" w:hAnsi="Verdana"/>
          <w:sz w:val="18"/>
          <w:szCs w:val="18"/>
        </w:rPr>
        <w:t xml:space="preserve"> opgehoogd om rekening te houden met een toename tussen 2022 en 2028. Deze ophoging is gebaseerd op realisaties en ramingen van onder andere de </w:t>
      </w:r>
      <w:r w:rsidRPr="00B1347E" w:rsidR="00C87D0D">
        <w:rPr>
          <w:rFonts w:ascii="Verdana" w:hAnsi="Verdana"/>
          <w:sz w:val="18"/>
          <w:szCs w:val="18"/>
        </w:rPr>
        <w:t xml:space="preserve">ontwikkeling van </w:t>
      </w:r>
      <w:r w:rsidRPr="00B1347E">
        <w:rPr>
          <w:rFonts w:ascii="Verdana" w:hAnsi="Verdana"/>
          <w:sz w:val="18"/>
          <w:szCs w:val="18"/>
        </w:rPr>
        <w:t>huizenprij</w:t>
      </w:r>
      <w:r w:rsidRPr="00B1347E" w:rsidR="00C87D0D">
        <w:rPr>
          <w:rFonts w:ascii="Verdana" w:hAnsi="Verdana"/>
          <w:sz w:val="18"/>
          <w:szCs w:val="18"/>
        </w:rPr>
        <w:t>zen</w:t>
      </w:r>
      <w:r w:rsidRPr="00B1347E">
        <w:rPr>
          <w:rFonts w:ascii="Verdana" w:hAnsi="Verdana"/>
          <w:sz w:val="18"/>
          <w:szCs w:val="18"/>
        </w:rPr>
        <w:t>, de inflatie en het spaargedrag van huishoudens, zoals bepaald door het CBS, het CPB en DNB.</w:t>
      </w:r>
    </w:p>
    <w:p w:rsidRPr="00B1347E" w:rsidR="00EE69BA" w:rsidP="00EE69BA" w:rsidRDefault="00EE69BA" w14:paraId="56F4FCEF" w14:textId="77777777">
      <w:pPr>
        <w:keepNext/>
        <w:rPr>
          <w:rFonts w:ascii="Verdana" w:hAnsi="Verdana"/>
          <w:sz w:val="18"/>
          <w:szCs w:val="18"/>
        </w:rPr>
      </w:pPr>
    </w:p>
    <w:p w:rsidRPr="00B1347E" w:rsidR="00790C9A" w:rsidP="00EE69BA" w:rsidRDefault="00EE69BA" w14:paraId="198634D6" w14:textId="088DBEC8">
      <w:pPr>
        <w:keepNext/>
        <w:rPr>
          <w:rFonts w:ascii="Verdana" w:hAnsi="Verdana"/>
          <w:sz w:val="18"/>
          <w:szCs w:val="18"/>
        </w:rPr>
      </w:pPr>
      <w:r w:rsidRPr="00B1347E">
        <w:rPr>
          <w:rFonts w:ascii="Verdana" w:hAnsi="Verdana"/>
          <w:sz w:val="18"/>
          <w:szCs w:val="18"/>
        </w:rPr>
        <w:t>Voor de jaren vanaf 2028 is per persoon en per vermogensbestanddeel vervolgens een rendement</w:t>
      </w:r>
      <w:r w:rsidRPr="00B1347E" w:rsidR="00804330">
        <w:rPr>
          <w:rFonts w:ascii="Verdana" w:hAnsi="Verdana"/>
          <w:sz w:val="18"/>
          <w:szCs w:val="18"/>
        </w:rPr>
        <w:t>spercentage</w:t>
      </w:r>
      <w:r w:rsidRPr="00B1347E">
        <w:rPr>
          <w:rFonts w:ascii="Verdana" w:hAnsi="Verdana"/>
          <w:sz w:val="18"/>
          <w:szCs w:val="18"/>
        </w:rPr>
        <w:t xml:space="preserve"> gesimuleerd op basis van een willekeurige trekking uit een verdeling. Per vermogensbestanddeel is </w:t>
      </w:r>
      <w:r w:rsidRPr="00B1347E" w:rsidR="00790C9A">
        <w:rPr>
          <w:rFonts w:ascii="Verdana" w:hAnsi="Verdana"/>
          <w:sz w:val="18"/>
          <w:szCs w:val="18"/>
        </w:rPr>
        <w:t xml:space="preserve">hiertoe een gemiddeld rendement </w:t>
      </w:r>
      <w:r w:rsidRPr="00B1347E" w:rsidR="00804330">
        <w:rPr>
          <w:rFonts w:ascii="Verdana" w:hAnsi="Verdana"/>
          <w:sz w:val="18"/>
          <w:szCs w:val="18"/>
        </w:rPr>
        <w:t xml:space="preserve">en </w:t>
      </w:r>
      <w:r w:rsidRPr="00B1347E" w:rsidR="00790C9A">
        <w:rPr>
          <w:rFonts w:ascii="Verdana" w:hAnsi="Verdana"/>
          <w:sz w:val="18"/>
          <w:szCs w:val="18"/>
        </w:rPr>
        <w:t>een spreiding van rendementen geschat, zoals onder het kopje ‘Rendementen’ verder toegelicht.</w:t>
      </w:r>
      <w:r w:rsidRPr="00B1347E" w:rsidR="00E80BF1">
        <w:rPr>
          <w:rFonts w:ascii="Verdana" w:hAnsi="Verdana"/>
          <w:sz w:val="18"/>
          <w:szCs w:val="18"/>
        </w:rPr>
        <w:t xml:space="preserve"> Op basis van dit </w:t>
      </w:r>
      <w:r w:rsidRPr="00B1347E" w:rsidR="00804330">
        <w:rPr>
          <w:rFonts w:ascii="Verdana" w:hAnsi="Verdana"/>
          <w:sz w:val="18"/>
          <w:szCs w:val="18"/>
        </w:rPr>
        <w:t xml:space="preserve">gesimuleerde </w:t>
      </w:r>
      <w:r w:rsidRPr="00B1347E" w:rsidR="00E80BF1">
        <w:rPr>
          <w:rFonts w:ascii="Verdana" w:hAnsi="Verdana"/>
          <w:sz w:val="18"/>
          <w:szCs w:val="18"/>
        </w:rPr>
        <w:t xml:space="preserve">rendement is vervolgens de belasting en het eventuele verlies berekend. Verliezen zijn </w:t>
      </w:r>
      <w:r w:rsidRPr="00B1347E" w:rsidR="00804330">
        <w:rPr>
          <w:rFonts w:ascii="Verdana" w:hAnsi="Verdana"/>
          <w:sz w:val="18"/>
          <w:szCs w:val="18"/>
        </w:rPr>
        <w:t xml:space="preserve">in het model </w:t>
      </w:r>
      <w:r w:rsidRPr="00B1347E" w:rsidR="00E80BF1">
        <w:rPr>
          <w:rFonts w:ascii="Verdana" w:hAnsi="Verdana"/>
          <w:sz w:val="18"/>
          <w:szCs w:val="18"/>
        </w:rPr>
        <w:t>vervolgens meegenomen naar toekomstige jaren.</w:t>
      </w:r>
    </w:p>
    <w:p w:rsidRPr="00B1347E" w:rsidR="00B41797" w:rsidP="00EE69BA" w:rsidRDefault="00B41797" w14:paraId="30E212D5" w14:textId="77777777">
      <w:pPr>
        <w:keepNext/>
        <w:rPr>
          <w:rFonts w:ascii="Verdana" w:hAnsi="Verdana"/>
          <w:sz w:val="18"/>
          <w:szCs w:val="18"/>
        </w:rPr>
      </w:pPr>
    </w:p>
    <w:p w:rsidRPr="00B1347E" w:rsidR="00B41797" w:rsidP="00B41797" w:rsidRDefault="00B41797" w14:paraId="56D6DAB7" w14:textId="68C71C2E">
      <w:pPr>
        <w:rPr>
          <w:rFonts w:ascii="Verdana" w:hAnsi="Verdana"/>
          <w:bCs/>
          <w:sz w:val="18"/>
          <w:szCs w:val="18"/>
        </w:rPr>
      </w:pPr>
      <w:r w:rsidRPr="00B1347E">
        <w:rPr>
          <w:rFonts w:ascii="Verdana" w:hAnsi="Verdana"/>
          <w:bCs/>
          <w:sz w:val="18"/>
          <w:szCs w:val="18"/>
        </w:rPr>
        <w:t>De vermogens in box 3 zijn scheef verdeeld. Er is een kleine groep beleggers die een relatief groot deel van het vermogen bezit. Een simulatiemodel is gevoelig voor dit soort uitschieters.</w:t>
      </w:r>
      <w:r w:rsidRPr="00B1347E">
        <w:rPr>
          <w:rFonts w:ascii="Verdana" w:hAnsi="Verdana"/>
          <w:sz w:val="18"/>
          <w:szCs w:val="18"/>
        </w:rPr>
        <w:t xml:space="preserve"> Dit wordt opgelost door belastingplichtigen met meer dan één miljoen euro aan bezittingen een aantal keer te “klonen”/kopiëren, afhankelijk van het vermogen. Vervolgens wordt aan deze personen voor alle macrosommen een gewicht meegegeven gelijk aan 1 gedeeld door het aantal kopieën. Dit levert een robuuste macroschatting op, die amper afhankelijk is van willekeur</w:t>
      </w:r>
      <w:r w:rsidRPr="00B1347E">
        <w:rPr>
          <w:rFonts w:ascii="Verdana" w:hAnsi="Verdana"/>
          <w:bCs/>
          <w:sz w:val="18"/>
          <w:szCs w:val="18"/>
        </w:rPr>
        <w:t>.</w:t>
      </w:r>
    </w:p>
    <w:p w:rsidRPr="00B1347E" w:rsidR="00E80BF1" w:rsidP="00EE69BA" w:rsidRDefault="00E80BF1" w14:paraId="4B3E6652" w14:textId="77777777">
      <w:pPr>
        <w:keepNext/>
        <w:rPr>
          <w:rFonts w:ascii="Verdana" w:hAnsi="Verdana"/>
          <w:sz w:val="18"/>
          <w:szCs w:val="18"/>
        </w:rPr>
      </w:pPr>
    </w:p>
    <w:p w:rsidRPr="00B1347E" w:rsidR="00E80BF1" w:rsidP="00E80BF1" w:rsidRDefault="00E80BF1" w14:paraId="361781E7" w14:textId="77777777">
      <w:pPr>
        <w:rPr>
          <w:rFonts w:ascii="Verdana" w:hAnsi="Verdana"/>
          <w:b/>
          <w:bCs/>
          <w:sz w:val="18"/>
          <w:szCs w:val="18"/>
        </w:rPr>
      </w:pPr>
      <w:r w:rsidRPr="00B1347E">
        <w:rPr>
          <w:rFonts w:ascii="Verdana" w:hAnsi="Verdana"/>
          <w:b/>
          <w:bCs/>
          <w:sz w:val="18"/>
          <w:szCs w:val="18"/>
        </w:rPr>
        <w:t>Gedragseffecten</w:t>
      </w:r>
    </w:p>
    <w:p w:rsidRPr="00B1347E" w:rsidR="007D4D46" w:rsidP="00E80BF1" w:rsidRDefault="00B1347E" w14:paraId="46AE3575" w14:textId="33594B7F">
      <w:pPr>
        <w:rPr>
          <w:rFonts w:ascii="Verdana" w:hAnsi="Verdana"/>
          <w:sz w:val="18"/>
          <w:szCs w:val="18"/>
        </w:rPr>
      </w:pPr>
      <w:r>
        <w:rPr>
          <w:rFonts w:ascii="Verdana" w:hAnsi="Verdana"/>
          <w:sz w:val="18"/>
          <w:szCs w:val="18"/>
        </w:rPr>
        <w:t>Bij</w:t>
      </w:r>
      <w:r w:rsidRPr="00B1347E" w:rsidR="007D4D46">
        <w:rPr>
          <w:rFonts w:ascii="Verdana" w:hAnsi="Verdana"/>
          <w:sz w:val="18"/>
          <w:szCs w:val="18"/>
        </w:rPr>
        <w:t xml:space="preserve"> gedragseffecten </w:t>
      </w:r>
      <w:r>
        <w:rPr>
          <w:rFonts w:ascii="Verdana" w:hAnsi="Verdana"/>
          <w:sz w:val="18"/>
          <w:szCs w:val="18"/>
        </w:rPr>
        <w:t xml:space="preserve">wordt voor budgettaire ramingen </w:t>
      </w:r>
      <w:r w:rsidRPr="00B1347E" w:rsidR="007D4D46">
        <w:rPr>
          <w:rFonts w:ascii="Verdana" w:hAnsi="Verdana"/>
          <w:sz w:val="18"/>
          <w:szCs w:val="18"/>
        </w:rPr>
        <w:t>uitgegaan van de vuistregelpercentages van 20%, 50% en 80%</w:t>
      </w:r>
      <w:r>
        <w:rPr>
          <w:rFonts w:ascii="Verdana" w:hAnsi="Verdana"/>
          <w:sz w:val="18"/>
          <w:szCs w:val="18"/>
        </w:rPr>
        <w:t>, t</w:t>
      </w:r>
      <w:r w:rsidRPr="00B1347E">
        <w:rPr>
          <w:rFonts w:ascii="Verdana" w:hAnsi="Verdana"/>
          <w:sz w:val="18"/>
          <w:szCs w:val="18"/>
        </w:rPr>
        <w:t xml:space="preserve">enzij </w:t>
      </w:r>
      <w:r>
        <w:rPr>
          <w:rFonts w:ascii="Verdana" w:hAnsi="Verdana"/>
          <w:sz w:val="18"/>
          <w:szCs w:val="18"/>
        </w:rPr>
        <w:t>punt</w:t>
      </w:r>
      <w:r w:rsidRPr="00B1347E">
        <w:rPr>
          <w:rFonts w:ascii="Verdana" w:hAnsi="Verdana"/>
          <w:sz w:val="18"/>
          <w:szCs w:val="18"/>
        </w:rPr>
        <w:t>schattingen mogelijk zijn op basis van bestaande literatuur</w:t>
      </w:r>
      <w:r>
        <w:rPr>
          <w:rFonts w:ascii="Verdana" w:hAnsi="Verdana"/>
          <w:sz w:val="18"/>
          <w:szCs w:val="18"/>
        </w:rPr>
        <w:t>.</w:t>
      </w:r>
    </w:p>
    <w:p w:rsidRPr="00B1347E" w:rsidR="007D4D46" w:rsidP="00E80BF1" w:rsidRDefault="007D4D46" w14:paraId="31C309A5" w14:textId="77777777">
      <w:pPr>
        <w:rPr>
          <w:rFonts w:ascii="Verdana" w:hAnsi="Verdana"/>
          <w:b/>
          <w:bCs/>
          <w:sz w:val="18"/>
          <w:szCs w:val="18"/>
        </w:rPr>
      </w:pPr>
    </w:p>
    <w:p w:rsidRPr="00B1347E" w:rsidR="00E371B1" w:rsidP="00E371B1" w:rsidRDefault="00B41797" w14:paraId="76F598CD" w14:textId="1EFA8793">
      <w:pPr>
        <w:rPr>
          <w:rFonts w:ascii="Verdana" w:hAnsi="Verdana"/>
          <w:sz w:val="18"/>
          <w:szCs w:val="18"/>
        </w:rPr>
      </w:pPr>
      <w:r w:rsidRPr="00B1347E">
        <w:rPr>
          <w:rFonts w:ascii="Verdana" w:hAnsi="Verdana"/>
          <w:sz w:val="18"/>
          <w:szCs w:val="18"/>
        </w:rPr>
        <w:lastRenderedPageBreak/>
        <w:t>De</w:t>
      </w:r>
      <w:r w:rsidRPr="00B1347E" w:rsidR="007D4D46">
        <w:rPr>
          <w:rFonts w:ascii="Verdana" w:hAnsi="Verdana"/>
          <w:sz w:val="18"/>
          <w:szCs w:val="18"/>
        </w:rPr>
        <w:t>ze</w:t>
      </w:r>
      <w:r w:rsidRPr="00B1347E">
        <w:rPr>
          <w:rFonts w:ascii="Verdana" w:hAnsi="Verdana"/>
          <w:sz w:val="18"/>
          <w:szCs w:val="18"/>
        </w:rPr>
        <w:t xml:space="preserve"> raming gaat uit van twee soorten gedragseffecten. Ten eerste is een gedragseffect van 20% van het budgettaire effect verondersteld bij personen die structureel meer belasting gaan betalen onder het nieuwe box 3-stelsel. Dit gedragseffect sluit aan bij het effect dat is toegepast bij invoering van de Overbruggingswet box 3. De verwachting is dat een deel van de mensen die structureel meer box 3-belasting gaat betalen het gedrag zal aanpassen door meer consumptie, schenkingen en/of giften, </w:t>
      </w:r>
      <w:r w:rsidRPr="00B1347E" w:rsidR="004C4C47">
        <w:rPr>
          <w:rFonts w:ascii="Verdana" w:hAnsi="Verdana"/>
          <w:sz w:val="18"/>
          <w:szCs w:val="18"/>
        </w:rPr>
        <w:t>het verschuiven</w:t>
      </w:r>
      <w:r w:rsidRPr="00B1347E">
        <w:rPr>
          <w:rFonts w:ascii="Verdana" w:hAnsi="Verdana"/>
          <w:sz w:val="18"/>
          <w:szCs w:val="18"/>
        </w:rPr>
        <w:t xml:space="preserve"> van hoogrenderende naar </w:t>
      </w:r>
      <w:proofErr w:type="spellStart"/>
      <w:r w:rsidRPr="00B1347E">
        <w:rPr>
          <w:rFonts w:ascii="Verdana" w:hAnsi="Verdana"/>
          <w:sz w:val="18"/>
          <w:szCs w:val="18"/>
        </w:rPr>
        <w:t>laagrenderende</w:t>
      </w:r>
      <w:proofErr w:type="spellEnd"/>
      <w:r w:rsidRPr="00B1347E">
        <w:rPr>
          <w:rFonts w:ascii="Verdana" w:hAnsi="Verdana"/>
          <w:sz w:val="18"/>
          <w:szCs w:val="18"/>
        </w:rPr>
        <w:t xml:space="preserve"> beleggingen en/of het </w:t>
      </w:r>
      <w:r w:rsidRPr="00B1347E" w:rsidR="004C4C47">
        <w:rPr>
          <w:rFonts w:ascii="Verdana" w:hAnsi="Verdana"/>
          <w:sz w:val="18"/>
          <w:szCs w:val="18"/>
        </w:rPr>
        <w:t>verplaatsen van vermogen naar</w:t>
      </w:r>
      <w:r w:rsidRPr="00B1347E">
        <w:rPr>
          <w:rFonts w:ascii="Verdana" w:hAnsi="Verdana"/>
          <w:sz w:val="18"/>
          <w:szCs w:val="18"/>
        </w:rPr>
        <w:t xml:space="preserve"> een bv.</w:t>
      </w:r>
      <w:r w:rsidRPr="00B1347E" w:rsidR="004C4C47">
        <w:rPr>
          <w:rFonts w:ascii="Verdana" w:hAnsi="Verdana"/>
          <w:sz w:val="18"/>
          <w:szCs w:val="18"/>
        </w:rPr>
        <w:t xml:space="preserve"> </w:t>
      </w:r>
      <w:r w:rsidRPr="00B1347E" w:rsidR="00804330">
        <w:rPr>
          <w:rFonts w:ascii="Verdana" w:hAnsi="Verdana"/>
          <w:sz w:val="18"/>
          <w:szCs w:val="18"/>
        </w:rPr>
        <w:t>Door dit gedragseffect valt de budgettaire opbrengst lager uit.</w:t>
      </w:r>
    </w:p>
    <w:p w:rsidRPr="00B1347E" w:rsidR="004C4C47" w:rsidP="00E371B1" w:rsidRDefault="004C4C47" w14:paraId="19C2E10C" w14:textId="77777777">
      <w:pPr>
        <w:rPr>
          <w:rFonts w:ascii="Verdana" w:hAnsi="Verdana"/>
          <w:sz w:val="18"/>
          <w:szCs w:val="18"/>
        </w:rPr>
      </w:pPr>
    </w:p>
    <w:p w:rsidRPr="00B1347E" w:rsidR="004C4C47" w:rsidP="00E371B1" w:rsidRDefault="004C4C47" w14:paraId="1250650E" w14:textId="57511652">
      <w:pPr>
        <w:rPr>
          <w:rFonts w:ascii="Verdana" w:hAnsi="Verdana"/>
          <w:sz w:val="18"/>
          <w:szCs w:val="18"/>
        </w:rPr>
      </w:pPr>
      <w:r w:rsidRPr="00B1347E">
        <w:rPr>
          <w:rFonts w:ascii="Verdana" w:hAnsi="Verdana"/>
          <w:sz w:val="18"/>
          <w:szCs w:val="18"/>
        </w:rPr>
        <w:t xml:space="preserve">Ten tweede is ook gerekend met een </w:t>
      </w:r>
      <w:proofErr w:type="spellStart"/>
      <w:r w:rsidRPr="00B1347E">
        <w:rPr>
          <w:rFonts w:ascii="Verdana" w:hAnsi="Verdana"/>
          <w:sz w:val="18"/>
          <w:szCs w:val="18"/>
        </w:rPr>
        <w:t>lock-ineffect</w:t>
      </w:r>
      <w:proofErr w:type="spellEnd"/>
      <w:r w:rsidRPr="00B1347E">
        <w:rPr>
          <w:rFonts w:ascii="Verdana" w:hAnsi="Verdana"/>
          <w:sz w:val="18"/>
          <w:szCs w:val="18"/>
        </w:rPr>
        <w:t xml:space="preserve"> voor onroerende zaken. Uit de WOZ-gegevens van de Waarderingskamer blijkt dat</w:t>
      </w:r>
      <w:r w:rsidRPr="00B1347E" w:rsidR="007D4D46">
        <w:rPr>
          <w:rFonts w:ascii="Verdana" w:hAnsi="Verdana"/>
          <w:sz w:val="18"/>
          <w:szCs w:val="18"/>
        </w:rPr>
        <w:t xml:space="preserve"> in de afgelopen jaren gemiddeld genomen</w:t>
      </w:r>
      <w:r w:rsidRPr="00B1347E">
        <w:rPr>
          <w:rFonts w:ascii="Verdana" w:hAnsi="Verdana"/>
          <w:sz w:val="18"/>
          <w:szCs w:val="18"/>
        </w:rPr>
        <w:t xml:space="preserve"> ieder jaar één op de 13 onroerende zaken in box 3 </w:t>
      </w:r>
      <w:r w:rsidRPr="00B1347E" w:rsidR="007D4D46">
        <w:rPr>
          <w:rFonts w:ascii="Verdana" w:hAnsi="Verdana"/>
          <w:sz w:val="18"/>
          <w:szCs w:val="18"/>
        </w:rPr>
        <w:t>is</w:t>
      </w:r>
      <w:r w:rsidRPr="00B1347E">
        <w:rPr>
          <w:rFonts w:ascii="Verdana" w:hAnsi="Verdana"/>
          <w:sz w:val="18"/>
          <w:szCs w:val="18"/>
        </w:rPr>
        <w:t xml:space="preserve"> verkocht. </w:t>
      </w:r>
      <w:r w:rsidRPr="00B1347E" w:rsidR="007D4D46">
        <w:rPr>
          <w:rFonts w:ascii="Verdana" w:hAnsi="Verdana"/>
          <w:sz w:val="18"/>
          <w:szCs w:val="18"/>
        </w:rPr>
        <w:t xml:space="preserve">Aangenomen is dat de vermogenswinstbelasting zorgt voor een toename in de gemiddelde bezitsduur van 50%, zodat jaarlijks gemiddeld één op de 19,5 van de onroerende zaken zal worden verkocht. Er zijn geen wetenschappelijke onderzoeken die het </w:t>
      </w:r>
      <w:proofErr w:type="spellStart"/>
      <w:r w:rsidRPr="00B1347E" w:rsidR="007D4D46">
        <w:rPr>
          <w:rFonts w:ascii="Verdana" w:hAnsi="Verdana"/>
          <w:sz w:val="18"/>
          <w:szCs w:val="18"/>
        </w:rPr>
        <w:t>lock-ineffect</w:t>
      </w:r>
      <w:proofErr w:type="spellEnd"/>
      <w:r w:rsidRPr="00B1347E" w:rsidR="007D4D46">
        <w:rPr>
          <w:rFonts w:ascii="Verdana" w:hAnsi="Verdana"/>
          <w:sz w:val="18"/>
          <w:szCs w:val="18"/>
        </w:rPr>
        <w:t xml:space="preserve"> op onroerende zaken in deze specifieke situatie kwantificeren. </w:t>
      </w:r>
      <w:r w:rsidR="00200CA9">
        <w:rPr>
          <w:rFonts w:ascii="Verdana" w:hAnsi="Verdana"/>
          <w:sz w:val="18"/>
          <w:szCs w:val="18"/>
        </w:rPr>
        <w:t>Uit de</w:t>
      </w:r>
      <w:r w:rsidRPr="00B1347E" w:rsidR="00200CA9">
        <w:rPr>
          <w:rFonts w:ascii="Verdana" w:hAnsi="Verdana"/>
          <w:sz w:val="18"/>
          <w:szCs w:val="18"/>
        </w:rPr>
        <w:t xml:space="preserve"> </w:t>
      </w:r>
      <w:r w:rsidR="00200CA9">
        <w:rPr>
          <w:rFonts w:ascii="Verdana" w:hAnsi="Verdana"/>
          <w:sz w:val="18"/>
          <w:szCs w:val="18"/>
        </w:rPr>
        <w:t xml:space="preserve">beschikbare </w:t>
      </w:r>
      <w:r w:rsidRPr="00B1347E" w:rsidR="007D4D46">
        <w:rPr>
          <w:rFonts w:ascii="Verdana" w:hAnsi="Verdana"/>
          <w:sz w:val="18"/>
          <w:szCs w:val="18"/>
        </w:rPr>
        <w:t xml:space="preserve">wetenschappelijke literatuur </w:t>
      </w:r>
      <w:r w:rsidR="00200CA9">
        <w:rPr>
          <w:rFonts w:ascii="Verdana" w:hAnsi="Verdana"/>
          <w:sz w:val="18"/>
          <w:szCs w:val="18"/>
        </w:rPr>
        <w:t xml:space="preserve">blijkt dat </w:t>
      </w:r>
      <w:proofErr w:type="spellStart"/>
      <w:r w:rsidR="00200CA9">
        <w:rPr>
          <w:rFonts w:ascii="Verdana" w:hAnsi="Verdana"/>
          <w:sz w:val="18"/>
          <w:szCs w:val="18"/>
        </w:rPr>
        <w:t>lock-ineffecten</w:t>
      </w:r>
      <w:proofErr w:type="spellEnd"/>
      <w:r w:rsidR="00200CA9">
        <w:rPr>
          <w:rFonts w:ascii="Verdana" w:hAnsi="Verdana"/>
          <w:sz w:val="18"/>
          <w:szCs w:val="18"/>
        </w:rPr>
        <w:t xml:space="preserve"> doorgaans significant zijn</w:t>
      </w:r>
      <w:r w:rsidRPr="00B1347E" w:rsidR="007D4D46">
        <w:rPr>
          <w:rFonts w:ascii="Verdana" w:hAnsi="Verdana"/>
          <w:sz w:val="18"/>
          <w:szCs w:val="18"/>
        </w:rPr>
        <w:t>, ook voor onroerende zaken</w:t>
      </w:r>
      <w:r w:rsidR="00200CA9">
        <w:rPr>
          <w:rFonts w:ascii="Verdana" w:hAnsi="Verdana"/>
          <w:sz w:val="18"/>
          <w:szCs w:val="18"/>
        </w:rPr>
        <w:t>. Op basis van deze studies is de inschatting dat het effect in dit geval duidelijk groter zal</w:t>
      </w:r>
      <w:r w:rsidRPr="00B1347E" w:rsidR="00804330">
        <w:rPr>
          <w:rFonts w:ascii="Verdana" w:hAnsi="Verdana"/>
          <w:sz w:val="18"/>
          <w:szCs w:val="18"/>
        </w:rPr>
        <w:t xml:space="preserve"> dan de vuistregel van 20%</w:t>
      </w:r>
      <w:r w:rsidR="00200CA9">
        <w:rPr>
          <w:rFonts w:ascii="Verdana" w:hAnsi="Verdana"/>
          <w:sz w:val="18"/>
          <w:szCs w:val="18"/>
        </w:rPr>
        <w:t>, zodat voor 50% is gekozen.</w:t>
      </w:r>
      <w:r w:rsidRPr="00B1347E" w:rsidR="00804330">
        <w:rPr>
          <w:rFonts w:ascii="Verdana" w:hAnsi="Verdana"/>
          <w:sz w:val="18"/>
          <w:szCs w:val="18"/>
        </w:rPr>
        <w:t xml:space="preserve"> Het gevolg van dit gedragseffect is dat de opbrengst uit de vermogenswinstbelasting op onroerende zaken langzamer ingroeit dan zonder het gedragseffect het geval zou zijn.</w:t>
      </w:r>
    </w:p>
    <w:p w:rsidRPr="00B1347E" w:rsidR="00E371B1" w:rsidP="00E371B1" w:rsidRDefault="00E371B1" w14:paraId="05962278" w14:textId="77777777">
      <w:pPr>
        <w:rPr>
          <w:rFonts w:ascii="Verdana" w:hAnsi="Verdana"/>
          <w:sz w:val="18"/>
          <w:szCs w:val="18"/>
        </w:rPr>
      </w:pPr>
    </w:p>
    <w:p w:rsidRPr="00B1347E" w:rsidR="00E371B1" w:rsidP="00E371B1" w:rsidRDefault="00E371B1" w14:paraId="6BB515F4" w14:textId="77777777">
      <w:pPr>
        <w:rPr>
          <w:rFonts w:ascii="Verdana" w:hAnsi="Verdana"/>
          <w:bCs/>
          <w:sz w:val="18"/>
          <w:szCs w:val="18"/>
        </w:rPr>
      </w:pPr>
      <w:r w:rsidRPr="00B1347E">
        <w:rPr>
          <w:rFonts w:ascii="Verdana" w:hAnsi="Verdana"/>
          <w:b/>
          <w:sz w:val="18"/>
          <w:szCs w:val="18"/>
        </w:rPr>
        <w:t>Rendementen</w:t>
      </w:r>
    </w:p>
    <w:p w:rsidRPr="00B1347E" w:rsidR="00E371B1" w:rsidP="00E371B1" w:rsidRDefault="00804330" w14:paraId="1D1832F8" w14:textId="0906AC8F">
      <w:pPr>
        <w:rPr>
          <w:rFonts w:ascii="Verdana" w:hAnsi="Verdana"/>
          <w:sz w:val="18"/>
          <w:szCs w:val="18"/>
        </w:rPr>
      </w:pPr>
      <w:r w:rsidRPr="00B1347E">
        <w:rPr>
          <w:rFonts w:ascii="Verdana" w:hAnsi="Verdana"/>
          <w:sz w:val="18"/>
          <w:szCs w:val="18"/>
        </w:rPr>
        <w:t xml:space="preserve">In het model worden rendementspercentages gesimuleerd aan de hand van geraamde gemiddeldes en geraamde spreiding. </w:t>
      </w:r>
      <w:r w:rsidRPr="00B1347E" w:rsidR="00E371B1">
        <w:rPr>
          <w:rFonts w:ascii="Verdana" w:hAnsi="Verdana"/>
          <w:sz w:val="18"/>
          <w:szCs w:val="18"/>
        </w:rPr>
        <w:t>De parameters die hiervoor gebruikt worden zijn gebaseerd op macrocijfers over rendementen van de Commissie Parameters, het CPB en banken.</w:t>
      </w:r>
    </w:p>
    <w:p w:rsidRPr="00B1347E" w:rsidR="00E371B1" w:rsidP="00E371B1" w:rsidRDefault="00E371B1" w14:paraId="44681B5A" w14:textId="77777777">
      <w:pPr>
        <w:rPr>
          <w:rFonts w:ascii="Verdana" w:hAnsi="Verdana"/>
          <w:sz w:val="18"/>
          <w:szCs w:val="18"/>
        </w:rPr>
      </w:pPr>
    </w:p>
    <w:p w:rsidRPr="00B1347E" w:rsidR="00E371B1" w:rsidP="00E371B1" w:rsidRDefault="00E371B1" w14:paraId="68EE1B91" w14:textId="60168CDD">
      <w:pPr>
        <w:rPr>
          <w:rFonts w:ascii="Verdana" w:hAnsi="Verdana"/>
          <w:sz w:val="18"/>
          <w:szCs w:val="18"/>
        </w:rPr>
      </w:pPr>
      <w:r w:rsidRPr="00B1347E">
        <w:rPr>
          <w:rFonts w:ascii="Verdana" w:hAnsi="Verdana"/>
          <w:sz w:val="18"/>
          <w:szCs w:val="18"/>
        </w:rPr>
        <w:t xml:space="preserve">Op basis van gegevens van DNB is geschat dat van bank- en spaartegoeden gemiddeld genomen de eerste € 9.000 op een bankrekening staat en dat daar geen rendement over behaald wordt. Voor het resterende bedrag wordt 18,8% toegerekend aan een depositorekening, met bijbehorende gemiddelde rendement. Over het bedrag dat dan nog overblijft wordt aangenomen dat het rendement gelijk is aan het gemiddelde rendement op een spaarrekening. </w:t>
      </w:r>
    </w:p>
    <w:p w:rsidRPr="00B1347E" w:rsidR="00E371B1" w:rsidP="00E371B1" w:rsidRDefault="00E371B1" w14:paraId="11A47BA5" w14:textId="77777777">
      <w:pPr>
        <w:rPr>
          <w:rFonts w:ascii="Verdana" w:hAnsi="Verdana"/>
          <w:sz w:val="18"/>
          <w:szCs w:val="18"/>
        </w:rPr>
      </w:pPr>
    </w:p>
    <w:p w:rsidRPr="00B1347E" w:rsidR="00E371B1" w:rsidP="00E371B1" w:rsidRDefault="00E371B1" w14:paraId="6E2826FB" w14:textId="77777777">
      <w:pPr>
        <w:rPr>
          <w:rFonts w:ascii="Verdana" w:hAnsi="Verdana"/>
          <w:sz w:val="18"/>
          <w:szCs w:val="18"/>
        </w:rPr>
      </w:pPr>
      <w:r w:rsidRPr="00B1347E">
        <w:rPr>
          <w:rFonts w:ascii="Verdana" w:hAnsi="Verdana"/>
          <w:sz w:val="18"/>
          <w:szCs w:val="18"/>
        </w:rPr>
        <w:t xml:space="preserve">Bij effecten wordt gedifferentieerd naar vier risicoprofielen met bijbehorende rendementen. Deze risicoprofielen zijn defensief, neutraal, offensief en zeer offensief. Ook wordt er door middel van willekeurige toewijzing een onderscheid gemaakt tussen zelfbeleggers en beleggen middels beheer of advies. De rendementen en spreiding per categorie zijn vervolgens bepaald aan de hand van gegevens van banken en cijfers van de Commissie Parameters. Volgens de Autoriteit Financiële Markten (AFM) behalen particuliere beleggers (in het bijzonder zelfbeleggers) gemiddeld lagere rendementen dan institutionele beleggers vanwege slechte timing en te veel transacties. Om deze reden is het gemiddelde rendement van zelfbeleggers in de raming verlaagd met een zogenaamde </w:t>
      </w:r>
      <w:proofErr w:type="spellStart"/>
      <w:r w:rsidRPr="00B1347E">
        <w:rPr>
          <w:rFonts w:ascii="Verdana" w:hAnsi="Verdana"/>
          <w:i/>
          <w:iCs/>
          <w:sz w:val="18"/>
          <w:szCs w:val="18"/>
        </w:rPr>
        <w:t>behaviour</w:t>
      </w:r>
      <w:proofErr w:type="spellEnd"/>
      <w:r w:rsidRPr="00B1347E">
        <w:rPr>
          <w:rFonts w:ascii="Verdana" w:hAnsi="Verdana"/>
          <w:i/>
          <w:iCs/>
          <w:sz w:val="18"/>
          <w:szCs w:val="18"/>
        </w:rPr>
        <w:t xml:space="preserve"> gap</w:t>
      </w:r>
      <w:r w:rsidRPr="00B1347E">
        <w:rPr>
          <w:rFonts w:ascii="Verdana" w:hAnsi="Verdana"/>
          <w:sz w:val="18"/>
          <w:szCs w:val="18"/>
        </w:rPr>
        <w:t xml:space="preserve"> van 1,5%-punt. </w:t>
      </w:r>
    </w:p>
    <w:p w:rsidRPr="00B1347E" w:rsidR="00E371B1" w:rsidP="00E371B1" w:rsidRDefault="00E371B1" w14:paraId="156C5450" w14:textId="77777777">
      <w:pPr>
        <w:rPr>
          <w:rFonts w:ascii="Verdana" w:hAnsi="Verdana"/>
          <w:sz w:val="18"/>
          <w:szCs w:val="18"/>
        </w:rPr>
      </w:pPr>
    </w:p>
    <w:p w:rsidRPr="00B1347E" w:rsidR="00E371B1" w:rsidP="00E371B1" w:rsidRDefault="00E371B1" w14:paraId="77EB2E8A" w14:textId="5B37DB49">
      <w:pPr>
        <w:rPr>
          <w:rFonts w:ascii="Verdana" w:hAnsi="Verdana"/>
          <w:sz w:val="18"/>
          <w:szCs w:val="18"/>
        </w:rPr>
      </w:pPr>
      <w:r w:rsidRPr="00B1347E">
        <w:rPr>
          <w:rFonts w:ascii="Verdana" w:hAnsi="Verdana"/>
          <w:sz w:val="18"/>
          <w:szCs w:val="18"/>
        </w:rPr>
        <w:t xml:space="preserve">Onroerend goed wordt opgesplitst naar verhuurde/niet-verhuurde onroerende zaken en naar woningen/niet-woningen, op basis van data uit belastingaangiften (WOZ, </w:t>
      </w:r>
      <w:proofErr w:type="spellStart"/>
      <w:r w:rsidRPr="00B1347E">
        <w:rPr>
          <w:rFonts w:ascii="Verdana" w:hAnsi="Verdana"/>
          <w:sz w:val="18"/>
          <w:szCs w:val="18"/>
        </w:rPr>
        <w:t>leegwaarderatio</w:t>
      </w:r>
      <w:proofErr w:type="spellEnd"/>
      <w:r w:rsidRPr="00B1347E">
        <w:rPr>
          <w:rFonts w:ascii="Verdana" w:hAnsi="Verdana"/>
          <w:sz w:val="18"/>
          <w:szCs w:val="18"/>
        </w:rPr>
        <w:t>). De waardeontwikkeling</w:t>
      </w:r>
      <w:r w:rsidRPr="00B1347E" w:rsidR="00804330">
        <w:rPr>
          <w:rFonts w:ascii="Verdana" w:hAnsi="Verdana"/>
          <w:sz w:val="18"/>
          <w:szCs w:val="18"/>
        </w:rPr>
        <w:t xml:space="preserve"> van woningen</w:t>
      </w:r>
      <w:r w:rsidRPr="00B1347E">
        <w:rPr>
          <w:rFonts w:ascii="Verdana" w:hAnsi="Verdana"/>
          <w:sz w:val="18"/>
          <w:szCs w:val="18"/>
        </w:rPr>
        <w:t xml:space="preserve"> wordt gesimuleerd met de jaarlijkse gemiddelde prijsverandering van bestaande koopwoningen volgens het CBS. Voor 2026 en 2027 wordt gebruik gemaakt van openbare ramingen van de Rabobank. De waardeontwikkeling van niet-woningen is afgeleid uit historische aangiftegegevens gekoppeld met WOZ-gegevens. </w:t>
      </w:r>
      <w:r w:rsidRPr="00B1347E" w:rsidR="00B924B0">
        <w:rPr>
          <w:rFonts w:ascii="Verdana" w:hAnsi="Verdana"/>
          <w:sz w:val="18"/>
          <w:szCs w:val="18"/>
        </w:rPr>
        <w:t xml:space="preserve">De huuropbrengsten zijn afgeleid uit het gebruik van de </w:t>
      </w:r>
      <w:proofErr w:type="spellStart"/>
      <w:r w:rsidRPr="00B1347E" w:rsidR="00B924B0">
        <w:rPr>
          <w:rFonts w:ascii="Verdana" w:hAnsi="Verdana"/>
          <w:sz w:val="18"/>
          <w:szCs w:val="18"/>
        </w:rPr>
        <w:t>leegwaarderatio</w:t>
      </w:r>
      <w:proofErr w:type="spellEnd"/>
      <w:r w:rsidRPr="00B1347E" w:rsidR="00B924B0">
        <w:rPr>
          <w:rFonts w:ascii="Verdana" w:hAnsi="Verdana"/>
          <w:sz w:val="18"/>
          <w:szCs w:val="18"/>
        </w:rPr>
        <w:t xml:space="preserve"> in de box 3-aangifte 2022</w:t>
      </w:r>
      <w:r w:rsidRPr="00B1347E">
        <w:rPr>
          <w:rFonts w:ascii="Verdana" w:hAnsi="Verdana"/>
          <w:sz w:val="18"/>
          <w:szCs w:val="18"/>
        </w:rPr>
        <w:t>. Voor niet-woningen wordt aangesloten bij een marktrapport van Stichting Vastgoeddata gecorrigeerd voor mutatieleegstand.</w:t>
      </w:r>
    </w:p>
    <w:p w:rsidRPr="00B1347E" w:rsidR="00E371B1" w:rsidP="00E371B1" w:rsidRDefault="00E371B1" w14:paraId="14656E27" w14:textId="77777777">
      <w:pPr>
        <w:rPr>
          <w:rFonts w:ascii="Verdana" w:hAnsi="Verdana"/>
          <w:sz w:val="18"/>
          <w:szCs w:val="18"/>
        </w:rPr>
      </w:pPr>
    </w:p>
    <w:p w:rsidRPr="00B1347E" w:rsidR="00E371B1" w:rsidP="00E371B1" w:rsidRDefault="00E371B1" w14:paraId="123F9820" w14:textId="5CD21C7E">
      <w:pPr>
        <w:rPr>
          <w:rFonts w:ascii="Verdana" w:hAnsi="Verdana"/>
          <w:sz w:val="18"/>
          <w:szCs w:val="18"/>
        </w:rPr>
      </w:pPr>
      <w:r w:rsidRPr="00B1347E">
        <w:rPr>
          <w:rFonts w:ascii="Verdana" w:hAnsi="Verdana"/>
          <w:sz w:val="18"/>
          <w:szCs w:val="18"/>
        </w:rPr>
        <w:t>Bij schulden en vorderingen wordt aangenomen dat het resultaat aansluit bij de gemiddelde rente op uitstaande hypotheekschulden van huishoudens. Omdat het risico op wanbetalingen hoger is</w:t>
      </w:r>
      <w:r w:rsidRPr="00B1347E" w:rsidR="00B924B0">
        <w:rPr>
          <w:rFonts w:ascii="Verdana" w:hAnsi="Verdana"/>
          <w:sz w:val="18"/>
          <w:szCs w:val="18"/>
        </w:rPr>
        <w:t>,</w:t>
      </w:r>
      <w:r w:rsidRPr="00B1347E">
        <w:rPr>
          <w:rFonts w:ascii="Verdana" w:hAnsi="Verdana"/>
          <w:sz w:val="18"/>
          <w:szCs w:val="18"/>
        </w:rPr>
        <w:t xml:space="preserve"> betalen particuliere beleggers een ongeveer 1,5%-punt hogere rente dan huishoudens met een eigen woning. Deze opslag wordt bij schulden meegenomen. Vorderingen worden vaak aangegaan bij gelieerde partijen. Daarom wordt daar geen risico-opslag meegenomen.</w:t>
      </w:r>
    </w:p>
    <w:p w:rsidRPr="00B1347E" w:rsidR="00E371B1" w:rsidP="00E371B1" w:rsidRDefault="00E371B1" w14:paraId="2CBBC1D1" w14:textId="77777777">
      <w:pPr>
        <w:rPr>
          <w:rFonts w:ascii="Verdana" w:hAnsi="Verdana"/>
          <w:sz w:val="18"/>
          <w:szCs w:val="18"/>
        </w:rPr>
      </w:pPr>
    </w:p>
    <w:p w:rsidRPr="00B1347E" w:rsidR="00E371B1" w:rsidP="00E371B1" w:rsidRDefault="00E371B1" w14:paraId="3A073FA0" w14:textId="77777777">
      <w:pPr>
        <w:rPr>
          <w:rFonts w:ascii="Verdana" w:hAnsi="Verdana"/>
          <w:sz w:val="18"/>
          <w:szCs w:val="18"/>
        </w:rPr>
      </w:pPr>
      <w:r w:rsidRPr="00B1347E">
        <w:rPr>
          <w:rFonts w:ascii="Verdana" w:hAnsi="Verdana"/>
          <w:sz w:val="18"/>
          <w:szCs w:val="18"/>
        </w:rPr>
        <w:lastRenderedPageBreak/>
        <w:t xml:space="preserve">De overige vermogensbestanddelen zijn slechts een klein deel van box 3. Bij niet-vrijgestelde kapitaalverzekeringen wordt aangenomen dat het rendement overeenkomt met dat van defensieve beleggers in beheer. De overige bezittingen worden opgesplitst in </w:t>
      </w:r>
      <w:proofErr w:type="gramStart"/>
      <w:r w:rsidRPr="00B1347E">
        <w:rPr>
          <w:rFonts w:ascii="Verdana" w:hAnsi="Verdana"/>
          <w:sz w:val="18"/>
          <w:szCs w:val="18"/>
        </w:rPr>
        <w:t>hoog renderende</w:t>
      </w:r>
      <w:proofErr w:type="gramEnd"/>
      <w:r w:rsidRPr="00B1347E">
        <w:rPr>
          <w:rFonts w:ascii="Verdana" w:hAnsi="Verdana"/>
          <w:sz w:val="18"/>
          <w:szCs w:val="18"/>
        </w:rPr>
        <w:t xml:space="preserve"> overige bezittingen met een rendement gelijk aan dat van aandelen en laag renderende overige bezittingen met een rendement gelijk aan de gemiddelde spaarrente.</w:t>
      </w:r>
    </w:p>
    <w:p w:rsidRPr="00B1347E" w:rsidR="00E371B1" w:rsidP="00E371B1" w:rsidRDefault="00E371B1" w14:paraId="4320A8A7" w14:textId="77777777">
      <w:pPr>
        <w:rPr>
          <w:rFonts w:ascii="Verdana" w:hAnsi="Verdana"/>
          <w:sz w:val="18"/>
          <w:szCs w:val="18"/>
        </w:rPr>
      </w:pPr>
    </w:p>
    <w:p w:rsidRPr="00B1347E" w:rsidR="00E371B1" w:rsidP="00E371B1" w:rsidRDefault="00E371B1" w14:paraId="56F2EC1A" w14:textId="77777777">
      <w:pPr>
        <w:rPr>
          <w:rFonts w:ascii="Verdana" w:hAnsi="Verdana"/>
          <w:b/>
          <w:bCs/>
          <w:sz w:val="18"/>
          <w:szCs w:val="18"/>
        </w:rPr>
      </w:pPr>
      <w:r w:rsidRPr="00B1347E">
        <w:rPr>
          <w:rFonts w:ascii="Verdana" w:hAnsi="Verdana"/>
          <w:b/>
          <w:bCs/>
          <w:sz w:val="18"/>
          <w:szCs w:val="18"/>
        </w:rPr>
        <w:t>Onzekerheid</w:t>
      </w:r>
    </w:p>
    <w:p w:rsidRPr="00B1347E" w:rsidR="00E371B1" w:rsidP="00E371B1" w:rsidRDefault="00E371B1" w14:paraId="40588EB1" w14:textId="002749C8">
      <w:pPr>
        <w:rPr>
          <w:rFonts w:ascii="Verdana" w:hAnsi="Verdana"/>
          <w:sz w:val="18"/>
          <w:szCs w:val="18"/>
        </w:rPr>
      </w:pPr>
      <w:r w:rsidRPr="00B1347E">
        <w:rPr>
          <w:rFonts w:ascii="Verdana" w:hAnsi="Verdana"/>
          <w:sz w:val="18"/>
          <w:szCs w:val="18"/>
        </w:rPr>
        <w:t>Er zijn een aantal factoren die bijdragen aan de onzekerheid van de raming. Ten eerste is het voor toekomstige jaren onmogelijk om te voorspellen hoe de markten zich (gemiddeld) gaan ontwikkelen. Dat hangt onder andere af van (</w:t>
      </w:r>
      <w:proofErr w:type="spellStart"/>
      <w:r w:rsidRPr="00B1347E">
        <w:rPr>
          <w:rFonts w:ascii="Verdana" w:hAnsi="Verdana"/>
          <w:sz w:val="18"/>
          <w:szCs w:val="18"/>
        </w:rPr>
        <w:t>geo</w:t>
      </w:r>
      <w:proofErr w:type="spellEnd"/>
      <w:r w:rsidRPr="00B1347E">
        <w:rPr>
          <w:rFonts w:ascii="Verdana" w:hAnsi="Verdana"/>
          <w:sz w:val="18"/>
          <w:szCs w:val="18"/>
        </w:rPr>
        <w:t xml:space="preserve">)politieke ontwikkelingen. Rendementen op vermogen vormen bovendien een van nature volatielere grondslag dan het vermogen zelf. Ten tweede zijn er geen microdata beschikbaar met gegevens van het werkelijke rendement van belastingplichtigen, omdat in het oude box 3-stelsel die gegevens niet relevant waren. Het simuleren van deze gegevens zorgt ook voor grote onzekerheid. Hoewel cijfers over gemiddeldes en spreiding meestal wel beschikbaar zijn (zeker voor jaren uit het verleden), is niet voor alle vermogensbestanddelen aan de hand van echte cijfers te verifiëren in hoeverre de gesimuleerde microdata ook de juiste verdeling opleveren van de werkelijke rendementen. </w:t>
      </w:r>
      <w:r w:rsidR="00DC5D05">
        <w:rPr>
          <w:rFonts w:ascii="Verdana" w:hAnsi="Verdana"/>
          <w:sz w:val="18"/>
          <w:szCs w:val="18"/>
        </w:rPr>
        <w:t xml:space="preserve">Ook de gebruikte gedragseffecten </w:t>
      </w:r>
      <w:r w:rsidR="000963B6">
        <w:rPr>
          <w:rFonts w:ascii="Verdana" w:hAnsi="Verdana"/>
          <w:sz w:val="18"/>
          <w:szCs w:val="18"/>
        </w:rPr>
        <w:t>zorgen voor onzekerheid.</w:t>
      </w:r>
    </w:p>
    <w:p w:rsidRPr="00B1347E" w:rsidR="001D469A" w:rsidRDefault="001D469A" w14:paraId="78E6B4D9" w14:textId="77777777">
      <w:pPr>
        <w:rPr>
          <w:rFonts w:ascii="Verdana" w:hAnsi="Verdana"/>
          <w:sz w:val="18"/>
          <w:szCs w:val="18"/>
        </w:rPr>
      </w:pPr>
    </w:p>
    <w:sectPr w:rsidRPr="00B1347E" w:rsidR="001D469A">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F927A" w14:textId="77777777" w:rsidR="00EC25D6" w:rsidRDefault="00EC25D6" w:rsidP="001A27CE">
      <w:pPr>
        <w:spacing w:line="240" w:lineRule="auto"/>
      </w:pPr>
      <w:r>
        <w:separator/>
      </w:r>
    </w:p>
  </w:endnote>
  <w:endnote w:type="continuationSeparator" w:id="0">
    <w:p w14:paraId="21FFF4D3" w14:textId="77777777" w:rsidR="00EC25D6" w:rsidRDefault="00EC25D6" w:rsidP="001A27CE">
      <w:pPr>
        <w:spacing w:line="240" w:lineRule="auto"/>
      </w:pPr>
      <w:r>
        <w:continuationSeparator/>
      </w:r>
    </w:p>
  </w:endnote>
  <w:endnote w:type="continuationNotice" w:id="1">
    <w:p w14:paraId="482C4B37" w14:textId="77777777" w:rsidR="00EC25D6" w:rsidRDefault="00EC25D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FB7BD" w14:textId="77777777" w:rsidR="00EC25D6" w:rsidRDefault="00EC25D6" w:rsidP="001A27CE">
      <w:pPr>
        <w:spacing w:line="240" w:lineRule="auto"/>
      </w:pPr>
      <w:r>
        <w:separator/>
      </w:r>
    </w:p>
  </w:footnote>
  <w:footnote w:type="continuationSeparator" w:id="0">
    <w:p w14:paraId="551EBBB9" w14:textId="77777777" w:rsidR="00EC25D6" w:rsidRDefault="00EC25D6" w:rsidP="001A27CE">
      <w:pPr>
        <w:spacing w:line="240" w:lineRule="auto"/>
      </w:pPr>
      <w:r>
        <w:continuationSeparator/>
      </w:r>
    </w:p>
  </w:footnote>
  <w:footnote w:type="continuationNotice" w:id="1">
    <w:p w14:paraId="0D0C6726" w14:textId="77777777" w:rsidR="00EC25D6" w:rsidRDefault="00EC25D6">
      <w:pPr>
        <w:spacing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7CE"/>
    <w:rsid w:val="000104D9"/>
    <w:rsid w:val="00025E9F"/>
    <w:rsid w:val="000963B6"/>
    <w:rsid w:val="00125AB5"/>
    <w:rsid w:val="00177445"/>
    <w:rsid w:val="001A27CE"/>
    <w:rsid w:val="001D469A"/>
    <w:rsid w:val="001E2758"/>
    <w:rsid w:val="00200CA9"/>
    <w:rsid w:val="002422FD"/>
    <w:rsid w:val="00272218"/>
    <w:rsid w:val="00277D62"/>
    <w:rsid w:val="002D5F5C"/>
    <w:rsid w:val="00323444"/>
    <w:rsid w:val="003958D4"/>
    <w:rsid w:val="003E65FC"/>
    <w:rsid w:val="003F1790"/>
    <w:rsid w:val="003F5FC2"/>
    <w:rsid w:val="004936C2"/>
    <w:rsid w:val="004C4C47"/>
    <w:rsid w:val="005074A4"/>
    <w:rsid w:val="0056021D"/>
    <w:rsid w:val="005F3AB4"/>
    <w:rsid w:val="00606C4E"/>
    <w:rsid w:val="00671290"/>
    <w:rsid w:val="0071601A"/>
    <w:rsid w:val="007534ED"/>
    <w:rsid w:val="00770F41"/>
    <w:rsid w:val="00773604"/>
    <w:rsid w:val="00787AEE"/>
    <w:rsid w:val="00790C9A"/>
    <w:rsid w:val="007D4D46"/>
    <w:rsid w:val="00804330"/>
    <w:rsid w:val="00824EC8"/>
    <w:rsid w:val="008253BC"/>
    <w:rsid w:val="0089744C"/>
    <w:rsid w:val="008B24F0"/>
    <w:rsid w:val="00945888"/>
    <w:rsid w:val="009E6516"/>
    <w:rsid w:val="009E7A57"/>
    <w:rsid w:val="00A15CD4"/>
    <w:rsid w:val="00A97750"/>
    <w:rsid w:val="00B1347E"/>
    <w:rsid w:val="00B351F7"/>
    <w:rsid w:val="00B41797"/>
    <w:rsid w:val="00B66039"/>
    <w:rsid w:val="00B924B0"/>
    <w:rsid w:val="00BB0DE1"/>
    <w:rsid w:val="00BB71D7"/>
    <w:rsid w:val="00C375FB"/>
    <w:rsid w:val="00C46154"/>
    <w:rsid w:val="00C85B4F"/>
    <w:rsid w:val="00C87D0D"/>
    <w:rsid w:val="00CD123C"/>
    <w:rsid w:val="00DB5AEE"/>
    <w:rsid w:val="00DC5D05"/>
    <w:rsid w:val="00E371B1"/>
    <w:rsid w:val="00E61D62"/>
    <w:rsid w:val="00E80BF1"/>
    <w:rsid w:val="00E87CD8"/>
    <w:rsid w:val="00EC25D6"/>
    <w:rsid w:val="00ED1D20"/>
    <w:rsid w:val="00EE5497"/>
    <w:rsid w:val="00EE69BA"/>
    <w:rsid w:val="00EF5B61"/>
    <w:rsid w:val="00F07E04"/>
    <w:rsid w:val="00F718DD"/>
    <w:rsid w:val="00FF0F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7EAFD2"/>
  <w15:chartTrackingRefBased/>
  <w15:docId w15:val="{4F33AB5D-D396-4A05-B17D-A690C21D2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371B1"/>
    <w:pPr>
      <w:spacing w:after="0" w:line="264" w:lineRule="auto"/>
    </w:pPr>
    <w:rPr>
      <w:rFonts w:eastAsiaTheme="minorEastAsia"/>
      <w:kern w:val="0"/>
      <w:sz w:val="20"/>
      <w:szCs w:val="20"/>
      <w14:ligatures w14:val="none"/>
    </w:rPr>
  </w:style>
  <w:style w:type="paragraph" w:styleId="Kop1">
    <w:name w:val="heading 1"/>
    <w:basedOn w:val="Standaard"/>
    <w:next w:val="Standaard"/>
    <w:link w:val="Kop1Char"/>
    <w:uiPriority w:val="9"/>
    <w:qFormat/>
    <w:rsid w:val="001A27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1A27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1A27C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A27C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A27C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A27CE"/>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A27CE"/>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A27CE"/>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A27CE"/>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A27C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1A27C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A27C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A27C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A27C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A27C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A27C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A27C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A27CE"/>
    <w:rPr>
      <w:rFonts w:eastAsiaTheme="majorEastAsia" w:cstheme="majorBidi"/>
      <w:color w:val="272727" w:themeColor="text1" w:themeTint="D8"/>
    </w:rPr>
  </w:style>
  <w:style w:type="paragraph" w:styleId="Titel">
    <w:name w:val="Title"/>
    <w:basedOn w:val="Standaard"/>
    <w:next w:val="Standaard"/>
    <w:link w:val="TitelChar"/>
    <w:uiPriority w:val="10"/>
    <w:qFormat/>
    <w:rsid w:val="001A27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A27C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A27C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A27C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A27C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A27CE"/>
    <w:rPr>
      <w:i/>
      <w:iCs/>
      <w:color w:val="404040" w:themeColor="text1" w:themeTint="BF"/>
    </w:rPr>
  </w:style>
  <w:style w:type="paragraph" w:styleId="Lijstalinea">
    <w:name w:val="List Paragraph"/>
    <w:basedOn w:val="Standaard"/>
    <w:uiPriority w:val="34"/>
    <w:qFormat/>
    <w:rsid w:val="001A27CE"/>
    <w:pPr>
      <w:ind w:left="720"/>
      <w:contextualSpacing/>
    </w:pPr>
  </w:style>
  <w:style w:type="character" w:styleId="Intensievebenadrukking">
    <w:name w:val="Intense Emphasis"/>
    <w:basedOn w:val="Standaardalinea-lettertype"/>
    <w:uiPriority w:val="21"/>
    <w:qFormat/>
    <w:rsid w:val="001A27CE"/>
    <w:rPr>
      <w:i/>
      <w:iCs/>
      <w:color w:val="0F4761" w:themeColor="accent1" w:themeShade="BF"/>
    </w:rPr>
  </w:style>
  <w:style w:type="paragraph" w:styleId="Duidelijkcitaat">
    <w:name w:val="Intense Quote"/>
    <w:basedOn w:val="Standaard"/>
    <w:next w:val="Standaard"/>
    <w:link w:val="DuidelijkcitaatChar"/>
    <w:uiPriority w:val="30"/>
    <w:qFormat/>
    <w:rsid w:val="001A27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A27CE"/>
    <w:rPr>
      <w:i/>
      <w:iCs/>
      <w:color w:val="0F4761" w:themeColor="accent1" w:themeShade="BF"/>
    </w:rPr>
  </w:style>
  <w:style w:type="character" w:styleId="Intensieveverwijzing">
    <w:name w:val="Intense Reference"/>
    <w:basedOn w:val="Standaardalinea-lettertype"/>
    <w:uiPriority w:val="32"/>
    <w:qFormat/>
    <w:rsid w:val="001A27CE"/>
    <w:rPr>
      <w:b/>
      <w:bCs/>
      <w:smallCaps/>
      <w:color w:val="0F4761" w:themeColor="accent1" w:themeShade="BF"/>
      <w:spacing w:val="5"/>
    </w:rPr>
  </w:style>
  <w:style w:type="paragraph" w:styleId="Voetnoottekst">
    <w:name w:val="footnote text"/>
    <w:aliases w:val="Voetnoottekst CE Delft,Voetnoottekst Char1,Voetnoottekst Char2 Char,Voetnoottekst Char1 Char Char,Voetnoottekst Char3 Char Char Char,Voetnoottekst Char2 Char Char Char Char,Voetnoottekst Char1 Char Char Char Char Char,Voetnoottekst Char2"/>
    <w:basedOn w:val="Standaard"/>
    <w:link w:val="VoetnoottekstChar"/>
    <w:uiPriority w:val="99"/>
    <w:rsid w:val="00E371B1"/>
    <w:pPr>
      <w:spacing w:line="180" w:lineRule="atLeast"/>
    </w:pPr>
    <w:rPr>
      <w:rFonts w:eastAsia="Times New Roman" w:cs="Times New Roman"/>
      <w:sz w:val="13"/>
      <w:lang w:eastAsia="nl-NL"/>
    </w:rPr>
  </w:style>
  <w:style w:type="character" w:customStyle="1" w:styleId="VoetnoottekstChar">
    <w:name w:val="Voetnoottekst Char"/>
    <w:aliases w:val="Voetnoottekst CE Delft Char,Voetnoottekst Char1 Char,Voetnoottekst Char2 Char Char,Voetnoottekst Char1 Char Char Char,Voetnoottekst Char3 Char Char Char Char,Voetnoottekst Char2 Char Char Char Char Char,Voetnoottekst Char2 Char1"/>
    <w:basedOn w:val="Standaardalinea-lettertype"/>
    <w:link w:val="Voetnoottekst"/>
    <w:uiPriority w:val="99"/>
    <w:rsid w:val="00E371B1"/>
    <w:rPr>
      <w:rFonts w:eastAsia="Times New Roman" w:cs="Times New Roman"/>
      <w:kern w:val="0"/>
      <w:sz w:val="13"/>
      <w:szCs w:val="20"/>
      <w:lang w:eastAsia="nl-NL"/>
      <w14:ligatures w14:val="none"/>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
    <w:basedOn w:val="Standaardalinea-lettertype"/>
    <w:uiPriority w:val="99"/>
    <w:unhideWhenUsed/>
    <w:qFormat/>
    <w:rsid w:val="00E371B1"/>
    <w:rPr>
      <w:rFonts w:cs="Times New Roman"/>
      <w:vertAlign w:val="superscript"/>
    </w:rPr>
  </w:style>
  <w:style w:type="paragraph" w:styleId="Bijschrift">
    <w:name w:val="caption"/>
    <w:basedOn w:val="Standaard"/>
    <w:next w:val="Standaard"/>
    <w:uiPriority w:val="35"/>
    <w:unhideWhenUsed/>
    <w:qFormat/>
    <w:rsid w:val="00E371B1"/>
    <w:pPr>
      <w:spacing w:line="240" w:lineRule="auto"/>
    </w:pPr>
    <w:rPr>
      <w:b/>
      <w:bCs/>
      <w:smallCaps/>
      <w:color w:val="595959" w:themeColor="text1" w:themeTint="A6"/>
      <w:spacing w:val="6"/>
    </w:rPr>
  </w:style>
  <w:style w:type="table" w:styleId="Rastertabel5donker-Accent1">
    <w:name w:val="Grid Table 5 Dark Accent 1"/>
    <w:basedOn w:val="Standaardtabel"/>
    <w:uiPriority w:val="50"/>
    <w:rsid w:val="00E371B1"/>
    <w:pPr>
      <w:spacing w:after="0" w:line="240" w:lineRule="auto"/>
    </w:pPr>
    <w:rPr>
      <w:rFonts w:ascii="Times New Roman" w:eastAsia="Times New Roman" w:hAnsi="Times New Roman" w:cs="Times New Roman"/>
      <w:kern w:val="0"/>
      <w:sz w:val="20"/>
      <w:szCs w:val="20"/>
      <w:lang w:eastAsia="nl-NL"/>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character" w:styleId="Verwijzingopmerking">
    <w:name w:val="annotation reference"/>
    <w:basedOn w:val="Standaardalinea-lettertype"/>
    <w:uiPriority w:val="99"/>
    <w:semiHidden/>
    <w:unhideWhenUsed/>
    <w:rsid w:val="00E371B1"/>
    <w:rPr>
      <w:sz w:val="16"/>
      <w:szCs w:val="16"/>
    </w:rPr>
  </w:style>
  <w:style w:type="paragraph" w:styleId="Tekstopmerking">
    <w:name w:val="annotation text"/>
    <w:basedOn w:val="Standaard"/>
    <w:link w:val="TekstopmerkingChar"/>
    <w:uiPriority w:val="99"/>
    <w:unhideWhenUsed/>
    <w:rsid w:val="00E371B1"/>
    <w:pPr>
      <w:spacing w:line="240" w:lineRule="auto"/>
    </w:pPr>
  </w:style>
  <w:style w:type="character" w:customStyle="1" w:styleId="TekstopmerkingChar">
    <w:name w:val="Tekst opmerking Char"/>
    <w:basedOn w:val="Standaardalinea-lettertype"/>
    <w:link w:val="Tekstopmerking"/>
    <w:uiPriority w:val="99"/>
    <w:rsid w:val="00E371B1"/>
    <w:rPr>
      <w:rFonts w:eastAsiaTheme="minorEastAsia"/>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E371B1"/>
    <w:rPr>
      <w:b/>
      <w:bCs/>
    </w:rPr>
  </w:style>
  <w:style w:type="character" w:customStyle="1" w:styleId="OnderwerpvanopmerkingChar">
    <w:name w:val="Onderwerp van opmerking Char"/>
    <w:basedOn w:val="TekstopmerkingChar"/>
    <w:link w:val="Onderwerpvanopmerking"/>
    <w:uiPriority w:val="99"/>
    <w:semiHidden/>
    <w:rsid w:val="00E371B1"/>
    <w:rPr>
      <w:rFonts w:eastAsiaTheme="minorEastAsia"/>
      <w:b/>
      <w:bCs/>
      <w:kern w:val="0"/>
      <w:sz w:val="20"/>
      <w:szCs w:val="20"/>
      <w14:ligatures w14:val="none"/>
    </w:rPr>
  </w:style>
  <w:style w:type="table" w:styleId="Tabelraster">
    <w:name w:val="Table Grid"/>
    <w:basedOn w:val="Standaardtabel"/>
    <w:uiPriority w:val="39"/>
    <w:rsid w:val="00E371B1"/>
    <w:pPr>
      <w:spacing w:after="0" w:line="240" w:lineRule="auto"/>
    </w:pPr>
    <w:rPr>
      <w:rFonts w:ascii="Verdana" w:eastAsia="Times New Roman" w:hAnsi="Verdana"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1licht-Accent4">
    <w:name w:val="Grid Table 1 Light Accent 4"/>
    <w:basedOn w:val="Standaardtabel"/>
    <w:uiPriority w:val="46"/>
    <w:rsid w:val="00E371B1"/>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paragraph" w:styleId="Koptekst">
    <w:name w:val="header"/>
    <w:basedOn w:val="Standaard"/>
    <w:link w:val="KoptekstChar"/>
    <w:uiPriority w:val="99"/>
    <w:semiHidden/>
    <w:unhideWhenUsed/>
    <w:rsid w:val="00945888"/>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945888"/>
    <w:rPr>
      <w:rFonts w:eastAsiaTheme="minorEastAsia"/>
      <w:kern w:val="0"/>
      <w:sz w:val="20"/>
      <w:szCs w:val="20"/>
      <w14:ligatures w14:val="none"/>
    </w:rPr>
  </w:style>
  <w:style w:type="paragraph" w:styleId="Voettekst">
    <w:name w:val="footer"/>
    <w:basedOn w:val="Standaard"/>
    <w:link w:val="VoettekstChar"/>
    <w:uiPriority w:val="99"/>
    <w:semiHidden/>
    <w:unhideWhenUsed/>
    <w:rsid w:val="00945888"/>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945888"/>
    <w:rPr>
      <w:rFonts w:eastAsiaTheme="minorEastAsia"/>
      <w:kern w:val="0"/>
      <w:sz w:val="20"/>
      <w:szCs w:val="20"/>
      <w14:ligatures w14:val="none"/>
    </w:rPr>
  </w:style>
  <w:style w:type="table" w:styleId="Onopgemaaktetabel2">
    <w:name w:val="Plain Table 2"/>
    <w:basedOn w:val="Standaardtabel"/>
    <w:uiPriority w:val="42"/>
    <w:rsid w:val="00B1347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e">
    <w:name w:val="Revision"/>
    <w:hidden/>
    <w:uiPriority w:val="99"/>
    <w:semiHidden/>
    <w:rsid w:val="00DC5D05"/>
    <w:pPr>
      <w:spacing w:after="0" w:line="240" w:lineRule="auto"/>
    </w:pPr>
    <w:rPr>
      <w:rFonts w:eastAsiaTheme="minorEastAsia"/>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5" Type="http://schemas.openxmlformats.org/officeDocument/2006/relationships/endnotes" Target="endnotes.xml"/><Relationship Id="rId4" Type="http://schemas.openxmlformats.org/officeDocument/2006/relationships/footnotes" Target="footnotes.xml"/></Relationships>
</file>

<file path=word/charts/_rels/chart1.xml.rels><?xml version="1.0" encoding="UTF-8" standalone="yes"?>
<Relationships xmlns="http://schemas.openxmlformats.org/package/2006/relationships"><Relationship Id="rId3" Type="http://schemas.openxmlformats.org/officeDocument/2006/relationships/oleObject" Target="file:///\\frd.shsdir.nl\orgData\FIN\DGFZ\AFP\Analyse\C06.%20Inkomstenbelasting-niet-winst\Box%203\Stelsel%20werkelijk%20rendement\Raming\89d59122-0a21-4198-a4c2-490e21840946_Ramingen%20nieuwe%20stelsel%20feb25.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'Updates feb25'!$FG$6</c:f>
              <c:strCache>
                <c:ptCount val="1"/>
                <c:pt idx="0">
                  <c:v>Wetsvoorstel</c:v>
                </c:pt>
              </c:strCache>
            </c:strRef>
          </c:tx>
          <c:spPr>
            <a:ln w="28575" cap="rnd">
              <a:solidFill>
                <a:schemeClr val="accent1"/>
              </a:solidFill>
              <a:round/>
            </a:ln>
            <a:effectLst/>
          </c:spPr>
          <c:marker>
            <c:symbol val="none"/>
          </c:marker>
          <c:cat>
            <c:numRef>
              <c:f>'Updates feb25'!$A$7:$A$39</c:f>
              <c:numCache>
                <c:formatCode>General</c:formatCode>
                <c:ptCount val="33"/>
                <c:pt idx="0">
                  <c:v>2028</c:v>
                </c:pt>
                <c:pt idx="1">
                  <c:v>2029</c:v>
                </c:pt>
                <c:pt idx="2">
                  <c:v>2030</c:v>
                </c:pt>
                <c:pt idx="3">
                  <c:v>2031</c:v>
                </c:pt>
                <c:pt idx="4">
                  <c:v>2032</c:v>
                </c:pt>
                <c:pt idx="5">
                  <c:v>2033</c:v>
                </c:pt>
                <c:pt idx="6">
                  <c:v>2034</c:v>
                </c:pt>
                <c:pt idx="7">
                  <c:v>2035</c:v>
                </c:pt>
                <c:pt idx="8">
                  <c:v>2036</c:v>
                </c:pt>
                <c:pt idx="9">
                  <c:v>2037</c:v>
                </c:pt>
                <c:pt idx="10">
                  <c:v>2038</c:v>
                </c:pt>
                <c:pt idx="11">
                  <c:v>2039</c:v>
                </c:pt>
                <c:pt idx="12">
                  <c:v>2040</c:v>
                </c:pt>
                <c:pt idx="13">
                  <c:v>2041</c:v>
                </c:pt>
                <c:pt idx="14">
                  <c:v>2042</c:v>
                </c:pt>
                <c:pt idx="15">
                  <c:v>2043</c:v>
                </c:pt>
                <c:pt idx="16">
                  <c:v>2044</c:v>
                </c:pt>
                <c:pt idx="17">
                  <c:v>2045</c:v>
                </c:pt>
                <c:pt idx="18">
                  <c:v>2046</c:v>
                </c:pt>
                <c:pt idx="19">
                  <c:v>2047</c:v>
                </c:pt>
                <c:pt idx="20">
                  <c:v>2048</c:v>
                </c:pt>
                <c:pt idx="21">
                  <c:v>2049</c:v>
                </c:pt>
                <c:pt idx="22">
                  <c:v>2050</c:v>
                </c:pt>
                <c:pt idx="23">
                  <c:v>2051</c:v>
                </c:pt>
                <c:pt idx="24">
                  <c:v>2052</c:v>
                </c:pt>
                <c:pt idx="25">
                  <c:v>2053</c:v>
                </c:pt>
                <c:pt idx="26">
                  <c:v>2054</c:v>
                </c:pt>
                <c:pt idx="27">
                  <c:v>2055</c:v>
                </c:pt>
                <c:pt idx="28">
                  <c:v>2056</c:v>
                </c:pt>
                <c:pt idx="29">
                  <c:v>2057</c:v>
                </c:pt>
                <c:pt idx="30">
                  <c:v>2058</c:v>
                </c:pt>
                <c:pt idx="31">
                  <c:v>2059</c:v>
                </c:pt>
                <c:pt idx="32">
                  <c:v>2060</c:v>
                </c:pt>
              </c:numCache>
            </c:numRef>
          </c:cat>
          <c:val>
            <c:numRef>
              <c:f>'Updates feb25'!$FF$7:$FF$39</c:f>
              <c:numCache>
                <c:formatCode>#,##0</c:formatCode>
                <c:ptCount val="33"/>
                <c:pt idx="0">
                  <c:v>10038.882272546685</c:v>
                </c:pt>
                <c:pt idx="1">
                  <c:v>8952.4512927521009</c:v>
                </c:pt>
                <c:pt idx="2">
                  <c:v>8617.3305530975813</c:v>
                </c:pt>
                <c:pt idx="3">
                  <c:v>8438.8487333879457</c:v>
                </c:pt>
                <c:pt idx="4">
                  <c:v>8386.0776224467882</c:v>
                </c:pt>
                <c:pt idx="5">
                  <c:v>8353.2629852202608</c:v>
                </c:pt>
                <c:pt idx="6">
                  <c:v>8340.0246929110072</c:v>
                </c:pt>
                <c:pt idx="7">
                  <c:v>8325.7296598434059</c:v>
                </c:pt>
                <c:pt idx="8">
                  <c:v>8341.6408763803156</c:v>
                </c:pt>
                <c:pt idx="9">
                  <c:v>8364.6650146898501</c:v>
                </c:pt>
                <c:pt idx="10">
                  <c:v>8394.0451319501699</c:v>
                </c:pt>
                <c:pt idx="11">
                  <c:v>8424.7007848270023</c:v>
                </c:pt>
                <c:pt idx="12">
                  <c:v>8454.4272015792849</c:v>
                </c:pt>
                <c:pt idx="13">
                  <c:v>8483.9518834467872</c:v>
                </c:pt>
                <c:pt idx="14">
                  <c:v>8514.5541599019762</c:v>
                </c:pt>
                <c:pt idx="15">
                  <c:v>8542.6186343729314</c:v>
                </c:pt>
                <c:pt idx="16">
                  <c:v>8567.9218526748518</c:v>
                </c:pt>
                <c:pt idx="17">
                  <c:v>8592.1972122868228</c:v>
                </c:pt>
                <c:pt idx="18">
                  <c:v>8614.3533699638683</c:v>
                </c:pt>
                <c:pt idx="19">
                  <c:v>8636.4202337952702</c:v>
                </c:pt>
                <c:pt idx="20">
                  <c:v>8656.3806512818119</c:v>
                </c:pt>
                <c:pt idx="21">
                  <c:v>8675.396795685936</c:v>
                </c:pt>
                <c:pt idx="22">
                  <c:v>8694.7823058554095</c:v>
                </c:pt>
                <c:pt idx="23">
                  <c:v>8715.5164564067145</c:v>
                </c:pt>
                <c:pt idx="24">
                  <c:v>8736.8881710746173</c:v>
                </c:pt>
                <c:pt idx="25">
                  <c:v>8756.7990803573157</c:v>
                </c:pt>
                <c:pt idx="26">
                  <c:v>8776.8523504411805</c:v>
                </c:pt>
                <c:pt idx="27">
                  <c:v>8796.5712335585667</c:v>
                </c:pt>
                <c:pt idx="28">
                  <c:v>8816.0577235408819</c:v>
                </c:pt>
                <c:pt idx="29">
                  <c:v>8834.8996850635413</c:v>
                </c:pt>
                <c:pt idx="30">
                  <c:v>8854.251334465167</c:v>
                </c:pt>
                <c:pt idx="31">
                  <c:v>8873.3564796404607</c:v>
                </c:pt>
                <c:pt idx="32">
                  <c:v>8892.3541312135567</c:v>
                </c:pt>
              </c:numCache>
            </c:numRef>
          </c:val>
          <c:smooth val="0"/>
          <c:extLst>
            <c:ext xmlns:c16="http://schemas.microsoft.com/office/drawing/2014/chart" uri="{C3380CC4-5D6E-409C-BE32-E72D297353CC}">
              <c16:uniqueId val="{00000000-25DA-4500-9E85-176730D9FF5E}"/>
            </c:ext>
          </c:extLst>
        </c:ser>
        <c:ser>
          <c:idx val="1"/>
          <c:order val="1"/>
          <c:tx>
            <c:strRef>
              <c:f>'Updates feb25'!$FH$6</c:f>
              <c:strCache>
                <c:ptCount val="1"/>
                <c:pt idx="0">
                  <c:v>Basispad</c:v>
                </c:pt>
              </c:strCache>
            </c:strRef>
          </c:tx>
          <c:spPr>
            <a:ln w="28575" cap="rnd">
              <a:solidFill>
                <a:schemeClr val="accent2"/>
              </a:solidFill>
              <a:round/>
            </a:ln>
            <a:effectLst/>
          </c:spPr>
          <c:marker>
            <c:symbol val="none"/>
          </c:marker>
          <c:cat>
            <c:numRef>
              <c:f>'Updates feb25'!$A$7:$A$39</c:f>
              <c:numCache>
                <c:formatCode>General</c:formatCode>
                <c:ptCount val="33"/>
                <c:pt idx="0">
                  <c:v>2028</c:v>
                </c:pt>
                <c:pt idx="1">
                  <c:v>2029</c:v>
                </c:pt>
                <c:pt idx="2">
                  <c:v>2030</c:v>
                </c:pt>
                <c:pt idx="3">
                  <c:v>2031</c:v>
                </c:pt>
                <c:pt idx="4">
                  <c:v>2032</c:v>
                </c:pt>
                <c:pt idx="5">
                  <c:v>2033</c:v>
                </c:pt>
                <c:pt idx="6">
                  <c:v>2034</c:v>
                </c:pt>
                <c:pt idx="7">
                  <c:v>2035</c:v>
                </c:pt>
                <c:pt idx="8">
                  <c:v>2036</c:v>
                </c:pt>
                <c:pt idx="9">
                  <c:v>2037</c:v>
                </c:pt>
                <c:pt idx="10">
                  <c:v>2038</c:v>
                </c:pt>
                <c:pt idx="11">
                  <c:v>2039</c:v>
                </c:pt>
                <c:pt idx="12">
                  <c:v>2040</c:v>
                </c:pt>
                <c:pt idx="13">
                  <c:v>2041</c:v>
                </c:pt>
                <c:pt idx="14">
                  <c:v>2042</c:v>
                </c:pt>
                <c:pt idx="15">
                  <c:v>2043</c:v>
                </c:pt>
                <c:pt idx="16">
                  <c:v>2044</c:v>
                </c:pt>
                <c:pt idx="17">
                  <c:v>2045</c:v>
                </c:pt>
                <c:pt idx="18">
                  <c:v>2046</c:v>
                </c:pt>
                <c:pt idx="19">
                  <c:v>2047</c:v>
                </c:pt>
                <c:pt idx="20">
                  <c:v>2048</c:v>
                </c:pt>
                <c:pt idx="21">
                  <c:v>2049</c:v>
                </c:pt>
                <c:pt idx="22">
                  <c:v>2050</c:v>
                </c:pt>
                <c:pt idx="23">
                  <c:v>2051</c:v>
                </c:pt>
                <c:pt idx="24">
                  <c:v>2052</c:v>
                </c:pt>
                <c:pt idx="25">
                  <c:v>2053</c:v>
                </c:pt>
                <c:pt idx="26">
                  <c:v>2054</c:v>
                </c:pt>
                <c:pt idx="27">
                  <c:v>2055</c:v>
                </c:pt>
                <c:pt idx="28">
                  <c:v>2056</c:v>
                </c:pt>
                <c:pt idx="29">
                  <c:v>2057</c:v>
                </c:pt>
                <c:pt idx="30">
                  <c:v>2058</c:v>
                </c:pt>
                <c:pt idx="31">
                  <c:v>2059</c:v>
                </c:pt>
                <c:pt idx="32">
                  <c:v>2060</c:v>
                </c:pt>
              </c:numCache>
            </c:numRef>
          </c:cat>
          <c:val>
            <c:numRef>
              <c:f>'Updates feb25'!$FH$7:$FH$40</c:f>
              <c:numCache>
                <c:formatCode>#,##0</c:formatCode>
                <c:ptCount val="34"/>
                <c:pt idx="0">
                  <c:v>9032.8822725466853</c:v>
                </c:pt>
                <c:pt idx="1">
                  <c:v>8882.4512927521009</c:v>
                </c:pt>
                <c:pt idx="2">
                  <c:v>8739.3305530975813</c:v>
                </c:pt>
                <c:pt idx="3">
                  <c:v>8605.8487333879457</c:v>
                </c:pt>
                <c:pt idx="4">
                  <c:v>8482.0776224467882</c:v>
                </c:pt>
                <c:pt idx="5">
                  <c:v>8366.2629852202608</c:v>
                </c:pt>
                <c:pt idx="6">
                  <c:v>8258.0246929110072</c:v>
                </c:pt>
                <c:pt idx="7">
                  <c:v>8156.7296598434059</c:v>
                </c:pt>
                <c:pt idx="8">
                  <c:v>8062.6408763803156</c:v>
                </c:pt>
                <c:pt idx="9">
                  <c:v>7974.6650146898501</c:v>
                </c:pt>
                <c:pt idx="10">
                  <c:v>7891.7258688169632</c:v>
                </c:pt>
                <c:pt idx="11">
                  <c:v>7814.7007848270023</c:v>
                </c:pt>
                <c:pt idx="12">
                  <c:v>7743.4272015792849</c:v>
                </c:pt>
                <c:pt idx="13">
                  <c:v>7676.9518834467872</c:v>
                </c:pt>
                <c:pt idx="14">
                  <c:v>7615.5541599019762</c:v>
                </c:pt>
                <c:pt idx="15">
                  <c:v>7557.6186343729323</c:v>
                </c:pt>
                <c:pt idx="16">
                  <c:v>7503.9218526748518</c:v>
                </c:pt>
                <c:pt idx="17">
                  <c:v>7453.1972122868228</c:v>
                </c:pt>
                <c:pt idx="18">
                  <c:v>7406.3533699638692</c:v>
                </c:pt>
                <c:pt idx="19">
                  <c:v>7361.4202337952702</c:v>
                </c:pt>
                <c:pt idx="20">
                  <c:v>7320.380651281811</c:v>
                </c:pt>
                <c:pt idx="21">
                  <c:v>7281.7944630102384</c:v>
                </c:pt>
                <c:pt idx="22">
                  <c:v>7244.7823058554086</c:v>
                </c:pt>
                <c:pt idx="23">
                  <c:v>7210.8096662846056</c:v>
                </c:pt>
                <c:pt idx="24">
                  <c:v>7179.8881710746173</c:v>
                </c:pt>
                <c:pt idx="25">
                  <c:v>7149.7990803573166</c:v>
                </c:pt>
                <c:pt idx="26">
                  <c:v>7122.8523504411805</c:v>
                </c:pt>
                <c:pt idx="27">
                  <c:v>7097.5712335585658</c:v>
                </c:pt>
                <c:pt idx="28">
                  <c:v>7074.0577235408819</c:v>
                </c:pt>
                <c:pt idx="29">
                  <c:v>7052.8996850635422</c:v>
                </c:pt>
                <c:pt idx="30">
                  <c:v>7032.2513344651661</c:v>
                </c:pt>
                <c:pt idx="31">
                  <c:v>7013.3564796404598</c:v>
                </c:pt>
                <c:pt idx="32">
                  <c:v>6995.3541312135576</c:v>
                </c:pt>
              </c:numCache>
            </c:numRef>
          </c:val>
          <c:smooth val="0"/>
          <c:extLst>
            <c:ext xmlns:c16="http://schemas.microsoft.com/office/drawing/2014/chart" uri="{C3380CC4-5D6E-409C-BE32-E72D297353CC}">
              <c16:uniqueId val="{00000001-25DA-4500-9E85-176730D9FF5E}"/>
            </c:ext>
          </c:extLst>
        </c:ser>
        <c:dLbls>
          <c:showLegendKey val="0"/>
          <c:showVal val="0"/>
          <c:showCatName val="0"/>
          <c:showSerName val="0"/>
          <c:showPercent val="0"/>
          <c:showBubbleSize val="0"/>
        </c:dLbls>
        <c:smooth val="0"/>
        <c:axId val="1678483391"/>
        <c:axId val="1678489151"/>
      </c:lineChart>
      <c:catAx>
        <c:axId val="16784833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nl-NL"/>
          </a:p>
        </c:txPr>
        <c:crossAx val="1678489151"/>
        <c:crosses val="autoZero"/>
        <c:auto val="1"/>
        <c:lblAlgn val="ctr"/>
        <c:lblOffset val="100"/>
        <c:noMultiLvlLbl val="0"/>
      </c:catAx>
      <c:valAx>
        <c:axId val="1678489151"/>
        <c:scaling>
          <c:orientation val="minMax"/>
          <c:min val="650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nl-NL"/>
          </a:p>
        </c:txPr>
        <c:crossAx val="167848339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1961</ap:Words>
  <ap:Characters>10787</ap:Characters>
  <ap:DocSecurity>0</ap:DocSecurity>
  <ap:Lines>89</ap:Lines>
  <ap:Paragraphs>25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12723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2025-05-19T12:44:00.0000000Z</lastPrinted>
  <dcterms:created xsi:type="dcterms:W3CDTF">2025-05-19T12:43:00.0000000Z</dcterms:created>
  <dcterms:modified xsi:type="dcterms:W3CDTF">2025-05-19T12:44:00.0000000Z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2025-04-24T14:45:29Z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8964acc4-1690-44ea-a82f-e2b23a3b9d60</vt:lpwstr>
  </property>
  <property fmtid="{D5CDD505-2E9C-101B-9397-08002B2CF9AE}" pid="8" name="MSIP_Label_b2aa6e22-2c82-48c6-bf24-1790f4b9c128_ContentBits">
    <vt:lpwstr>0</vt:lpwstr>
  </property>
</Properties>
</file>