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785" w:rsidR="00D04785" w:rsidRDefault="00AF53B1" w14:paraId="14A1B868" w14:textId="0649DB0F">
      <w:pPr>
        <w:rPr>
          <w:rFonts w:ascii="Calibri" w:hAnsi="Calibri" w:cs="Calibri"/>
        </w:rPr>
      </w:pPr>
      <w:r w:rsidRPr="00D04785">
        <w:rPr>
          <w:rFonts w:ascii="Calibri" w:hAnsi="Calibri" w:cs="Calibri"/>
        </w:rPr>
        <w:t>32</w:t>
      </w:r>
      <w:r w:rsidRPr="00D04785" w:rsidR="00D04785">
        <w:rPr>
          <w:rFonts w:ascii="Calibri" w:hAnsi="Calibri" w:cs="Calibri"/>
        </w:rPr>
        <w:t xml:space="preserve"> </w:t>
      </w:r>
      <w:r w:rsidRPr="00D04785">
        <w:rPr>
          <w:rFonts w:ascii="Calibri" w:hAnsi="Calibri" w:cs="Calibri"/>
        </w:rPr>
        <w:t>140</w:t>
      </w:r>
      <w:r w:rsidRPr="00D04785" w:rsidR="00D04785">
        <w:rPr>
          <w:rFonts w:ascii="Calibri" w:hAnsi="Calibri" w:cs="Calibri"/>
        </w:rPr>
        <w:tab/>
      </w:r>
      <w:r w:rsidRPr="00D04785" w:rsidR="00D04785">
        <w:rPr>
          <w:rFonts w:ascii="Calibri" w:hAnsi="Calibri" w:cs="Calibri"/>
        </w:rPr>
        <w:tab/>
        <w:t>Herziening Belastingstelsel</w:t>
      </w:r>
    </w:p>
    <w:p w:rsidRPr="00D04785" w:rsidR="00D04785" w:rsidP="00D31852" w:rsidRDefault="00D04785" w14:paraId="6428AF50" w14:textId="77777777">
      <w:pPr>
        <w:rPr>
          <w:rFonts w:ascii="Calibri" w:hAnsi="Calibri" w:cs="Calibri"/>
        </w:rPr>
      </w:pPr>
      <w:r w:rsidRPr="00D04785">
        <w:rPr>
          <w:rFonts w:ascii="Calibri" w:hAnsi="Calibri" w:cs="Calibri"/>
        </w:rPr>
        <w:t xml:space="preserve">Nr. </w:t>
      </w:r>
      <w:r w:rsidRPr="00D04785" w:rsidR="00AF53B1">
        <w:rPr>
          <w:rFonts w:ascii="Calibri" w:hAnsi="Calibri" w:cs="Calibri"/>
        </w:rPr>
        <w:t>252</w:t>
      </w:r>
      <w:r w:rsidRPr="00D04785">
        <w:rPr>
          <w:rFonts w:ascii="Calibri" w:hAnsi="Calibri" w:cs="Calibri"/>
        </w:rPr>
        <w:tab/>
      </w:r>
      <w:r w:rsidRPr="00D04785">
        <w:rPr>
          <w:rFonts w:ascii="Calibri" w:hAnsi="Calibri" w:cs="Calibri"/>
        </w:rPr>
        <w:tab/>
        <w:t>Brief van de staatssecretaris van Financiën</w:t>
      </w:r>
    </w:p>
    <w:p w:rsidRPr="00D04785" w:rsidR="00AF53B1" w:rsidP="00AF53B1" w:rsidRDefault="00D04785" w14:paraId="5A53FC11" w14:textId="12BF8E24">
      <w:pPr>
        <w:rPr>
          <w:rFonts w:ascii="Calibri" w:hAnsi="Calibri" w:cs="Calibri"/>
        </w:rPr>
      </w:pPr>
      <w:r w:rsidRPr="00D04785">
        <w:rPr>
          <w:rFonts w:ascii="Calibri" w:hAnsi="Calibri" w:cs="Calibri"/>
        </w:rPr>
        <w:t>Aan de Voorzitter van de Tweede Kamer der Staten-Generaal</w:t>
      </w:r>
    </w:p>
    <w:p w:rsidRPr="00D04785" w:rsidR="00AF53B1" w:rsidP="00AF53B1" w:rsidRDefault="00D04785" w14:paraId="2D136F1B" w14:textId="0C2C11A1">
      <w:pPr>
        <w:rPr>
          <w:rFonts w:ascii="Calibri" w:hAnsi="Calibri" w:cs="Calibri"/>
        </w:rPr>
      </w:pPr>
      <w:r w:rsidRPr="00D04785">
        <w:rPr>
          <w:rFonts w:ascii="Calibri" w:hAnsi="Calibri" w:cs="Calibri"/>
        </w:rPr>
        <w:t>Den Haag, 19 mei 2025</w:t>
      </w:r>
    </w:p>
    <w:p w:rsidRPr="00D04785" w:rsidR="00D04785" w:rsidP="00AF53B1" w:rsidRDefault="00D04785" w14:paraId="35ABCE29" w14:textId="77777777">
      <w:pPr>
        <w:rPr>
          <w:rFonts w:ascii="Calibri" w:hAnsi="Calibri" w:cs="Calibri"/>
        </w:rPr>
      </w:pPr>
    </w:p>
    <w:p w:rsidRPr="00D04785" w:rsidR="00AF53B1" w:rsidP="00AF53B1" w:rsidRDefault="00AF53B1" w14:paraId="58EEE7B3" w14:textId="62FA080B">
      <w:pPr>
        <w:rPr>
          <w:rFonts w:ascii="Calibri" w:hAnsi="Calibri" w:cs="Calibri"/>
        </w:rPr>
      </w:pPr>
      <w:r w:rsidRPr="00D04785">
        <w:rPr>
          <w:rFonts w:ascii="Calibri" w:hAnsi="Calibri" w:cs="Calibri"/>
        </w:rPr>
        <w:t>Op 18 december 2024 werd het rapport "</w:t>
      </w:r>
      <w:r w:rsidRPr="00D04785">
        <w:rPr>
          <w:rFonts w:ascii="Calibri" w:hAnsi="Calibri" w:cs="Calibri"/>
          <w:i/>
          <w:iCs/>
        </w:rPr>
        <w:t>VAT Gap in the EU, report 2024</w:t>
      </w:r>
      <w:r w:rsidRPr="00D04785">
        <w:rPr>
          <w:rFonts w:ascii="Calibri" w:hAnsi="Calibri" w:cs="Calibri"/>
        </w:rPr>
        <w:t>" door de Europese Commissie (hierna Commissie) gepubliceerd.</w:t>
      </w:r>
      <w:r w:rsidRPr="00D04785">
        <w:rPr>
          <w:rFonts w:ascii="Calibri" w:hAnsi="Calibri" w:cs="Calibri"/>
          <w:vertAlign w:val="superscript"/>
        </w:rPr>
        <w:footnoteReference w:id="1"/>
      </w:r>
      <w:r w:rsidRPr="00D04785">
        <w:rPr>
          <w:rFonts w:ascii="Calibri" w:hAnsi="Calibri" w:cs="Calibri"/>
        </w:rPr>
        <w:t xml:space="preserve"> Dit jaarlijkse rapport biedt een overzicht van het btw-gat in zowel de Europese Unie (hierna EU) als individuele lidstaten. In het rapport monitort de Commissie de btw-inkomsten in de EU voor het jaar 2022 en kijkt het in grote lijnen of de genomen btw-maatregelen op zowel EU- als lidstaatniveau effectief zijn. Het rapport maakt een onderscheid tussen twee categorieën btw-gaten: het btw-nalevingsgat en het btw-beleidsgat. Het btw-nalevingsgat verwijst naar het verschil tussen de belastingopbrengsten die zouden worden gegenereerd bij volledige naleving van de wet- en regelgeving, en de daadwerkelijke opbrengsten. Het btw-beleidsgat betreft de misgelopen btw-inkomsten als gevolg van verlaagde btw-tarieven (inclusief het nultarief) en vrijstellingen. </w:t>
      </w:r>
    </w:p>
    <w:p w:rsidRPr="00D04785" w:rsidR="00AF53B1" w:rsidP="00AF53B1" w:rsidRDefault="00AF53B1" w14:paraId="603B95C5" w14:textId="77777777">
      <w:pPr>
        <w:rPr>
          <w:rFonts w:ascii="Calibri" w:hAnsi="Calibri" w:cs="Calibri"/>
        </w:rPr>
      </w:pPr>
    </w:p>
    <w:p w:rsidRPr="00D04785" w:rsidR="00AF53B1" w:rsidP="00AF53B1" w:rsidRDefault="00AF53B1" w14:paraId="68ED8BF1" w14:textId="77777777">
      <w:pPr>
        <w:rPr>
          <w:rFonts w:ascii="Calibri" w:hAnsi="Calibri" w:cs="Calibri"/>
        </w:rPr>
      </w:pPr>
      <w:r w:rsidRPr="00D04785">
        <w:rPr>
          <w:rFonts w:ascii="Calibri" w:hAnsi="Calibri" w:cs="Calibri"/>
        </w:rPr>
        <w:t>Deze brief behandelt de uitkomsten van het rapport met betrekking tot de EU en Nederland. De brief gaat in op de werkwijze van de Belastingdienst in Nederland en werpt een blik op toekomstige ontwikkelingen. Hierbij wordt een onderscheid gemaakt tussen het btw-nalevingsgat en het btw-beleidsgat. Vorig jaar heeft de Kamer eenzelfde brief ontvangen over het rapport uit 2023.</w:t>
      </w:r>
      <w:r w:rsidRPr="00D04785">
        <w:rPr>
          <w:rFonts w:ascii="Calibri" w:hAnsi="Calibri" w:cs="Calibri"/>
          <w:vertAlign w:val="superscript"/>
        </w:rPr>
        <w:footnoteReference w:id="2"/>
      </w:r>
    </w:p>
    <w:p w:rsidRPr="00D04785" w:rsidR="00AF53B1" w:rsidP="00AF53B1" w:rsidRDefault="00AF53B1" w14:paraId="7C1E9389" w14:textId="77777777">
      <w:pPr>
        <w:rPr>
          <w:rFonts w:ascii="Calibri" w:hAnsi="Calibri" w:cs="Calibri"/>
        </w:rPr>
      </w:pPr>
    </w:p>
    <w:p w:rsidRPr="00D04785" w:rsidR="00AF53B1" w:rsidP="00AF53B1" w:rsidRDefault="00AF53B1" w14:paraId="3C0ED9B1" w14:textId="77777777">
      <w:pPr>
        <w:rPr>
          <w:rFonts w:ascii="Calibri" w:hAnsi="Calibri" w:cs="Calibri"/>
          <w:b/>
          <w:bCs/>
        </w:rPr>
      </w:pPr>
      <w:r w:rsidRPr="00D04785">
        <w:rPr>
          <w:rFonts w:ascii="Calibri" w:hAnsi="Calibri" w:cs="Calibri"/>
          <w:b/>
          <w:bCs/>
        </w:rPr>
        <w:t>Conclusie</w:t>
      </w:r>
    </w:p>
    <w:p w:rsidRPr="00D04785" w:rsidR="00AF53B1" w:rsidP="00AF53B1" w:rsidRDefault="00AF53B1" w14:paraId="20C23CEF" w14:textId="77777777">
      <w:pPr>
        <w:rPr>
          <w:rFonts w:ascii="Calibri" w:hAnsi="Calibri" w:cs="Calibri"/>
          <w:highlight w:val="yellow"/>
        </w:rPr>
      </w:pPr>
    </w:p>
    <w:p w:rsidRPr="00D04785" w:rsidR="00AF53B1" w:rsidP="00AF53B1" w:rsidRDefault="00AF53B1" w14:paraId="56A86A4D" w14:textId="77777777">
      <w:pPr>
        <w:spacing w:line="240" w:lineRule="exact"/>
        <w:rPr>
          <w:rFonts w:ascii="Calibri" w:hAnsi="Calibri" w:cs="Calibri"/>
        </w:rPr>
      </w:pPr>
      <w:r w:rsidRPr="00D04785">
        <w:rPr>
          <w:rFonts w:ascii="Calibri" w:hAnsi="Calibri" w:cs="Calibri"/>
        </w:rPr>
        <w:t xml:space="preserve">Volgens de Commissie was in 2022 het btw-nalevingsgat in de EU 7,0% (89mld. euro). Dit is een lichte stijging ten opzichte van 2021, toen het btw-nalevingsgat uitkwam op 6,6% (76mld. euro). Het Nederlandse btw-nalevingsgat is in 2022 volgens het rapport 7,9% (5,9mld. euro). Dit betreft een stijging van 2,6% (2,3mld. euro). De Commissie geeft aan dat de Nederlandse ramingen met bijna 5%-punt omhoog zijn bijgesteld door de revisie van de nationale rekeningen door het CBS. Deze revisie ziet ook op de cijfers van eerdere jaren. Hierdoor zijn de (theoretische) btw-inkomsten bij perfecte naleving gestegen, maar de feitelijke inkomsten niet, </w:t>
      </w:r>
      <w:r w:rsidRPr="00D04785">
        <w:rPr>
          <w:rFonts w:ascii="Calibri" w:hAnsi="Calibri" w:cs="Calibri"/>
        </w:rPr>
        <w:lastRenderedPageBreak/>
        <w:t>waardoor het btw-nalevingsgat groter is geworden. Volgens onze eigen berekeningen ligt het Nederlandse btw-nalevingsgat op basis van cijfers van meer gedetailleerde cijfers van het CBS in de periode 2018-2021 lager dan het rapport stelt, namelijk stabiel rond de 4,5%.</w:t>
      </w:r>
    </w:p>
    <w:p w:rsidRPr="00D04785" w:rsidR="00AF53B1" w:rsidP="00AF53B1" w:rsidRDefault="00AF53B1" w14:paraId="1602DEC5" w14:textId="77777777">
      <w:pPr>
        <w:spacing w:line="240" w:lineRule="exact"/>
        <w:rPr>
          <w:rFonts w:ascii="Calibri" w:hAnsi="Calibri" w:cs="Calibri"/>
        </w:rPr>
      </w:pPr>
    </w:p>
    <w:p w:rsidRPr="00D04785" w:rsidR="00AF53B1" w:rsidP="00AF53B1" w:rsidRDefault="00AF53B1" w14:paraId="0728FA65" w14:textId="77777777">
      <w:pPr>
        <w:spacing w:line="240" w:lineRule="exact"/>
        <w:rPr>
          <w:rFonts w:ascii="Calibri" w:hAnsi="Calibri" w:cs="Calibri"/>
        </w:rPr>
      </w:pPr>
      <w:r w:rsidRPr="00D04785">
        <w:rPr>
          <w:rFonts w:ascii="Calibri" w:hAnsi="Calibri" w:cs="Calibri"/>
        </w:rPr>
        <w:t>Volgens het rapport was het Europese btw-beleidsgat in 2022 49,6%. Daarvan bestond 30,6%-punt uit verplichte vrijstellingen, 7%-punt uit optionele vrijstellingen en 12%-punt uit verlaagde tarieven. Volgens het rapport bedraagt het Nederlandse btw-beleidsgat in 2022 48,7% (72,4mld. euro). Hiervan werd 9,8%-punt (14,5mld. euro) veroorzaakt door verlaagde of 0% btw-tarieven</w:t>
      </w:r>
      <w:r w:rsidRPr="00D04785">
        <w:rPr>
          <w:rFonts w:ascii="Calibri" w:hAnsi="Calibri" w:cs="Calibri"/>
          <w:vertAlign w:val="superscript"/>
        </w:rPr>
        <w:footnoteReference w:id="3"/>
      </w:r>
      <w:r w:rsidRPr="00D04785">
        <w:rPr>
          <w:rFonts w:ascii="Calibri" w:hAnsi="Calibri" w:cs="Calibri"/>
        </w:rPr>
        <w:t xml:space="preserve">, 34,8%-punt (51,6mld. euro) door verplichte vrijstellingen en 4,3%-punt (6,3mld. euro) door optionele vrijstellingen. </w:t>
      </w:r>
    </w:p>
    <w:p w:rsidRPr="00D04785" w:rsidR="00AF53B1" w:rsidP="00AF53B1" w:rsidRDefault="00AF53B1" w14:paraId="4A1AAB77" w14:textId="77777777">
      <w:pPr>
        <w:rPr>
          <w:rFonts w:ascii="Calibri" w:hAnsi="Calibri" w:cs="Calibri"/>
        </w:rPr>
      </w:pPr>
    </w:p>
    <w:p w:rsidRPr="00D04785" w:rsidR="00AF53B1" w:rsidP="00AF53B1" w:rsidRDefault="00AF53B1" w14:paraId="7C30C599" w14:textId="77777777">
      <w:pPr>
        <w:rPr>
          <w:rFonts w:ascii="Calibri" w:hAnsi="Calibri" w:cs="Calibri"/>
          <w:b/>
          <w:bCs/>
        </w:rPr>
      </w:pPr>
      <w:r w:rsidRPr="00D04785">
        <w:rPr>
          <w:rFonts w:ascii="Calibri" w:hAnsi="Calibri" w:cs="Calibri"/>
          <w:b/>
          <w:bCs/>
        </w:rPr>
        <w:t>Btw-nalevingsgat</w:t>
      </w:r>
    </w:p>
    <w:p w:rsidRPr="00D04785" w:rsidR="00AF53B1" w:rsidP="00AF53B1" w:rsidRDefault="00AF53B1" w14:paraId="761988D2" w14:textId="77777777">
      <w:pPr>
        <w:rPr>
          <w:rFonts w:ascii="Calibri" w:hAnsi="Calibri" w:cs="Calibri"/>
        </w:rPr>
      </w:pPr>
    </w:p>
    <w:p w:rsidRPr="00D04785" w:rsidR="00AF53B1" w:rsidP="00AF53B1" w:rsidRDefault="00AF53B1" w14:paraId="4CA2E570" w14:textId="77777777">
      <w:pPr>
        <w:rPr>
          <w:rFonts w:ascii="Calibri" w:hAnsi="Calibri" w:cs="Calibri"/>
          <w:i/>
          <w:iCs/>
          <w:u w:val="single"/>
        </w:rPr>
      </w:pPr>
      <w:r w:rsidRPr="00D04785">
        <w:rPr>
          <w:rFonts w:ascii="Calibri" w:hAnsi="Calibri" w:cs="Calibri"/>
          <w:i/>
          <w:iCs/>
          <w:u w:val="single"/>
        </w:rPr>
        <w:t xml:space="preserve">Oorzaken van het btw-nalevingsgat </w:t>
      </w:r>
    </w:p>
    <w:p w:rsidRPr="00D04785" w:rsidR="00AF53B1" w:rsidP="00AF53B1" w:rsidRDefault="00AF53B1" w14:paraId="2048CAFD" w14:textId="77777777">
      <w:pPr>
        <w:rPr>
          <w:rFonts w:ascii="Calibri" w:hAnsi="Calibri" w:cs="Calibri"/>
        </w:rPr>
      </w:pPr>
      <w:r w:rsidRPr="00D04785">
        <w:rPr>
          <w:rFonts w:ascii="Calibri" w:hAnsi="Calibri" w:cs="Calibri"/>
        </w:rPr>
        <w:t xml:space="preserve">Berichtgeving over het "btw-gat" verwijst doorgaans naar het btw-nalevingsgat. Dit gat ontstaat hoofdzakelijk door: </w:t>
      </w:r>
    </w:p>
    <w:p w:rsidRPr="00D04785" w:rsidR="00AF53B1" w:rsidP="00AF53B1" w:rsidRDefault="00AF53B1" w14:paraId="23A00276" w14:textId="77777777">
      <w:pPr>
        <w:numPr>
          <w:ilvl w:val="0"/>
          <w:numId w:val="1"/>
        </w:numPr>
        <w:autoSpaceDN w:val="0"/>
        <w:spacing w:after="0" w:line="240" w:lineRule="atLeast"/>
        <w:rPr>
          <w:rFonts w:ascii="Calibri" w:hAnsi="Calibri" w:cs="Calibri"/>
        </w:rPr>
      </w:pPr>
      <w:r w:rsidRPr="00D04785">
        <w:rPr>
          <w:rFonts w:ascii="Calibri" w:hAnsi="Calibri" w:cs="Calibri"/>
        </w:rPr>
        <w:t>Insolventie en faillissementen,</w:t>
      </w:r>
    </w:p>
    <w:p w:rsidRPr="00D04785" w:rsidR="00AF53B1" w:rsidP="00AF53B1" w:rsidRDefault="00AF53B1" w14:paraId="4C8B2555" w14:textId="77777777">
      <w:pPr>
        <w:numPr>
          <w:ilvl w:val="0"/>
          <w:numId w:val="1"/>
        </w:numPr>
        <w:autoSpaceDN w:val="0"/>
        <w:spacing w:after="0" w:line="240" w:lineRule="atLeast"/>
        <w:rPr>
          <w:rFonts w:ascii="Calibri" w:hAnsi="Calibri" w:cs="Calibri"/>
        </w:rPr>
      </w:pPr>
      <w:r w:rsidRPr="00D04785">
        <w:rPr>
          <w:rFonts w:ascii="Calibri" w:hAnsi="Calibri" w:cs="Calibri"/>
        </w:rPr>
        <w:t xml:space="preserve">Administratieve fouten, </w:t>
      </w:r>
    </w:p>
    <w:p w:rsidRPr="00D04785" w:rsidR="00AF53B1" w:rsidP="00AF53B1" w:rsidRDefault="00AF53B1" w14:paraId="11241E20" w14:textId="77777777">
      <w:pPr>
        <w:numPr>
          <w:ilvl w:val="0"/>
          <w:numId w:val="1"/>
        </w:numPr>
        <w:autoSpaceDN w:val="0"/>
        <w:spacing w:after="0" w:line="240" w:lineRule="atLeast"/>
        <w:rPr>
          <w:rFonts w:ascii="Calibri" w:hAnsi="Calibri" w:cs="Calibri"/>
        </w:rPr>
      </w:pPr>
      <w:r w:rsidRPr="00D04785">
        <w:rPr>
          <w:rFonts w:ascii="Calibri" w:hAnsi="Calibri" w:cs="Calibri"/>
        </w:rPr>
        <w:t>Onduidelijkheden in de wetgeving, met name met betrekking tot de toepassing van verlaagde btw-tarieven en vrijstellingen,</w:t>
      </w:r>
    </w:p>
    <w:p w:rsidRPr="00D04785" w:rsidR="00AF53B1" w:rsidP="00AF53B1" w:rsidRDefault="00AF53B1" w14:paraId="31A468D9" w14:textId="77777777">
      <w:pPr>
        <w:numPr>
          <w:ilvl w:val="0"/>
          <w:numId w:val="1"/>
        </w:numPr>
        <w:autoSpaceDN w:val="0"/>
        <w:spacing w:after="0" w:line="240" w:lineRule="atLeast"/>
        <w:rPr>
          <w:rFonts w:ascii="Calibri" w:hAnsi="Calibri" w:cs="Calibri"/>
        </w:rPr>
      </w:pPr>
      <w:r w:rsidRPr="00D04785">
        <w:rPr>
          <w:rFonts w:ascii="Calibri" w:hAnsi="Calibri" w:cs="Calibri"/>
        </w:rPr>
        <w:t>Fraude en belastingontduiking, en</w:t>
      </w:r>
    </w:p>
    <w:p w:rsidRPr="00D04785" w:rsidR="00AF53B1" w:rsidP="00AF53B1" w:rsidRDefault="00AF53B1" w14:paraId="0B5721A8" w14:textId="77777777">
      <w:pPr>
        <w:numPr>
          <w:ilvl w:val="0"/>
          <w:numId w:val="1"/>
        </w:numPr>
        <w:autoSpaceDN w:val="0"/>
        <w:spacing w:after="0" w:line="240" w:lineRule="atLeast"/>
        <w:rPr>
          <w:rFonts w:ascii="Calibri" w:hAnsi="Calibri" w:cs="Calibri"/>
        </w:rPr>
      </w:pPr>
      <w:r w:rsidRPr="00D04785">
        <w:rPr>
          <w:rFonts w:ascii="Calibri" w:hAnsi="Calibri" w:cs="Calibri"/>
        </w:rPr>
        <w:t>Belastingontwijking en -planning</w:t>
      </w:r>
    </w:p>
    <w:p w:rsidRPr="00D04785" w:rsidR="00AF53B1" w:rsidP="00AF53B1" w:rsidRDefault="00AF53B1" w14:paraId="28B2CED3" w14:textId="77777777">
      <w:pPr>
        <w:rPr>
          <w:rFonts w:ascii="Calibri" w:hAnsi="Calibri" w:cs="Calibri"/>
        </w:rPr>
      </w:pPr>
      <w:r w:rsidRPr="00D04785">
        <w:rPr>
          <w:rFonts w:ascii="Calibri" w:hAnsi="Calibri" w:cs="Calibri"/>
        </w:rPr>
        <w:t>Daarnaast wordt de omvang van het btw-nalevingsgat beïnvloed door economische factoren binnen een lidstaat, het institutionele klimaat, de economische structuur en het functioneren van de Belastingdienst. De samenstelling van het btw-nalevingsgat verschilt per lidstaat en wordt niet nader toegelicht in het rapport. De Commissie schatte eerder dat een kwart van het btw-gat in de EU te wijten is aan btw-fraude, terwijl het resterende deel wordt toegeschreven aan de andere genoemde oorzaken.</w:t>
      </w:r>
      <w:r w:rsidRPr="00D04785">
        <w:rPr>
          <w:rFonts w:ascii="Calibri" w:hAnsi="Calibri" w:cs="Calibri"/>
          <w:vertAlign w:val="superscript"/>
        </w:rPr>
        <w:footnoteReference w:id="4"/>
      </w:r>
    </w:p>
    <w:p w:rsidRPr="00D04785" w:rsidR="00AF53B1" w:rsidP="00AF53B1" w:rsidRDefault="00AF53B1" w14:paraId="6EB52F3E" w14:textId="77777777">
      <w:pPr>
        <w:rPr>
          <w:rFonts w:ascii="Calibri" w:hAnsi="Calibri" w:cs="Calibri"/>
        </w:rPr>
      </w:pPr>
    </w:p>
    <w:p w:rsidRPr="00D04785" w:rsidR="00AF53B1" w:rsidP="00AF53B1" w:rsidRDefault="00AF53B1" w14:paraId="37E25F60" w14:textId="77777777">
      <w:pPr>
        <w:rPr>
          <w:rFonts w:ascii="Calibri" w:hAnsi="Calibri" w:cs="Calibri"/>
          <w:i/>
          <w:iCs/>
          <w:u w:val="single"/>
        </w:rPr>
      </w:pPr>
      <w:r w:rsidRPr="00D04785">
        <w:rPr>
          <w:rFonts w:ascii="Calibri" w:hAnsi="Calibri" w:cs="Calibri"/>
          <w:i/>
          <w:iCs/>
          <w:u w:val="single"/>
        </w:rPr>
        <w:t>Het btw-nalevingsgat in de EU</w:t>
      </w:r>
    </w:p>
    <w:p w:rsidRPr="00D04785" w:rsidR="00AF53B1" w:rsidP="00AF53B1" w:rsidRDefault="00AF53B1" w14:paraId="0271B77A" w14:textId="77777777">
      <w:pPr>
        <w:rPr>
          <w:rFonts w:ascii="Calibri" w:hAnsi="Calibri" w:cs="Calibri"/>
        </w:rPr>
      </w:pPr>
      <w:r w:rsidRPr="00D04785">
        <w:rPr>
          <w:rFonts w:ascii="Calibri" w:hAnsi="Calibri" w:cs="Calibri"/>
        </w:rPr>
        <w:t xml:space="preserve">Volgens het rapport was in 2022 het btw-nalevingsgat in de EU 7,0% (89mld. euro). Dit is een lichte stijging ten opzichte van 2021, toen het btw-nalevingsgat uitkwam </w:t>
      </w:r>
      <w:r w:rsidRPr="00D04785">
        <w:rPr>
          <w:rFonts w:ascii="Calibri" w:hAnsi="Calibri" w:cs="Calibri"/>
        </w:rPr>
        <w:lastRenderedPageBreak/>
        <w:t>op 6,6% (76mld. euro). Door het uitfaseren van de coronasteun is volgens het rapport in 2022 het aantal faillissementen met 11,5% toegenomen. Dit resulteert in misgelopen btw-inkomsten en daarmee een vergroting van het btw-nalevingsgat.</w:t>
      </w:r>
    </w:p>
    <w:p w:rsidRPr="00D04785" w:rsidR="00AF53B1" w:rsidP="00AF53B1" w:rsidRDefault="00AF53B1" w14:paraId="5F986F60" w14:textId="77777777">
      <w:pPr>
        <w:rPr>
          <w:rFonts w:ascii="Calibri" w:hAnsi="Calibri" w:cs="Calibri"/>
        </w:rPr>
      </w:pPr>
    </w:p>
    <w:p w:rsidRPr="00D04785" w:rsidR="00AF53B1" w:rsidP="00AF53B1" w:rsidRDefault="00AF53B1" w14:paraId="75F5AE95" w14:textId="77777777">
      <w:pPr>
        <w:rPr>
          <w:rFonts w:ascii="Calibri" w:hAnsi="Calibri" w:cs="Calibri"/>
        </w:rPr>
      </w:pPr>
      <w:r w:rsidRPr="00D04785">
        <w:rPr>
          <w:rFonts w:ascii="Calibri" w:hAnsi="Calibri" w:cs="Calibri"/>
        </w:rPr>
        <w:t>Tabel 1</w:t>
      </w:r>
    </w:p>
    <w:tbl>
      <w:tblPr>
        <w:tblStyle w:val="Tabelraster1"/>
        <w:tblW w:w="0" w:type="auto"/>
        <w:tblInd w:w="-5" w:type="dxa"/>
        <w:tblLook w:val="04A0" w:firstRow="1" w:lastRow="0" w:firstColumn="1" w:lastColumn="0" w:noHBand="0" w:noVBand="1"/>
      </w:tblPr>
      <w:tblGrid>
        <w:gridCol w:w="1276"/>
        <w:gridCol w:w="1197"/>
        <w:gridCol w:w="1281"/>
        <w:gridCol w:w="1282"/>
        <w:gridCol w:w="1250"/>
        <w:gridCol w:w="1250"/>
      </w:tblGrid>
      <w:tr w:rsidRPr="00D04785" w:rsidR="00AF53B1" w:rsidTr="000224EC" w14:paraId="2F124695" w14:textId="77777777">
        <w:tc>
          <w:tcPr>
            <w:tcW w:w="127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D3792DF" w14:textId="77777777">
            <w:pPr>
              <w:rPr>
                <w:rFonts w:ascii="Calibri" w:hAnsi="Calibri" w:cs="Calibri"/>
                <w:b/>
                <w:bCs/>
                <w:sz w:val="22"/>
                <w:szCs w:val="22"/>
              </w:rPr>
            </w:pPr>
            <w:r w:rsidRPr="00D04785">
              <w:rPr>
                <w:rFonts w:ascii="Calibri" w:hAnsi="Calibri" w:cs="Calibri"/>
                <w:b/>
                <w:bCs/>
                <w:sz w:val="22"/>
                <w:szCs w:val="22"/>
              </w:rPr>
              <w:t>Jaar</w:t>
            </w:r>
          </w:p>
        </w:tc>
        <w:tc>
          <w:tcPr>
            <w:tcW w:w="1197"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080A61E3" w14:textId="77777777">
            <w:pPr>
              <w:rPr>
                <w:rFonts w:ascii="Calibri" w:hAnsi="Calibri" w:cs="Calibri"/>
                <w:sz w:val="22"/>
                <w:szCs w:val="22"/>
              </w:rPr>
            </w:pPr>
            <w:r w:rsidRPr="00D04785">
              <w:rPr>
                <w:rFonts w:ascii="Calibri" w:hAnsi="Calibri" w:cs="Calibri"/>
                <w:sz w:val="22"/>
                <w:szCs w:val="22"/>
              </w:rPr>
              <w:t>2018</w:t>
            </w:r>
          </w:p>
        </w:tc>
        <w:tc>
          <w:tcPr>
            <w:tcW w:w="128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1159F219" w14:textId="77777777">
            <w:pPr>
              <w:rPr>
                <w:rFonts w:ascii="Calibri" w:hAnsi="Calibri" w:cs="Calibri"/>
                <w:sz w:val="22"/>
                <w:szCs w:val="22"/>
              </w:rPr>
            </w:pPr>
            <w:r w:rsidRPr="00D04785">
              <w:rPr>
                <w:rFonts w:ascii="Calibri" w:hAnsi="Calibri" w:cs="Calibri"/>
                <w:sz w:val="22"/>
                <w:szCs w:val="22"/>
              </w:rPr>
              <w:t>2019*</w:t>
            </w:r>
          </w:p>
        </w:tc>
        <w:tc>
          <w:tcPr>
            <w:tcW w:w="1282"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2A95823" w14:textId="77777777">
            <w:pPr>
              <w:rPr>
                <w:rFonts w:ascii="Calibri" w:hAnsi="Calibri" w:cs="Calibri"/>
                <w:sz w:val="22"/>
                <w:szCs w:val="22"/>
              </w:rPr>
            </w:pPr>
            <w:r w:rsidRPr="00D04785">
              <w:rPr>
                <w:rFonts w:ascii="Calibri" w:hAnsi="Calibri" w:cs="Calibri"/>
                <w:sz w:val="22"/>
                <w:szCs w:val="22"/>
              </w:rPr>
              <w:t>2020*</w:t>
            </w:r>
          </w:p>
        </w:tc>
        <w:tc>
          <w:tcPr>
            <w:tcW w:w="1250"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5A71340" w14:textId="77777777">
            <w:pPr>
              <w:rPr>
                <w:rFonts w:ascii="Calibri" w:hAnsi="Calibri" w:cs="Calibri"/>
                <w:sz w:val="22"/>
                <w:szCs w:val="22"/>
              </w:rPr>
            </w:pPr>
            <w:r w:rsidRPr="00D04785">
              <w:rPr>
                <w:rFonts w:ascii="Calibri" w:hAnsi="Calibri" w:cs="Calibri"/>
                <w:sz w:val="22"/>
                <w:szCs w:val="22"/>
              </w:rPr>
              <w:t>2021*</w:t>
            </w:r>
          </w:p>
        </w:tc>
        <w:tc>
          <w:tcPr>
            <w:tcW w:w="1250"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59A649B" w14:textId="77777777">
            <w:pPr>
              <w:rPr>
                <w:rFonts w:ascii="Calibri" w:hAnsi="Calibri" w:cs="Calibri"/>
                <w:sz w:val="22"/>
                <w:szCs w:val="22"/>
              </w:rPr>
            </w:pPr>
            <w:r w:rsidRPr="00D04785">
              <w:rPr>
                <w:rFonts w:ascii="Calibri" w:hAnsi="Calibri" w:cs="Calibri"/>
                <w:sz w:val="22"/>
                <w:szCs w:val="22"/>
              </w:rPr>
              <w:t>2022</w:t>
            </w:r>
          </w:p>
        </w:tc>
      </w:tr>
      <w:tr w:rsidRPr="00D04785" w:rsidR="00AF53B1" w:rsidTr="000224EC" w14:paraId="38C8AC58" w14:textId="77777777">
        <w:tc>
          <w:tcPr>
            <w:tcW w:w="127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B2A856A" w14:textId="77777777">
            <w:pPr>
              <w:rPr>
                <w:rFonts w:ascii="Calibri" w:hAnsi="Calibri" w:cs="Calibri"/>
                <w:b/>
                <w:bCs/>
                <w:sz w:val="22"/>
                <w:szCs w:val="22"/>
              </w:rPr>
            </w:pPr>
            <w:r w:rsidRPr="00D04785">
              <w:rPr>
                <w:rFonts w:ascii="Calibri" w:hAnsi="Calibri" w:cs="Calibri"/>
                <w:b/>
                <w:bCs/>
                <w:sz w:val="22"/>
                <w:szCs w:val="22"/>
              </w:rPr>
              <w:t>% Btw-nalevingsgat</w:t>
            </w:r>
          </w:p>
        </w:tc>
        <w:tc>
          <w:tcPr>
            <w:tcW w:w="1197"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94D11B1" w14:textId="77777777">
            <w:pPr>
              <w:rPr>
                <w:rFonts w:ascii="Calibri" w:hAnsi="Calibri" w:cs="Calibri"/>
                <w:sz w:val="22"/>
                <w:szCs w:val="22"/>
              </w:rPr>
            </w:pPr>
            <w:r w:rsidRPr="00D04785">
              <w:rPr>
                <w:rFonts w:ascii="Calibri" w:hAnsi="Calibri" w:cs="Calibri"/>
                <w:sz w:val="22"/>
                <w:szCs w:val="22"/>
              </w:rPr>
              <w:t>11,2%</w:t>
            </w:r>
          </w:p>
        </w:tc>
        <w:tc>
          <w:tcPr>
            <w:tcW w:w="128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CAC9993" w14:textId="77777777">
            <w:pPr>
              <w:rPr>
                <w:rFonts w:ascii="Calibri" w:hAnsi="Calibri" w:cs="Calibri"/>
                <w:sz w:val="22"/>
                <w:szCs w:val="22"/>
              </w:rPr>
            </w:pPr>
            <w:r w:rsidRPr="00D04785">
              <w:rPr>
                <w:rFonts w:ascii="Calibri" w:hAnsi="Calibri" w:cs="Calibri"/>
                <w:sz w:val="22"/>
                <w:szCs w:val="22"/>
              </w:rPr>
              <w:t>11,0%</w:t>
            </w:r>
          </w:p>
        </w:tc>
        <w:tc>
          <w:tcPr>
            <w:tcW w:w="1282"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048C9A49" w14:textId="77777777">
            <w:pPr>
              <w:rPr>
                <w:rFonts w:ascii="Calibri" w:hAnsi="Calibri" w:cs="Calibri"/>
                <w:sz w:val="22"/>
                <w:szCs w:val="22"/>
              </w:rPr>
            </w:pPr>
            <w:r w:rsidRPr="00D04785">
              <w:rPr>
                <w:rFonts w:ascii="Calibri" w:hAnsi="Calibri" w:cs="Calibri"/>
                <w:sz w:val="22"/>
                <w:szCs w:val="22"/>
              </w:rPr>
              <w:t>9,9%</w:t>
            </w:r>
          </w:p>
        </w:tc>
        <w:tc>
          <w:tcPr>
            <w:tcW w:w="1250"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1079BFE" w14:textId="77777777">
            <w:pPr>
              <w:rPr>
                <w:rFonts w:ascii="Calibri" w:hAnsi="Calibri" w:cs="Calibri"/>
                <w:sz w:val="22"/>
                <w:szCs w:val="22"/>
              </w:rPr>
            </w:pPr>
            <w:r w:rsidRPr="00D04785">
              <w:rPr>
                <w:rFonts w:ascii="Calibri" w:hAnsi="Calibri" w:cs="Calibri"/>
                <w:sz w:val="22"/>
                <w:szCs w:val="22"/>
              </w:rPr>
              <w:t>6,6%</w:t>
            </w:r>
          </w:p>
        </w:tc>
        <w:tc>
          <w:tcPr>
            <w:tcW w:w="1250"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BF81EF7" w14:textId="77777777">
            <w:pPr>
              <w:rPr>
                <w:rFonts w:ascii="Calibri" w:hAnsi="Calibri" w:cs="Calibri"/>
                <w:sz w:val="22"/>
                <w:szCs w:val="22"/>
              </w:rPr>
            </w:pPr>
            <w:r w:rsidRPr="00D04785">
              <w:rPr>
                <w:rFonts w:ascii="Calibri" w:hAnsi="Calibri" w:cs="Calibri"/>
                <w:sz w:val="22"/>
                <w:szCs w:val="22"/>
              </w:rPr>
              <w:t>7,0%</w:t>
            </w:r>
          </w:p>
        </w:tc>
      </w:tr>
      <w:tr w:rsidRPr="00D04785" w:rsidR="00AF53B1" w:rsidTr="000224EC" w14:paraId="3CC6E039" w14:textId="77777777">
        <w:tc>
          <w:tcPr>
            <w:tcW w:w="127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058871CE" w14:textId="77777777">
            <w:pPr>
              <w:rPr>
                <w:rFonts w:ascii="Calibri" w:hAnsi="Calibri" w:cs="Calibri"/>
                <w:b/>
                <w:bCs/>
                <w:sz w:val="22"/>
                <w:szCs w:val="22"/>
              </w:rPr>
            </w:pPr>
            <w:r w:rsidRPr="00D04785">
              <w:rPr>
                <w:rFonts w:ascii="Calibri" w:hAnsi="Calibri" w:cs="Calibri"/>
                <w:b/>
                <w:bCs/>
                <w:sz w:val="22"/>
                <w:szCs w:val="22"/>
              </w:rPr>
              <w:t>Btw-nalevingsgat in euro</w:t>
            </w:r>
          </w:p>
        </w:tc>
        <w:tc>
          <w:tcPr>
            <w:tcW w:w="1197"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E82AA66" w14:textId="77777777">
            <w:pPr>
              <w:rPr>
                <w:rFonts w:ascii="Calibri" w:hAnsi="Calibri" w:cs="Calibri"/>
                <w:sz w:val="22"/>
                <w:szCs w:val="22"/>
              </w:rPr>
            </w:pPr>
            <w:r w:rsidRPr="00D04785">
              <w:rPr>
                <w:rFonts w:ascii="Calibri" w:hAnsi="Calibri" w:cs="Calibri"/>
                <w:sz w:val="22"/>
                <w:szCs w:val="22"/>
              </w:rPr>
              <w:t>121mld.</w:t>
            </w:r>
          </w:p>
        </w:tc>
        <w:tc>
          <w:tcPr>
            <w:tcW w:w="128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5CFFE98" w14:textId="77777777">
            <w:pPr>
              <w:rPr>
                <w:rFonts w:ascii="Calibri" w:hAnsi="Calibri" w:cs="Calibri"/>
                <w:sz w:val="22"/>
                <w:szCs w:val="22"/>
              </w:rPr>
            </w:pPr>
            <w:r w:rsidRPr="00D04785">
              <w:rPr>
                <w:rFonts w:ascii="Calibri" w:hAnsi="Calibri" w:cs="Calibri"/>
                <w:sz w:val="22"/>
                <w:szCs w:val="22"/>
              </w:rPr>
              <w:t>124mld.</w:t>
            </w:r>
          </w:p>
        </w:tc>
        <w:tc>
          <w:tcPr>
            <w:tcW w:w="1282"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766EA82" w14:textId="77777777">
            <w:pPr>
              <w:rPr>
                <w:rFonts w:ascii="Calibri" w:hAnsi="Calibri" w:cs="Calibri"/>
                <w:sz w:val="22"/>
                <w:szCs w:val="22"/>
              </w:rPr>
            </w:pPr>
            <w:r w:rsidRPr="00D04785">
              <w:rPr>
                <w:rFonts w:ascii="Calibri" w:hAnsi="Calibri" w:cs="Calibri"/>
                <w:sz w:val="22"/>
                <w:szCs w:val="22"/>
              </w:rPr>
              <w:t>102mld.</w:t>
            </w:r>
          </w:p>
        </w:tc>
        <w:tc>
          <w:tcPr>
            <w:tcW w:w="1250"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23F362C" w14:textId="77777777">
            <w:pPr>
              <w:rPr>
                <w:rFonts w:ascii="Calibri" w:hAnsi="Calibri" w:cs="Calibri"/>
                <w:sz w:val="22"/>
                <w:szCs w:val="22"/>
              </w:rPr>
            </w:pPr>
            <w:r w:rsidRPr="00D04785">
              <w:rPr>
                <w:rFonts w:ascii="Calibri" w:hAnsi="Calibri" w:cs="Calibri"/>
                <w:sz w:val="22"/>
                <w:szCs w:val="22"/>
              </w:rPr>
              <w:t>76mld.</w:t>
            </w:r>
          </w:p>
        </w:tc>
        <w:tc>
          <w:tcPr>
            <w:tcW w:w="1250"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E0E119F" w14:textId="77777777">
            <w:pPr>
              <w:rPr>
                <w:rFonts w:ascii="Calibri" w:hAnsi="Calibri" w:cs="Calibri"/>
                <w:sz w:val="22"/>
                <w:szCs w:val="22"/>
              </w:rPr>
            </w:pPr>
            <w:r w:rsidRPr="00D04785">
              <w:rPr>
                <w:rFonts w:ascii="Calibri" w:hAnsi="Calibri" w:cs="Calibri"/>
                <w:sz w:val="22"/>
                <w:szCs w:val="22"/>
              </w:rPr>
              <w:t>89mld.</w:t>
            </w:r>
          </w:p>
        </w:tc>
      </w:tr>
    </w:tbl>
    <w:p w:rsidRPr="00D04785" w:rsidR="00AF53B1" w:rsidP="00AF53B1" w:rsidRDefault="00AF53B1" w14:paraId="3494ADEB" w14:textId="77777777">
      <w:pPr>
        <w:rPr>
          <w:rFonts w:ascii="Calibri" w:hAnsi="Calibri" w:cs="Calibri"/>
        </w:rPr>
      </w:pPr>
      <w:r w:rsidRPr="00D04785">
        <w:rPr>
          <w:rFonts w:ascii="Calibri" w:hAnsi="Calibri" w:cs="Calibri"/>
        </w:rPr>
        <w:t xml:space="preserve">*Omdat sommige data later bekend, aangeleverd of geüpdatet wordt kan het voorkomen dat de ramingen van eerdere jaren worden geüpdatet in de nieuwste versie van het rapport. </w:t>
      </w:r>
    </w:p>
    <w:p w:rsidRPr="00D04785" w:rsidR="00AF53B1" w:rsidP="00AF53B1" w:rsidRDefault="00AF53B1" w14:paraId="46E0E796" w14:textId="77777777">
      <w:pPr>
        <w:rPr>
          <w:rFonts w:ascii="Calibri" w:hAnsi="Calibri" w:cs="Calibri"/>
        </w:rPr>
      </w:pPr>
    </w:p>
    <w:p w:rsidRPr="00D04785" w:rsidR="00AF53B1" w:rsidP="00AF53B1" w:rsidRDefault="00AF53B1" w14:paraId="3D214FD1" w14:textId="77777777">
      <w:pPr>
        <w:spacing w:line="240" w:lineRule="exact"/>
        <w:rPr>
          <w:rFonts w:ascii="Calibri" w:hAnsi="Calibri" w:cs="Calibri"/>
        </w:rPr>
      </w:pPr>
      <w:r w:rsidRPr="00D04785">
        <w:rPr>
          <w:rFonts w:ascii="Calibri" w:hAnsi="Calibri" w:cs="Calibri"/>
        </w:rPr>
        <w:t xml:space="preserve">Het rapport geeft aan dat er een zekere mate van onzekerheid bestaat rond de ramingen voor 2020 en 2021, en als bijgevolg ook rond de ramingen van 2022. Dit is te wijten aan de enigszins inconsistente behandeling van uitgestelde betalingen en de lagere kwaliteit van de nationale statistieken als gevolg van de turbulente omstandigheden door de covid-19 pandemie. Daarom zijn vergelijkingen tussen 2019 en 2022 informatiever dan de verandering van jaar tot jaar in deze periode. </w:t>
      </w:r>
    </w:p>
    <w:p w:rsidRPr="00D04785" w:rsidR="00AF53B1" w:rsidP="00AF53B1" w:rsidRDefault="00AF53B1" w14:paraId="41FFD519" w14:textId="77777777">
      <w:pPr>
        <w:spacing w:line="240" w:lineRule="exact"/>
        <w:rPr>
          <w:rFonts w:ascii="Calibri" w:hAnsi="Calibri" w:cs="Calibri"/>
        </w:rPr>
      </w:pPr>
    </w:p>
    <w:p w:rsidRPr="00D04785" w:rsidR="00AF53B1" w:rsidP="00AF53B1" w:rsidRDefault="00AF53B1" w14:paraId="0E9F0790" w14:textId="77777777">
      <w:pPr>
        <w:spacing w:line="240" w:lineRule="exact"/>
        <w:rPr>
          <w:rFonts w:ascii="Calibri" w:hAnsi="Calibri" w:cs="Calibri"/>
        </w:rPr>
      </w:pPr>
      <w:r w:rsidRPr="00D04785">
        <w:rPr>
          <w:rFonts w:ascii="Calibri" w:hAnsi="Calibri" w:cs="Calibri"/>
        </w:rPr>
        <w:t xml:space="preserve">De kleinste btw-nalevingsgaten in 2022 betroffen Cyprus (-0,7%), Portugal (1,3%) en Ierland (1,7%). Theoretisch kan het btw-nalevingsverschil niet negatief zijn, maar in lidstaten waar de niet-naleving al zeer laag is, kunnen negatieve ramingen voorkomen als gevolg van statistische en meetfouten. Dit was in het rapport van vorig jaar ook het geval in Nederland. De grootste btw-nalevingsgaten bestonden in 2022 in Roemenië (30,6%), Malta (25,9%), Slowakije (14,6%) en Litouwen (14,6%). </w:t>
      </w:r>
    </w:p>
    <w:p w:rsidRPr="00D04785" w:rsidR="00AF53B1" w:rsidP="00AF53B1" w:rsidRDefault="00AF53B1" w14:paraId="05F1CCDF" w14:textId="77777777">
      <w:pPr>
        <w:rPr>
          <w:rFonts w:ascii="Calibri" w:hAnsi="Calibri" w:cs="Calibri"/>
        </w:rPr>
      </w:pPr>
    </w:p>
    <w:p w:rsidRPr="00D04785" w:rsidR="00AF53B1" w:rsidP="00AF53B1" w:rsidRDefault="00AF53B1" w14:paraId="284D4B46" w14:textId="77777777">
      <w:pPr>
        <w:rPr>
          <w:rFonts w:ascii="Calibri" w:hAnsi="Calibri" w:cs="Calibri"/>
          <w:i/>
          <w:iCs/>
          <w:u w:val="single"/>
        </w:rPr>
      </w:pPr>
      <w:r w:rsidRPr="00D04785">
        <w:rPr>
          <w:rFonts w:ascii="Calibri" w:hAnsi="Calibri" w:cs="Calibri"/>
          <w:i/>
          <w:iCs/>
          <w:u w:val="single"/>
        </w:rPr>
        <w:t>Het btw-nalevingsgat in Nederland</w:t>
      </w:r>
    </w:p>
    <w:p w:rsidRPr="00D04785" w:rsidR="00AF53B1" w:rsidP="00AF53B1" w:rsidRDefault="00AF53B1" w14:paraId="384D821D" w14:textId="77777777">
      <w:pPr>
        <w:spacing w:line="240" w:lineRule="exact"/>
        <w:rPr>
          <w:rFonts w:ascii="Calibri" w:hAnsi="Calibri" w:cs="Calibri"/>
        </w:rPr>
      </w:pPr>
      <w:r w:rsidRPr="00D04785">
        <w:rPr>
          <w:rFonts w:ascii="Calibri" w:hAnsi="Calibri" w:cs="Calibri"/>
        </w:rPr>
        <w:t>Het Nederlandse btw-nalevingsgat is in 2022 volgens de ramingen van het rapport 7,9% (5,9mld. euro). Dit betreft een stijging van 2,6% (2,3mld. euro). Als er wordt vergeleken met het laatste jaar voor de covid-19 pandemie is wel een daling te zien van 2,2% (1,3mld. euro).</w:t>
      </w:r>
    </w:p>
    <w:p w:rsidR="00AF53B1" w:rsidP="00AF53B1" w:rsidRDefault="00AF53B1" w14:paraId="10856988" w14:textId="77777777">
      <w:pPr>
        <w:spacing w:line="240" w:lineRule="exact"/>
        <w:rPr>
          <w:rFonts w:ascii="Calibri" w:hAnsi="Calibri" w:cs="Calibri"/>
        </w:rPr>
      </w:pPr>
    </w:p>
    <w:p w:rsidRPr="00D04785" w:rsidR="00D04785" w:rsidP="00AF53B1" w:rsidRDefault="00D04785" w14:paraId="01A4B5A6" w14:textId="77777777">
      <w:pPr>
        <w:spacing w:line="240" w:lineRule="exact"/>
        <w:rPr>
          <w:rFonts w:ascii="Calibri" w:hAnsi="Calibri" w:cs="Calibri"/>
        </w:rPr>
      </w:pPr>
    </w:p>
    <w:p w:rsidRPr="00D04785" w:rsidR="00AF53B1" w:rsidP="00AF53B1" w:rsidRDefault="00AF53B1" w14:paraId="692E3576" w14:textId="77777777">
      <w:pPr>
        <w:spacing w:line="240" w:lineRule="exact"/>
        <w:rPr>
          <w:rFonts w:ascii="Calibri" w:hAnsi="Calibri" w:cs="Calibri"/>
        </w:rPr>
      </w:pPr>
      <w:r w:rsidRPr="00D04785">
        <w:rPr>
          <w:rFonts w:ascii="Calibri" w:hAnsi="Calibri" w:cs="Calibri"/>
        </w:rPr>
        <w:t xml:space="preserve">Tabel 2 </w:t>
      </w:r>
    </w:p>
    <w:tbl>
      <w:tblPr>
        <w:tblStyle w:val="Tabelraster1"/>
        <w:tblW w:w="0" w:type="auto"/>
        <w:tblInd w:w="-5" w:type="dxa"/>
        <w:tblLook w:val="04A0" w:firstRow="1" w:lastRow="0" w:firstColumn="1" w:lastColumn="0" w:noHBand="0" w:noVBand="1"/>
      </w:tblPr>
      <w:tblGrid>
        <w:gridCol w:w="1418"/>
        <w:gridCol w:w="1276"/>
        <w:gridCol w:w="1134"/>
        <w:gridCol w:w="992"/>
        <w:gridCol w:w="1134"/>
        <w:gridCol w:w="1134"/>
      </w:tblGrid>
      <w:tr w:rsidRPr="00D04785" w:rsidR="00AF53B1" w:rsidTr="000224EC" w14:paraId="14FDB05B" w14:textId="77777777">
        <w:tc>
          <w:tcPr>
            <w:tcW w:w="141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CC5CC68" w14:textId="77777777">
            <w:pPr>
              <w:rPr>
                <w:rFonts w:ascii="Calibri" w:hAnsi="Calibri" w:cs="Calibri"/>
                <w:b/>
                <w:bCs/>
                <w:sz w:val="22"/>
                <w:szCs w:val="22"/>
              </w:rPr>
            </w:pPr>
            <w:r w:rsidRPr="00D04785">
              <w:rPr>
                <w:rFonts w:ascii="Calibri" w:hAnsi="Calibri" w:cs="Calibri"/>
                <w:b/>
                <w:bCs/>
                <w:sz w:val="22"/>
                <w:szCs w:val="22"/>
              </w:rPr>
              <w:lastRenderedPageBreak/>
              <w:t>Jaar</w:t>
            </w:r>
          </w:p>
        </w:tc>
        <w:tc>
          <w:tcPr>
            <w:tcW w:w="127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B3F71C5" w14:textId="77777777">
            <w:pPr>
              <w:rPr>
                <w:rFonts w:ascii="Calibri" w:hAnsi="Calibri" w:cs="Calibri"/>
                <w:sz w:val="22"/>
                <w:szCs w:val="22"/>
              </w:rPr>
            </w:pPr>
            <w:r w:rsidRPr="00D04785">
              <w:rPr>
                <w:rFonts w:ascii="Calibri" w:hAnsi="Calibri" w:cs="Calibri"/>
                <w:sz w:val="22"/>
                <w:szCs w:val="22"/>
              </w:rPr>
              <w:t>2018*</w:t>
            </w:r>
          </w:p>
        </w:tc>
        <w:tc>
          <w:tcPr>
            <w:tcW w:w="1134"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0BFC710E" w14:textId="77777777">
            <w:pPr>
              <w:rPr>
                <w:rFonts w:ascii="Calibri" w:hAnsi="Calibri" w:cs="Calibri"/>
                <w:sz w:val="22"/>
                <w:szCs w:val="22"/>
              </w:rPr>
            </w:pPr>
            <w:r w:rsidRPr="00D04785">
              <w:rPr>
                <w:rFonts w:ascii="Calibri" w:hAnsi="Calibri" w:cs="Calibri"/>
                <w:sz w:val="22"/>
                <w:szCs w:val="22"/>
              </w:rPr>
              <w:t>2019*</w:t>
            </w:r>
          </w:p>
        </w:tc>
        <w:tc>
          <w:tcPr>
            <w:tcW w:w="992"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E89DB6F" w14:textId="77777777">
            <w:pPr>
              <w:rPr>
                <w:rFonts w:ascii="Calibri" w:hAnsi="Calibri" w:cs="Calibri"/>
                <w:sz w:val="22"/>
                <w:szCs w:val="22"/>
              </w:rPr>
            </w:pPr>
            <w:r w:rsidRPr="00D04785">
              <w:rPr>
                <w:rFonts w:ascii="Calibri" w:hAnsi="Calibri" w:cs="Calibri"/>
                <w:sz w:val="22"/>
                <w:szCs w:val="22"/>
              </w:rPr>
              <w:t>2020*</w:t>
            </w:r>
          </w:p>
        </w:tc>
        <w:tc>
          <w:tcPr>
            <w:tcW w:w="1134"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9B417C0" w14:textId="77777777">
            <w:pPr>
              <w:rPr>
                <w:rFonts w:ascii="Calibri" w:hAnsi="Calibri" w:cs="Calibri"/>
                <w:sz w:val="22"/>
                <w:szCs w:val="22"/>
              </w:rPr>
            </w:pPr>
            <w:r w:rsidRPr="00D04785">
              <w:rPr>
                <w:rFonts w:ascii="Calibri" w:hAnsi="Calibri" w:cs="Calibri"/>
                <w:sz w:val="22"/>
                <w:szCs w:val="22"/>
              </w:rPr>
              <w:t>2021*</w:t>
            </w:r>
          </w:p>
        </w:tc>
        <w:tc>
          <w:tcPr>
            <w:tcW w:w="1134"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D000647" w14:textId="77777777">
            <w:pPr>
              <w:rPr>
                <w:rFonts w:ascii="Calibri" w:hAnsi="Calibri" w:cs="Calibri"/>
                <w:sz w:val="22"/>
                <w:szCs w:val="22"/>
              </w:rPr>
            </w:pPr>
            <w:r w:rsidRPr="00D04785">
              <w:rPr>
                <w:rFonts w:ascii="Calibri" w:hAnsi="Calibri" w:cs="Calibri"/>
                <w:sz w:val="22"/>
                <w:szCs w:val="22"/>
              </w:rPr>
              <w:t>2022</w:t>
            </w:r>
          </w:p>
        </w:tc>
      </w:tr>
      <w:tr w:rsidRPr="00D04785" w:rsidR="00AF53B1" w:rsidTr="000224EC" w14:paraId="19DE1E0E" w14:textId="77777777">
        <w:tc>
          <w:tcPr>
            <w:tcW w:w="141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3634F60" w14:textId="77777777">
            <w:pPr>
              <w:rPr>
                <w:rFonts w:ascii="Calibri" w:hAnsi="Calibri" w:cs="Calibri"/>
                <w:b/>
                <w:bCs/>
                <w:sz w:val="22"/>
                <w:szCs w:val="22"/>
              </w:rPr>
            </w:pPr>
            <w:r w:rsidRPr="00D04785">
              <w:rPr>
                <w:rFonts w:ascii="Calibri" w:hAnsi="Calibri" w:cs="Calibri"/>
                <w:b/>
                <w:bCs/>
                <w:sz w:val="22"/>
                <w:szCs w:val="22"/>
              </w:rPr>
              <w:t>% Btw-nalevingsgat</w:t>
            </w:r>
          </w:p>
        </w:tc>
        <w:tc>
          <w:tcPr>
            <w:tcW w:w="127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3E8F82E" w14:textId="77777777">
            <w:pPr>
              <w:rPr>
                <w:rFonts w:ascii="Calibri" w:hAnsi="Calibri" w:cs="Calibri"/>
                <w:sz w:val="22"/>
                <w:szCs w:val="22"/>
              </w:rPr>
            </w:pPr>
            <w:r w:rsidRPr="00D04785">
              <w:rPr>
                <w:rFonts w:ascii="Calibri" w:hAnsi="Calibri" w:cs="Calibri"/>
                <w:sz w:val="22"/>
                <w:szCs w:val="22"/>
              </w:rPr>
              <w:t>10,7%</w:t>
            </w:r>
          </w:p>
        </w:tc>
        <w:tc>
          <w:tcPr>
            <w:tcW w:w="1134"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B85E28A" w14:textId="77777777">
            <w:pPr>
              <w:rPr>
                <w:rFonts w:ascii="Calibri" w:hAnsi="Calibri" w:cs="Calibri"/>
                <w:sz w:val="22"/>
                <w:szCs w:val="22"/>
              </w:rPr>
            </w:pPr>
            <w:r w:rsidRPr="00D04785">
              <w:rPr>
                <w:rFonts w:ascii="Calibri" w:hAnsi="Calibri" w:cs="Calibri"/>
                <w:sz w:val="22"/>
                <w:szCs w:val="22"/>
              </w:rPr>
              <w:t>11,1%</w:t>
            </w:r>
          </w:p>
        </w:tc>
        <w:tc>
          <w:tcPr>
            <w:tcW w:w="992"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A509C46" w14:textId="77777777">
            <w:pPr>
              <w:rPr>
                <w:rFonts w:ascii="Calibri" w:hAnsi="Calibri" w:cs="Calibri"/>
                <w:sz w:val="22"/>
                <w:szCs w:val="22"/>
              </w:rPr>
            </w:pPr>
            <w:r w:rsidRPr="00D04785">
              <w:rPr>
                <w:rFonts w:ascii="Calibri" w:hAnsi="Calibri" w:cs="Calibri"/>
                <w:sz w:val="22"/>
                <w:szCs w:val="22"/>
              </w:rPr>
              <w:t>8,9%</w:t>
            </w:r>
          </w:p>
        </w:tc>
        <w:tc>
          <w:tcPr>
            <w:tcW w:w="1134"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18828F5" w14:textId="77777777">
            <w:pPr>
              <w:rPr>
                <w:rFonts w:ascii="Calibri" w:hAnsi="Calibri" w:cs="Calibri"/>
                <w:sz w:val="22"/>
                <w:szCs w:val="22"/>
              </w:rPr>
            </w:pPr>
            <w:r w:rsidRPr="00D04785">
              <w:rPr>
                <w:rFonts w:ascii="Calibri" w:hAnsi="Calibri" w:cs="Calibri"/>
                <w:sz w:val="22"/>
                <w:szCs w:val="22"/>
              </w:rPr>
              <w:t>5,3%</w:t>
            </w:r>
          </w:p>
        </w:tc>
        <w:tc>
          <w:tcPr>
            <w:tcW w:w="1134"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F981EB0" w14:textId="77777777">
            <w:pPr>
              <w:rPr>
                <w:rFonts w:ascii="Calibri" w:hAnsi="Calibri" w:cs="Calibri"/>
                <w:sz w:val="22"/>
                <w:szCs w:val="22"/>
              </w:rPr>
            </w:pPr>
            <w:r w:rsidRPr="00D04785">
              <w:rPr>
                <w:rFonts w:ascii="Calibri" w:hAnsi="Calibri" w:cs="Calibri"/>
                <w:sz w:val="22"/>
                <w:szCs w:val="22"/>
              </w:rPr>
              <w:t>7,9%</w:t>
            </w:r>
          </w:p>
        </w:tc>
      </w:tr>
      <w:tr w:rsidRPr="00D04785" w:rsidR="00AF53B1" w:rsidTr="000224EC" w14:paraId="1650573D" w14:textId="77777777">
        <w:tc>
          <w:tcPr>
            <w:tcW w:w="141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933C9F0" w14:textId="77777777">
            <w:pPr>
              <w:rPr>
                <w:rFonts w:ascii="Calibri" w:hAnsi="Calibri" w:cs="Calibri"/>
                <w:b/>
                <w:bCs/>
                <w:sz w:val="22"/>
                <w:szCs w:val="22"/>
              </w:rPr>
            </w:pPr>
            <w:r w:rsidRPr="00D04785">
              <w:rPr>
                <w:rFonts w:ascii="Calibri" w:hAnsi="Calibri" w:cs="Calibri"/>
                <w:b/>
                <w:bCs/>
                <w:sz w:val="22"/>
                <w:szCs w:val="22"/>
              </w:rPr>
              <w:t>Btw-nalevingsgat in euro</w:t>
            </w:r>
          </w:p>
        </w:tc>
        <w:tc>
          <w:tcPr>
            <w:tcW w:w="127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2D6E7A2" w14:textId="77777777">
            <w:pPr>
              <w:rPr>
                <w:rFonts w:ascii="Calibri" w:hAnsi="Calibri" w:cs="Calibri"/>
                <w:sz w:val="22"/>
                <w:szCs w:val="22"/>
              </w:rPr>
            </w:pPr>
            <w:r w:rsidRPr="00D04785">
              <w:rPr>
                <w:rFonts w:ascii="Calibri" w:hAnsi="Calibri" w:cs="Calibri"/>
                <w:sz w:val="22"/>
                <w:szCs w:val="22"/>
              </w:rPr>
              <w:t>6,3mld.</w:t>
            </w:r>
          </w:p>
        </w:tc>
        <w:tc>
          <w:tcPr>
            <w:tcW w:w="1134"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19811DFA" w14:textId="77777777">
            <w:pPr>
              <w:rPr>
                <w:rFonts w:ascii="Calibri" w:hAnsi="Calibri" w:cs="Calibri"/>
                <w:sz w:val="22"/>
                <w:szCs w:val="22"/>
              </w:rPr>
            </w:pPr>
            <w:r w:rsidRPr="00D04785">
              <w:rPr>
                <w:rFonts w:ascii="Calibri" w:hAnsi="Calibri" w:cs="Calibri"/>
                <w:sz w:val="22"/>
                <w:szCs w:val="22"/>
              </w:rPr>
              <w:t>7,2mld.</w:t>
            </w:r>
          </w:p>
        </w:tc>
        <w:tc>
          <w:tcPr>
            <w:tcW w:w="992"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0967B76C" w14:textId="77777777">
            <w:pPr>
              <w:rPr>
                <w:rFonts w:ascii="Calibri" w:hAnsi="Calibri" w:cs="Calibri"/>
                <w:sz w:val="22"/>
                <w:szCs w:val="22"/>
              </w:rPr>
            </w:pPr>
            <w:r w:rsidRPr="00D04785">
              <w:rPr>
                <w:rFonts w:ascii="Calibri" w:hAnsi="Calibri" w:cs="Calibri"/>
                <w:sz w:val="22"/>
                <w:szCs w:val="22"/>
              </w:rPr>
              <w:t>5,7mld.</w:t>
            </w:r>
          </w:p>
        </w:tc>
        <w:tc>
          <w:tcPr>
            <w:tcW w:w="1134"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AF4552A" w14:textId="77777777">
            <w:pPr>
              <w:rPr>
                <w:rFonts w:ascii="Calibri" w:hAnsi="Calibri" w:cs="Calibri"/>
                <w:sz w:val="22"/>
                <w:szCs w:val="22"/>
              </w:rPr>
            </w:pPr>
            <w:r w:rsidRPr="00D04785">
              <w:rPr>
                <w:rFonts w:ascii="Calibri" w:hAnsi="Calibri" w:cs="Calibri"/>
                <w:sz w:val="22"/>
                <w:szCs w:val="22"/>
              </w:rPr>
              <w:t>3,6mld.</w:t>
            </w:r>
          </w:p>
        </w:tc>
        <w:tc>
          <w:tcPr>
            <w:tcW w:w="1134"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A742F88" w14:textId="77777777">
            <w:pPr>
              <w:rPr>
                <w:rFonts w:ascii="Calibri" w:hAnsi="Calibri" w:cs="Calibri"/>
                <w:sz w:val="22"/>
                <w:szCs w:val="22"/>
              </w:rPr>
            </w:pPr>
            <w:r w:rsidRPr="00D04785">
              <w:rPr>
                <w:rFonts w:ascii="Calibri" w:hAnsi="Calibri" w:cs="Calibri"/>
                <w:sz w:val="22"/>
                <w:szCs w:val="22"/>
              </w:rPr>
              <w:t>5,9mld.</w:t>
            </w:r>
          </w:p>
        </w:tc>
      </w:tr>
    </w:tbl>
    <w:p w:rsidRPr="00D04785" w:rsidR="00AF53B1" w:rsidP="00AF53B1" w:rsidRDefault="00AF53B1" w14:paraId="232F890B" w14:textId="77777777">
      <w:pPr>
        <w:rPr>
          <w:rFonts w:ascii="Calibri" w:hAnsi="Calibri" w:cs="Calibri"/>
        </w:rPr>
      </w:pPr>
      <w:r w:rsidRPr="00D04785">
        <w:rPr>
          <w:rFonts w:ascii="Calibri" w:hAnsi="Calibri" w:cs="Calibri"/>
        </w:rPr>
        <w:t xml:space="preserve">*Omdat sommige data later bekend, aangeleverd of geüpdatet wordt kan het voorkomen dat de ramingen van eerdere jaren worden geüpdatet in de nieuwste versie van het rapport. </w:t>
      </w:r>
    </w:p>
    <w:p w:rsidRPr="00D04785" w:rsidR="00AF53B1" w:rsidP="00AF53B1" w:rsidRDefault="00AF53B1" w14:paraId="71A92237" w14:textId="77777777">
      <w:pPr>
        <w:spacing w:line="240" w:lineRule="exact"/>
        <w:rPr>
          <w:rFonts w:ascii="Calibri" w:hAnsi="Calibri" w:cs="Calibri"/>
        </w:rPr>
      </w:pPr>
    </w:p>
    <w:p w:rsidRPr="00D04785" w:rsidR="00AF53B1" w:rsidP="00AF53B1" w:rsidRDefault="00AF53B1" w14:paraId="0092932B" w14:textId="77777777">
      <w:pPr>
        <w:spacing w:line="240" w:lineRule="exact"/>
        <w:rPr>
          <w:rFonts w:ascii="Calibri" w:hAnsi="Calibri" w:cs="Calibri"/>
        </w:rPr>
      </w:pPr>
      <w:r w:rsidRPr="00D04785">
        <w:rPr>
          <w:rFonts w:ascii="Calibri" w:hAnsi="Calibri" w:cs="Calibri"/>
        </w:rPr>
        <w:t xml:space="preserve">Het rapport geeft aan dat de Nederlandse ramingen met bijna 5%-punt omhoog zijn bijgesteld door de revisie van de nationale rekeningen door het CBS. Deze revisie ziet ook op de ramingen van eerdere jaren. De nationale rekeningen zijn macro-economische statistieken van Nederland en worden door het </w:t>
      </w:r>
      <w:r w:rsidRPr="00D04785">
        <w:rPr>
          <w:rFonts w:ascii="Calibri" w:hAnsi="Calibri" w:cs="Calibri"/>
          <w:i/>
          <w:iCs/>
        </w:rPr>
        <w:t>study team</w:t>
      </w:r>
      <w:r w:rsidRPr="00D04785">
        <w:rPr>
          <w:rFonts w:ascii="Calibri" w:hAnsi="Calibri" w:cs="Calibri"/>
        </w:rPr>
        <w:t xml:space="preserve"> van de Commissie gebruikt bij het opstellen van het rapport. Door de revisie is de totale consumptie van huishoudens met circa 6% naar boven bijgesteld. Hierdoor zijn de (theoretische) btw-inkomsten bij perfecte naleving gestegen, maar de feitelijke inkomsten niet, waardoor het btw-nalevingsgat groter is geworden.</w:t>
      </w:r>
    </w:p>
    <w:p w:rsidRPr="00D04785" w:rsidR="00AF53B1" w:rsidP="00AF53B1" w:rsidRDefault="00AF53B1" w14:paraId="12247D6A" w14:textId="77777777">
      <w:pPr>
        <w:spacing w:line="240" w:lineRule="exact"/>
        <w:rPr>
          <w:rFonts w:ascii="Calibri" w:hAnsi="Calibri" w:cs="Calibri"/>
        </w:rPr>
      </w:pPr>
    </w:p>
    <w:p w:rsidRPr="00D04785" w:rsidR="00AF53B1" w:rsidP="00AF53B1" w:rsidRDefault="00AF53B1" w14:paraId="1CEC061B" w14:textId="77777777">
      <w:pPr>
        <w:spacing w:line="240" w:lineRule="exact"/>
        <w:rPr>
          <w:rFonts w:ascii="Calibri" w:hAnsi="Calibri" w:cs="Calibri"/>
        </w:rPr>
      </w:pPr>
      <w:r w:rsidRPr="00D04785">
        <w:rPr>
          <w:rFonts w:ascii="Calibri" w:hAnsi="Calibri" w:cs="Calibri"/>
        </w:rPr>
        <w:t>Volgens onze eigen berekeningen ligt het Nederlandse btw-nalevingsgat op basis van cijfers van meer gedetailleerde cijfers van het CBS in de periode 2018-2021 lager dan het rapport stelt, namelijk stabiel rond de 4,5%. De grafiek hieronder vat het verschil tussen beiden samen.</w:t>
      </w:r>
    </w:p>
    <w:p w:rsidRPr="00D04785" w:rsidR="00AF53B1" w:rsidP="00AF53B1" w:rsidRDefault="00AF53B1" w14:paraId="25B2FA70" w14:textId="77777777">
      <w:pPr>
        <w:spacing w:line="240" w:lineRule="exact"/>
        <w:rPr>
          <w:rFonts w:ascii="Calibri" w:hAnsi="Calibri" w:cs="Calibri"/>
        </w:rPr>
      </w:pPr>
    </w:p>
    <w:p w:rsidRPr="00D04785" w:rsidR="00AF53B1" w:rsidP="00AF53B1" w:rsidRDefault="00AF53B1" w14:paraId="5E3E547E" w14:textId="77777777">
      <w:pPr>
        <w:spacing w:line="240" w:lineRule="exact"/>
        <w:rPr>
          <w:rFonts w:ascii="Calibri" w:hAnsi="Calibri" w:cs="Calibri"/>
        </w:rPr>
      </w:pPr>
      <w:r w:rsidRPr="00D04785">
        <w:rPr>
          <w:rFonts w:ascii="Calibri" w:hAnsi="Calibri" w:cs="Calibri"/>
          <w:noProof/>
        </w:rPr>
        <w:drawing>
          <wp:anchor distT="0" distB="0" distL="114300" distR="114300" simplePos="0" relativeHeight="251659264" behindDoc="0" locked="0" layoutInCell="1" allowOverlap="1" wp14:editId="24D915F7" wp14:anchorId="49D8FFC5">
            <wp:simplePos x="0" y="0"/>
            <wp:positionH relativeFrom="margin">
              <wp:posOffset>-4445</wp:posOffset>
            </wp:positionH>
            <wp:positionV relativeFrom="paragraph">
              <wp:posOffset>155575</wp:posOffset>
            </wp:positionV>
            <wp:extent cx="4352290" cy="1786255"/>
            <wp:effectExtent l="0" t="0" r="10160" b="4445"/>
            <wp:wrapSquare wrapText="bothSides"/>
            <wp:docPr id="1809974689" name="Grafiek 1">
              <a:extLst xmlns:a="http://schemas.openxmlformats.org/drawingml/2006/main">
                <a:ext uri="{FF2B5EF4-FFF2-40B4-BE49-F238E27FC236}">
                  <a16:creationId xmlns:a16="http://schemas.microsoft.com/office/drawing/2014/main" id="{7CA12F40-1E60-4743-A3F0-C28921580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D04785">
        <w:rPr>
          <w:rFonts w:ascii="Calibri" w:hAnsi="Calibri" w:cs="Calibri"/>
        </w:rPr>
        <w:t>Grafiek 1</w:t>
      </w:r>
    </w:p>
    <w:p w:rsidRPr="00D04785" w:rsidR="00AF53B1" w:rsidP="00AF53B1" w:rsidRDefault="00AF53B1" w14:paraId="183C5801" w14:textId="77777777">
      <w:pPr>
        <w:spacing w:line="240" w:lineRule="exact"/>
        <w:rPr>
          <w:rFonts w:ascii="Calibri" w:hAnsi="Calibri" w:cs="Calibri"/>
        </w:rPr>
      </w:pPr>
    </w:p>
    <w:p w:rsidRPr="00D04785" w:rsidR="00AF53B1" w:rsidP="00AF53B1" w:rsidRDefault="00AF53B1" w14:paraId="5E08E1A6" w14:textId="77777777">
      <w:pPr>
        <w:spacing w:line="240" w:lineRule="exact"/>
        <w:rPr>
          <w:rFonts w:ascii="Calibri" w:hAnsi="Calibri" w:cs="Calibri"/>
        </w:rPr>
      </w:pPr>
    </w:p>
    <w:p w:rsidRPr="00D04785" w:rsidR="00AF53B1" w:rsidP="00AF53B1" w:rsidRDefault="00AF53B1" w14:paraId="15C57B7E" w14:textId="77777777">
      <w:pPr>
        <w:spacing w:line="240" w:lineRule="exact"/>
        <w:rPr>
          <w:rFonts w:ascii="Calibri" w:hAnsi="Calibri" w:cs="Calibri"/>
        </w:rPr>
      </w:pPr>
    </w:p>
    <w:p w:rsidRPr="00D04785" w:rsidR="00AF53B1" w:rsidP="00AF53B1" w:rsidRDefault="00AF53B1" w14:paraId="541F509D" w14:textId="77777777">
      <w:pPr>
        <w:spacing w:line="240" w:lineRule="exact"/>
        <w:rPr>
          <w:rFonts w:ascii="Calibri" w:hAnsi="Calibri" w:cs="Calibri"/>
        </w:rPr>
      </w:pPr>
    </w:p>
    <w:p w:rsidRPr="00D04785" w:rsidR="00AF53B1" w:rsidP="00AF53B1" w:rsidRDefault="00AF53B1" w14:paraId="50646795" w14:textId="77777777">
      <w:pPr>
        <w:spacing w:line="240" w:lineRule="exact"/>
        <w:rPr>
          <w:rFonts w:ascii="Calibri" w:hAnsi="Calibri" w:cs="Calibri"/>
        </w:rPr>
      </w:pPr>
    </w:p>
    <w:p w:rsidRPr="00D04785" w:rsidR="00AF53B1" w:rsidP="00AF53B1" w:rsidRDefault="00AF53B1" w14:paraId="36E6A316" w14:textId="77777777">
      <w:pPr>
        <w:spacing w:line="240" w:lineRule="exact"/>
        <w:rPr>
          <w:rFonts w:ascii="Calibri" w:hAnsi="Calibri" w:cs="Calibri"/>
        </w:rPr>
      </w:pPr>
    </w:p>
    <w:p w:rsidRPr="00D04785" w:rsidR="00AF53B1" w:rsidP="00AF53B1" w:rsidRDefault="00AF53B1" w14:paraId="490B424E" w14:textId="77777777">
      <w:pPr>
        <w:spacing w:line="240" w:lineRule="exact"/>
        <w:rPr>
          <w:rFonts w:ascii="Calibri" w:hAnsi="Calibri" w:cs="Calibri"/>
        </w:rPr>
      </w:pPr>
    </w:p>
    <w:p w:rsidRPr="00D04785" w:rsidR="00AF53B1" w:rsidP="00AF53B1" w:rsidRDefault="00AF53B1" w14:paraId="4FFB96D5" w14:textId="77777777">
      <w:pPr>
        <w:spacing w:line="240" w:lineRule="exact"/>
        <w:rPr>
          <w:rFonts w:ascii="Calibri" w:hAnsi="Calibri" w:cs="Calibri"/>
        </w:rPr>
      </w:pPr>
    </w:p>
    <w:p w:rsidRPr="00D04785" w:rsidR="00AF53B1" w:rsidP="00AF53B1" w:rsidRDefault="00AF53B1" w14:paraId="01D643D2" w14:textId="77777777">
      <w:pPr>
        <w:spacing w:line="240" w:lineRule="exact"/>
        <w:rPr>
          <w:rFonts w:ascii="Calibri" w:hAnsi="Calibri" w:cs="Calibri"/>
        </w:rPr>
      </w:pPr>
    </w:p>
    <w:p w:rsidRPr="00D04785" w:rsidR="00AF53B1" w:rsidP="00AF53B1" w:rsidRDefault="00AF53B1" w14:paraId="13F48BFC" w14:textId="77777777">
      <w:pPr>
        <w:spacing w:line="240" w:lineRule="exact"/>
        <w:rPr>
          <w:rFonts w:ascii="Calibri" w:hAnsi="Calibri" w:cs="Calibri"/>
        </w:rPr>
      </w:pPr>
    </w:p>
    <w:p w:rsidRPr="00D04785" w:rsidR="00AF53B1" w:rsidP="00AF53B1" w:rsidRDefault="00AF53B1" w14:paraId="27AAFAF9" w14:textId="77777777">
      <w:pPr>
        <w:spacing w:line="240" w:lineRule="exact"/>
        <w:rPr>
          <w:rFonts w:ascii="Calibri" w:hAnsi="Calibri" w:cs="Calibri"/>
        </w:rPr>
      </w:pPr>
    </w:p>
    <w:p w:rsidRPr="00D04785" w:rsidR="00AF53B1" w:rsidP="00AF53B1" w:rsidRDefault="00AF53B1" w14:paraId="656AE451" w14:textId="77777777">
      <w:pPr>
        <w:spacing w:line="240" w:lineRule="exact"/>
        <w:rPr>
          <w:rFonts w:ascii="Calibri" w:hAnsi="Calibri" w:cs="Calibri"/>
        </w:rPr>
      </w:pPr>
    </w:p>
    <w:p w:rsidRPr="00D04785" w:rsidR="00AF53B1" w:rsidP="00AF53B1" w:rsidRDefault="00AF53B1" w14:paraId="50C5EAAA" w14:textId="77777777">
      <w:pPr>
        <w:spacing w:line="240" w:lineRule="exact"/>
        <w:rPr>
          <w:rFonts w:ascii="Calibri" w:hAnsi="Calibri" w:cs="Calibri"/>
        </w:rPr>
      </w:pPr>
    </w:p>
    <w:p w:rsidRPr="00D04785" w:rsidR="00AF53B1" w:rsidP="00AF53B1" w:rsidRDefault="00AF53B1" w14:paraId="53C86388" w14:textId="77777777">
      <w:pPr>
        <w:spacing w:line="240" w:lineRule="exact"/>
        <w:rPr>
          <w:rFonts w:ascii="Calibri" w:hAnsi="Calibri" w:cs="Calibri"/>
        </w:rPr>
      </w:pPr>
      <w:r w:rsidRPr="00D04785">
        <w:rPr>
          <w:rFonts w:ascii="Calibri" w:hAnsi="Calibri" w:cs="Calibri"/>
        </w:rPr>
        <w:t>De exacte samenstelling van het btw-nalevingsgat in Nederland is niet bekend, maar uit steekproeven van de Belastingdienst blijkt dat het overgrote deel ervan toe te schrijven is aan andere oorzaken dan fraude.</w:t>
      </w:r>
    </w:p>
    <w:p w:rsidRPr="00D04785" w:rsidR="00AF53B1" w:rsidP="00AF53B1" w:rsidRDefault="00AF53B1" w14:paraId="499F4833" w14:textId="77777777">
      <w:pPr>
        <w:rPr>
          <w:rFonts w:ascii="Calibri" w:hAnsi="Calibri" w:cs="Calibri"/>
        </w:rPr>
      </w:pPr>
    </w:p>
    <w:p w:rsidRPr="00D04785" w:rsidR="00AF53B1" w:rsidP="00AF53B1" w:rsidRDefault="00AF53B1" w14:paraId="7EA1A6AA" w14:textId="77777777">
      <w:pPr>
        <w:rPr>
          <w:rFonts w:ascii="Calibri" w:hAnsi="Calibri" w:cs="Calibri"/>
          <w:i/>
          <w:iCs/>
          <w:u w:val="single"/>
        </w:rPr>
      </w:pPr>
      <w:r w:rsidRPr="00D04785">
        <w:rPr>
          <w:rFonts w:ascii="Calibri" w:hAnsi="Calibri" w:cs="Calibri"/>
          <w:i/>
          <w:iCs/>
          <w:u w:val="single"/>
        </w:rPr>
        <w:t>Werkwijze Belastingdienst</w:t>
      </w:r>
    </w:p>
    <w:p w:rsidRPr="00D04785" w:rsidR="00AF53B1" w:rsidP="00AF53B1" w:rsidRDefault="00AF53B1" w14:paraId="1A83B54E" w14:textId="77777777">
      <w:pPr>
        <w:spacing w:line="240" w:lineRule="exact"/>
        <w:rPr>
          <w:rFonts w:ascii="Calibri" w:hAnsi="Calibri" w:cs="Calibri"/>
        </w:rPr>
      </w:pPr>
      <w:r w:rsidRPr="00D04785">
        <w:rPr>
          <w:rFonts w:ascii="Calibri" w:hAnsi="Calibri" w:cs="Calibri"/>
        </w:rPr>
        <w:t xml:space="preserve">De Belastingdienst werkt conform haar Uitvoerings- en handhavingsstrategie (UHS). Centraal in deze strategie staat de situatie van burgers en bedrijven en een intelligent gebruik van informatie met voldoende waarborgen. Het fundament van de in 2022 geactualiseerde UHS is ongewijzigd gebleven. De Belastingdienst streeft ernaar dat zoveel mogelijk burgers en bedrijven uit zichzelf regels naleven, zonder dwingende en kostbare acties van de zijde van de Belastingdienst. De strategie helpt de Belastingdienst om in verschillende situaties de juiste keuzes te maken bij de uitvoering en inzet van een mix aan dienstverlening, toezicht en opsporing. Daarbij ligt de nadruk op het zoveel mogelijk voorkomen van fouten. </w:t>
      </w:r>
    </w:p>
    <w:p w:rsidRPr="00D04785" w:rsidR="00AF53B1" w:rsidP="00AF53B1" w:rsidRDefault="00AF53B1" w14:paraId="49CF3A64" w14:textId="77777777">
      <w:pPr>
        <w:spacing w:line="240" w:lineRule="exact"/>
        <w:rPr>
          <w:rFonts w:ascii="Calibri" w:hAnsi="Calibri" w:cs="Calibri"/>
        </w:rPr>
      </w:pPr>
      <w:r w:rsidRPr="00D04785">
        <w:rPr>
          <w:rFonts w:ascii="Calibri" w:hAnsi="Calibri" w:cs="Calibri"/>
        </w:rPr>
        <w:t>Dit resulteert in verschillende maatregelen waarmee de Belastingdienst het btw-nalevingsgat verkleint. Hierbij kan gedacht worden aan horizontaal toezicht, het verstrekken van informatie en gerichte voorlichting aan burgers en bedrijven over e-commerce, en het bieden van hulp aan ondernemers bij registratie voor btw-afdracht in EU-verband. Daarnaast heeft de Belastingdienst in het jaarplan 2025 specifiek aandacht voor het bestrijden van btw-fraude. In 2025 wordt een initiatief uitgevoerd dat ziet onder andere ziet op de btw-carrouselfraude. Ook zal de inzet van de FIOD in 2025 onder andere gericht zijn op de fiscale fenomenen intracommunautaire btw-fraude en btw-netwerkfraude.</w:t>
      </w:r>
    </w:p>
    <w:p w:rsidRPr="00D04785" w:rsidR="00AF53B1" w:rsidP="00AF53B1" w:rsidRDefault="00AF53B1" w14:paraId="2DFFEBFD" w14:textId="77777777">
      <w:pPr>
        <w:rPr>
          <w:rFonts w:ascii="Calibri" w:hAnsi="Calibri" w:cs="Calibri"/>
          <w:i/>
          <w:iCs/>
          <w:u w:val="single"/>
        </w:rPr>
      </w:pPr>
    </w:p>
    <w:p w:rsidRPr="00D04785" w:rsidR="00AF53B1" w:rsidP="00AF53B1" w:rsidRDefault="00AF53B1" w14:paraId="4E0D24B2" w14:textId="77777777">
      <w:pPr>
        <w:rPr>
          <w:rFonts w:ascii="Calibri" w:hAnsi="Calibri" w:cs="Calibri"/>
          <w:i/>
          <w:iCs/>
          <w:u w:val="single"/>
        </w:rPr>
      </w:pPr>
      <w:r w:rsidRPr="00D04785">
        <w:rPr>
          <w:rFonts w:ascii="Calibri" w:hAnsi="Calibri" w:cs="Calibri"/>
          <w:i/>
          <w:iCs/>
          <w:u w:val="single"/>
        </w:rPr>
        <w:t>Europese aanpak van het btw-nalevingsgat</w:t>
      </w:r>
    </w:p>
    <w:p w:rsidRPr="00D04785" w:rsidR="00AF53B1" w:rsidP="00AF53B1" w:rsidRDefault="00AF53B1" w14:paraId="6945AE0F" w14:textId="77777777">
      <w:pPr>
        <w:rPr>
          <w:rFonts w:ascii="Calibri" w:hAnsi="Calibri" w:cs="Calibri"/>
        </w:rPr>
      </w:pPr>
      <w:r w:rsidRPr="00D04785">
        <w:rPr>
          <w:rFonts w:ascii="Calibri" w:hAnsi="Calibri" w:cs="Calibri"/>
        </w:rPr>
        <w:t>De Europese samenwerking is gebaseerd op de Verordening administratieve samenwerking en btw-fraudebestrijding.</w:t>
      </w:r>
      <w:r w:rsidRPr="00D04785">
        <w:rPr>
          <w:rFonts w:ascii="Calibri" w:hAnsi="Calibri" w:cs="Calibri"/>
          <w:vertAlign w:val="superscript"/>
        </w:rPr>
        <w:footnoteReference w:id="5"/>
      </w:r>
      <w:r w:rsidRPr="00D04785">
        <w:rPr>
          <w:rFonts w:ascii="Calibri" w:hAnsi="Calibri" w:cs="Calibri"/>
        </w:rPr>
        <w:t xml:space="preserve"> In 2010 werd Eurofisc gelanceerd op initiatief van Frankrijk en Nederland. Eurofisc is een samenwerking van Europese fraudebestrijders die elkaar snel kunnen vinden en informatie kunnen uitwisselen over mogelijke fraudepatronen en -netwerken, wat een </w:t>
      </w:r>
      <w:r w:rsidRPr="00D04785">
        <w:rPr>
          <w:rFonts w:ascii="Calibri" w:hAnsi="Calibri" w:cs="Calibri"/>
          <w:i/>
          <w:iCs/>
        </w:rPr>
        <w:t>early warning systeem</w:t>
      </w:r>
      <w:r w:rsidRPr="00D04785">
        <w:rPr>
          <w:rFonts w:ascii="Calibri" w:hAnsi="Calibri" w:cs="Calibri"/>
        </w:rPr>
        <w:t xml:space="preserve"> wordt genoemd. Eurofisc is inmiddels uitgebreid en omvat verschillende werkvelden, waaronder één gericht op het herkennen en delen van nieuwe fraudetrends. Onder invloed van het Nederlands voorzitterschap van de EU is een nieuwe EU-brede data-analysetool aanvaard genaamd </w:t>
      </w:r>
      <w:r w:rsidRPr="00D04785">
        <w:rPr>
          <w:rFonts w:ascii="Calibri" w:hAnsi="Calibri" w:cs="Calibri"/>
          <w:i/>
          <w:iCs/>
        </w:rPr>
        <w:t>Transaction Network Analysis</w:t>
      </w:r>
      <w:r w:rsidRPr="00D04785">
        <w:rPr>
          <w:rFonts w:ascii="Calibri" w:hAnsi="Calibri" w:cs="Calibri"/>
        </w:rPr>
        <w:t xml:space="preserve"> </w:t>
      </w:r>
      <w:r w:rsidRPr="00D04785">
        <w:rPr>
          <w:rFonts w:ascii="Calibri" w:hAnsi="Calibri" w:cs="Calibri"/>
        </w:rPr>
        <w:lastRenderedPageBreak/>
        <w:t>(TNA), die nu al enkele jaren operationeel is en waaraan alle lidstaten vrijwillig deelnemen. TNA versnelt het verzamelen van informatie door data uit het VIES</w:t>
      </w:r>
      <w:r w:rsidRPr="00D04785">
        <w:rPr>
          <w:rFonts w:ascii="Calibri" w:hAnsi="Calibri" w:cs="Calibri"/>
          <w:vertAlign w:val="superscript"/>
        </w:rPr>
        <w:footnoteReference w:id="6"/>
      </w:r>
      <w:r w:rsidRPr="00D04785">
        <w:rPr>
          <w:rFonts w:ascii="Calibri" w:hAnsi="Calibri" w:cs="Calibri"/>
        </w:rPr>
        <w:t xml:space="preserve"> te gebruiken, wat helpt om deelnemers in de carrouselfraudenetwerken te identificeren.</w:t>
      </w:r>
    </w:p>
    <w:p w:rsidRPr="00D04785" w:rsidR="00AF53B1" w:rsidP="00AF53B1" w:rsidRDefault="00AF53B1" w14:paraId="313356C8" w14:textId="77777777">
      <w:pPr>
        <w:rPr>
          <w:rFonts w:ascii="Calibri" w:hAnsi="Calibri" w:cs="Calibri"/>
          <w:highlight w:val="yellow"/>
        </w:rPr>
      </w:pPr>
    </w:p>
    <w:p w:rsidRPr="00D04785" w:rsidR="00AF53B1" w:rsidP="00AF53B1" w:rsidRDefault="00AF53B1" w14:paraId="19950EA0" w14:textId="77777777">
      <w:pPr>
        <w:rPr>
          <w:rFonts w:ascii="Calibri" w:hAnsi="Calibri" w:cs="Calibri"/>
        </w:rPr>
      </w:pPr>
      <w:r w:rsidRPr="00D04785">
        <w:rPr>
          <w:rFonts w:ascii="Calibri" w:hAnsi="Calibri" w:cs="Calibri"/>
        </w:rPr>
        <w:t>Op de Ecofinraad van 11 maart jl. is een akkoord bereikt op het pakket met btw-regels voor het digitale tijdperk. Uw Kamer heeft op 3 februari 2023 een BNC-fiche met de beoordeling van dit pakket ontvangen.</w:t>
      </w:r>
      <w:r w:rsidRPr="00D04785">
        <w:rPr>
          <w:rFonts w:ascii="Calibri" w:hAnsi="Calibri" w:cs="Calibri"/>
          <w:vertAlign w:val="superscript"/>
        </w:rPr>
        <w:footnoteReference w:id="7"/>
      </w:r>
      <w:r w:rsidRPr="00D04785">
        <w:rPr>
          <w:rFonts w:ascii="Calibri" w:hAnsi="Calibri" w:cs="Calibri"/>
        </w:rPr>
        <w:t xml:space="preserve"> Het pakket heeft een aantal doelen, waaronder het verlichten van administratieve lasten, het verminderen van nalevingskosten, bestrijden van fraude en het verbeteren van de handhaving. Het pakket bestaat uit drie onderdelen: 1) digitale rapportageverplichtingen en e-facturatie, 2) een platformfictie voor kortlopende verhuur en vervoersdiensten en 3) één btw-registratie in de EU en aanpassingen van e-commerce. Het kabinet is blij dat er een akkoord is bereikt en is aangevangen met de implementatie van het pakket. </w:t>
      </w:r>
    </w:p>
    <w:p w:rsidRPr="00D04785" w:rsidR="00AF53B1" w:rsidP="00AF53B1" w:rsidRDefault="00AF53B1" w14:paraId="065ECD0C" w14:textId="77777777">
      <w:pPr>
        <w:rPr>
          <w:rFonts w:ascii="Calibri" w:hAnsi="Calibri" w:cs="Calibri"/>
        </w:rPr>
      </w:pPr>
    </w:p>
    <w:p w:rsidRPr="00D04785" w:rsidR="00AF53B1" w:rsidP="00AF53B1" w:rsidRDefault="00AF53B1" w14:paraId="7DECEC52" w14:textId="77777777">
      <w:pPr>
        <w:rPr>
          <w:rFonts w:ascii="Calibri" w:hAnsi="Calibri" w:cs="Calibri"/>
        </w:rPr>
      </w:pPr>
      <w:r w:rsidRPr="00D04785">
        <w:rPr>
          <w:rFonts w:ascii="Calibri" w:hAnsi="Calibri" w:cs="Calibri"/>
        </w:rPr>
        <w:t>Daarnaast is op de Ecofinraad van 13 mei jl. een akkoord bereikt over een voorstel dat ziet op het stimuleren van het gebruik van het éénloketsysteem voor invoer (</w:t>
      </w:r>
      <w:r w:rsidRPr="00D04785">
        <w:rPr>
          <w:rFonts w:ascii="Calibri" w:hAnsi="Calibri" w:cs="Calibri"/>
          <w:i/>
          <w:iCs/>
        </w:rPr>
        <w:t>Import One Stop Shop</w:t>
      </w:r>
      <w:r w:rsidRPr="00D04785">
        <w:rPr>
          <w:rFonts w:ascii="Calibri" w:hAnsi="Calibri" w:cs="Calibri"/>
        </w:rPr>
        <w:t xml:space="preserve"> – IOSS). De IOSS maakt het voor ondernemers makkelijker om de verschuldigde btw af te dragen en draagt tegelijkertijd bij aan het verbeteren van de naleving.</w:t>
      </w:r>
    </w:p>
    <w:p w:rsidRPr="00D04785" w:rsidR="00AF53B1" w:rsidP="00AF53B1" w:rsidRDefault="00AF53B1" w14:paraId="0532F104" w14:textId="77777777">
      <w:pPr>
        <w:rPr>
          <w:rFonts w:ascii="Calibri" w:hAnsi="Calibri" w:cs="Calibri"/>
          <w:color w:val="0D0D0D"/>
          <w:shd w:val="clear" w:color="auto" w:fill="FFFFFF"/>
        </w:rPr>
      </w:pPr>
      <w:r w:rsidRPr="00D04785">
        <w:rPr>
          <w:rFonts w:ascii="Calibri" w:hAnsi="Calibri" w:cs="Calibri"/>
          <w:highlight w:val="yellow"/>
        </w:rPr>
        <w:br/>
      </w:r>
      <w:r w:rsidRPr="00D04785">
        <w:rPr>
          <w:rFonts w:ascii="Calibri" w:hAnsi="Calibri" w:cs="Calibri"/>
          <w:color w:val="0D0D0D"/>
          <w:shd w:val="clear" w:color="auto" w:fill="FFFFFF"/>
        </w:rPr>
        <w:t>Het is belangrijk op te merken dat het btw-nalevingsgat niet volledig zal verdwijnen. Ondanks het uitvoerings- en handhavingsbeleid en de Europese samenwerking zijn er bepaalde oorzaken, zoals faillissementen, die niet kunnen worden voorkomen.</w:t>
      </w:r>
    </w:p>
    <w:p w:rsidRPr="00D04785" w:rsidR="00AF53B1" w:rsidP="00AF53B1" w:rsidRDefault="00AF53B1" w14:paraId="0E54D73C" w14:textId="77777777">
      <w:pPr>
        <w:rPr>
          <w:rFonts w:ascii="Calibri" w:hAnsi="Calibri" w:cs="Calibri"/>
          <w:b/>
          <w:bCs/>
        </w:rPr>
      </w:pPr>
    </w:p>
    <w:p w:rsidRPr="00D04785" w:rsidR="00AF53B1" w:rsidP="00AF53B1" w:rsidRDefault="00AF53B1" w14:paraId="67D1D5C9" w14:textId="77777777">
      <w:pPr>
        <w:rPr>
          <w:rFonts w:ascii="Calibri" w:hAnsi="Calibri" w:cs="Calibri"/>
          <w:b/>
          <w:bCs/>
        </w:rPr>
      </w:pPr>
      <w:r w:rsidRPr="00D04785">
        <w:rPr>
          <w:rFonts w:ascii="Calibri" w:hAnsi="Calibri" w:cs="Calibri"/>
          <w:b/>
          <w:bCs/>
        </w:rPr>
        <w:t>Btw-beleidsgat</w:t>
      </w:r>
    </w:p>
    <w:p w:rsidRPr="00D04785" w:rsidR="00AF53B1" w:rsidP="00AF53B1" w:rsidRDefault="00AF53B1" w14:paraId="78037AAD" w14:textId="77777777">
      <w:pPr>
        <w:rPr>
          <w:rFonts w:ascii="Calibri" w:hAnsi="Calibri" w:cs="Calibri"/>
        </w:rPr>
      </w:pPr>
    </w:p>
    <w:p w:rsidRPr="00D04785" w:rsidR="00AF53B1" w:rsidP="00AF53B1" w:rsidRDefault="00AF53B1" w14:paraId="388625F3" w14:textId="77777777">
      <w:pPr>
        <w:rPr>
          <w:rFonts w:ascii="Calibri" w:hAnsi="Calibri" w:cs="Calibri"/>
          <w:i/>
          <w:iCs/>
          <w:u w:val="single"/>
        </w:rPr>
      </w:pPr>
      <w:r w:rsidRPr="00D04785">
        <w:rPr>
          <w:rFonts w:ascii="Calibri" w:hAnsi="Calibri" w:cs="Calibri"/>
          <w:i/>
          <w:iCs/>
          <w:u w:val="single"/>
        </w:rPr>
        <w:t>Oorzaken van het btw-beleidsgat</w:t>
      </w:r>
    </w:p>
    <w:p w:rsidRPr="00D04785" w:rsidR="00AF53B1" w:rsidP="00AF53B1" w:rsidRDefault="00AF53B1" w14:paraId="0D6AB2B9" w14:textId="77777777">
      <w:pPr>
        <w:rPr>
          <w:rFonts w:ascii="Calibri" w:hAnsi="Calibri" w:cs="Calibri"/>
        </w:rPr>
      </w:pPr>
      <w:r w:rsidRPr="00D04785">
        <w:rPr>
          <w:rFonts w:ascii="Calibri" w:hAnsi="Calibri" w:cs="Calibri"/>
        </w:rPr>
        <w:t xml:space="preserve">Het btw-beleidsgat analyseert het verschil tussen de werkelijke situatie, waarin een deel van de geleverde goederen en diensten vrijgesteld is of tegen een verlaagd btw of 0% tarief wordt belast, en een hypothetische situatie waarin alle geleverde </w:t>
      </w:r>
      <w:r w:rsidRPr="00D04785">
        <w:rPr>
          <w:rFonts w:ascii="Calibri" w:hAnsi="Calibri" w:cs="Calibri"/>
        </w:rPr>
        <w:lastRenderedPageBreak/>
        <w:t>goederen en diensten tegen het normale btw-tarief worden belast. De samenstelling van het btw-beleidsgat varieert per lidstaat door de verschillende beleidskeuzes. Het rapport maakt alleen onderscheid tussen het deel van het gat dat wordt veroorzaakt door de verlaagde btw-tarieven (inclusief het 0% tarief) en het deel dat wordt toegeschreven aan de (optionele) vrijstellingen.</w:t>
      </w:r>
    </w:p>
    <w:p w:rsidRPr="00D04785" w:rsidR="00AF53B1" w:rsidP="00AF53B1" w:rsidRDefault="00AF53B1" w14:paraId="515715B5" w14:textId="77777777">
      <w:pPr>
        <w:rPr>
          <w:rFonts w:ascii="Calibri" w:hAnsi="Calibri" w:cs="Calibri"/>
          <w:i/>
          <w:iCs/>
        </w:rPr>
      </w:pPr>
    </w:p>
    <w:p w:rsidRPr="00D04785" w:rsidR="00AF53B1" w:rsidP="00AF53B1" w:rsidRDefault="00AF53B1" w14:paraId="14E8AAEE" w14:textId="77777777">
      <w:pPr>
        <w:rPr>
          <w:rFonts w:ascii="Calibri" w:hAnsi="Calibri" w:cs="Calibri"/>
          <w:i/>
          <w:iCs/>
          <w:u w:val="single"/>
        </w:rPr>
      </w:pPr>
      <w:r w:rsidRPr="00D04785">
        <w:rPr>
          <w:rFonts w:ascii="Calibri" w:hAnsi="Calibri" w:cs="Calibri"/>
          <w:i/>
          <w:iCs/>
          <w:u w:val="single"/>
        </w:rPr>
        <w:t>Het btw-beleidsgat in de EU</w:t>
      </w:r>
    </w:p>
    <w:p w:rsidRPr="00D04785" w:rsidR="00AF53B1" w:rsidP="00AF53B1" w:rsidRDefault="00AF53B1" w14:paraId="3CF22EB3" w14:textId="77777777">
      <w:pPr>
        <w:spacing w:line="240" w:lineRule="exact"/>
        <w:rPr>
          <w:rFonts w:ascii="Calibri" w:hAnsi="Calibri" w:cs="Calibri"/>
        </w:rPr>
      </w:pPr>
      <w:r w:rsidRPr="00D04785">
        <w:rPr>
          <w:rFonts w:ascii="Calibri" w:hAnsi="Calibri" w:cs="Calibri"/>
        </w:rPr>
        <w:t>Volgens het rapport was het Europese btw-beleidsgat in 2022 49,6%. Daarvan bestond 30,6%-punt uit verplichte vrijstellingen, 7%-punt uit optionele vrijstellingen en 12%-punt uit verlaagde tarieven.</w:t>
      </w:r>
    </w:p>
    <w:p w:rsidRPr="00D04785" w:rsidR="00AF53B1" w:rsidP="00AF53B1" w:rsidRDefault="00AF53B1" w14:paraId="31F65262" w14:textId="77777777">
      <w:pPr>
        <w:spacing w:line="240" w:lineRule="exact"/>
        <w:rPr>
          <w:rFonts w:ascii="Calibri" w:hAnsi="Calibri" w:cs="Calibri"/>
        </w:rPr>
      </w:pPr>
    </w:p>
    <w:p w:rsidRPr="00D04785" w:rsidR="00AF53B1" w:rsidP="00AF53B1" w:rsidRDefault="00AF53B1" w14:paraId="51C34CC5" w14:textId="77777777">
      <w:pPr>
        <w:spacing w:line="240" w:lineRule="exact"/>
        <w:rPr>
          <w:rFonts w:ascii="Calibri" w:hAnsi="Calibri" w:cs="Calibri"/>
        </w:rPr>
      </w:pPr>
      <w:r w:rsidRPr="00D04785">
        <w:rPr>
          <w:rFonts w:ascii="Calibri" w:hAnsi="Calibri" w:cs="Calibri"/>
        </w:rPr>
        <w:t>Tabel 3</w:t>
      </w:r>
    </w:p>
    <w:tbl>
      <w:tblPr>
        <w:tblStyle w:val="Tabelraster1"/>
        <w:tblW w:w="0" w:type="auto"/>
        <w:tblInd w:w="-5" w:type="dxa"/>
        <w:tblLook w:val="04A0" w:firstRow="1" w:lastRow="0" w:firstColumn="1" w:lastColumn="0" w:noHBand="0" w:noVBand="1"/>
      </w:tblPr>
      <w:tblGrid>
        <w:gridCol w:w="2266"/>
        <w:gridCol w:w="901"/>
        <w:gridCol w:w="1098"/>
        <w:gridCol w:w="1099"/>
        <w:gridCol w:w="1086"/>
        <w:gridCol w:w="1086"/>
      </w:tblGrid>
      <w:tr w:rsidRPr="00D04785" w:rsidR="00AF53B1" w:rsidTr="000224EC" w14:paraId="6B4F9A4C" w14:textId="77777777">
        <w:tc>
          <w:tcPr>
            <w:tcW w:w="226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C65133B" w14:textId="77777777">
            <w:pPr>
              <w:rPr>
                <w:rFonts w:ascii="Calibri" w:hAnsi="Calibri" w:cs="Calibri"/>
                <w:b/>
                <w:bCs/>
                <w:sz w:val="22"/>
                <w:szCs w:val="22"/>
              </w:rPr>
            </w:pPr>
            <w:r w:rsidRPr="00D04785">
              <w:rPr>
                <w:rFonts w:ascii="Calibri" w:hAnsi="Calibri" w:cs="Calibri"/>
                <w:b/>
                <w:bCs/>
                <w:sz w:val="22"/>
                <w:szCs w:val="22"/>
              </w:rPr>
              <w:t>Jaar</w:t>
            </w:r>
          </w:p>
        </w:tc>
        <w:tc>
          <w:tcPr>
            <w:tcW w:w="90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C9FAD53" w14:textId="77777777">
            <w:pPr>
              <w:rPr>
                <w:rFonts w:ascii="Calibri" w:hAnsi="Calibri" w:cs="Calibri"/>
                <w:sz w:val="22"/>
                <w:szCs w:val="22"/>
              </w:rPr>
            </w:pPr>
            <w:r w:rsidRPr="00D04785">
              <w:rPr>
                <w:rFonts w:ascii="Calibri" w:hAnsi="Calibri" w:cs="Calibri"/>
                <w:sz w:val="22"/>
                <w:szCs w:val="22"/>
              </w:rPr>
              <w:t>2018</w:t>
            </w:r>
          </w:p>
        </w:tc>
        <w:tc>
          <w:tcPr>
            <w:tcW w:w="109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4C942C2" w14:textId="77777777">
            <w:pPr>
              <w:rPr>
                <w:rFonts w:ascii="Calibri" w:hAnsi="Calibri" w:cs="Calibri"/>
                <w:sz w:val="22"/>
                <w:szCs w:val="22"/>
              </w:rPr>
            </w:pPr>
            <w:r w:rsidRPr="00D04785">
              <w:rPr>
                <w:rFonts w:ascii="Calibri" w:hAnsi="Calibri" w:cs="Calibri"/>
                <w:sz w:val="22"/>
                <w:szCs w:val="22"/>
              </w:rPr>
              <w:t>2019</w:t>
            </w:r>
          </w:p>
        </w:tc>
        <w:tc>
          <w:tcPr>
            <w:tcW w:w="1099"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813051C" w14:textId="77777777">
            <w:pPr>
              <w:rPr>
                <w:rFonts w:ascii="Calibri" w:hAnsi="Calibri" w:cs="Calibri"/>
                <w:sz w:val="22"/>
                <w:szCs w:val="22"/>
              </w:rPr>
            </w:pPr>
            <w:r w:rsidRPr="00D04785">
              <w:rPr>
                <w:rFonts w:ascii="Calibri" w:hAnsi="Calibri" w:cs="Calibri"/>
                <w:sz w:val="22"/>
                <w:szCs w:val="22"/>
              </w:rPr>
              <w:t>2020</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CB7EE18" w14:textId="77777777">
            <w:pPr>
              <w:rPr>
                <w:rFonts w:ascii="Calibri" w:hAnsi="Calibri" w:cs="Calibri"/>
                <w:sz w:val="22"/>
                <w:szCs w:val="22"/>
              </w:rPr>
            </w:pPr>
            <w:r w:rsidRPr="00D04785">
              <w:rPr>
                <w:rFonts w:ascii="Calibri" w:hAnsi="Calibri" w:cs="Calibri"/>
                <w:sz w:val="22"/>
                <w:szCs w:val="22"/>
              </w:rPr>
              <w:t>2021</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735F046" w14:textId="77777777">
            <w:pPr>
              <w:rPr>
                <w:rFonts w:ascii="Calibri" w:hAnsi="Calibri" w:cs="Calibri"/>
                <w:sz w:val="22"/>
                <w:szCs w:val="22"/>
              </w:rPr>
            </w:pPr>
            <w:r w:rsidRPr="00D04785">
              <w:rPr>
                <w:rFonts w:ascii="Calibri" w:hAnsi="Calibri" w:cs="Calibri"/>
                <w:sz w:val="22"/>
                <w:szCs w:val="22"/>
              </w:rPr>
              <w:t>2022</w:t>
            </w:r>
          </w:p>
        </w:tc>
      </w:tr>
      <w:tr w:rsidRPr="00D04785" w:rsidR="00AF53B1" w:rsidTr="000224EC" w14:paraId="0D0390A4" w14:textId="77777777">
        <w:tc>
          <w:tcPr>
            <w:tcW w:w="226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7DF52F6" w14:textId="77777777">
            <w:pPr>
              <w:rPr>
                <w:rFonts w:ascii="Calibri" w:hAnsi="Calibri" w:cs="Calibri"/>
                <w:b/>
                <w:bCs/>
                <w:sz w:val="22"/>
                <w:szCs w:val="22"/>
              </w:rPr>
            </w:pPr>
            <w:r w:rsidRPr="00D04785">
              <w:rPr>
                <w:rFonts w:ascii="Calibri" w:hAnsi="Calibri" w:cs="Calibri"/>
                <w:b/>
                <w:bCs/>
                <w:sz w:val="22"/>
                <w:szCs w:val="22"/>
              </w:rPr>
              <w:t>Totaal btw-beleidsgat</w:t>
            </w:r>
          </w:p>
        </w:tc>
        <w:tc>
          <w:tcPr>
            <w:tcW w:w="90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D7EA338" w14:textId="77777777">
            <w:pPr>
              <w:rPr>
                <w:rFonts w:ascii="Calibri" w:hAnsi="Calibri" w:cs="Calibri"/>
                <w:sz w:val="22"/>
                <w:szCs w:val="22"/>
              </w:rPr>
            </w:pPr>
            <w:r w:rsidRPr="00D04785">
              <w:rPr>
                <w:rFonts w:ascii="Calibri" w:hAnsi="Calibri" w:cs="Calibri"/>
                <w:sz w:val="22"/>
                <w:szCs w:val="22"/>
              </w:rPr>
              <w:t>49,3%</w:t>
            </w:r>
          </w:p>
        </w:tc>
        <w:tc>
          <w:tcPr>
            <w:tcW w:w="109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E48A535" w14:textId="77777777">
            <w:pPr>
              <w:rPr>
                <w:rFonts w:ascii="Calibri" w:hAnsi="Calibri" w:cs="Calibri"/>
                <w:sz w:val="22"/>
                <w:szCs w:val="22"/>
              </w:rPr>
            </w:pPr>
            <w:r w:rsidRPr="00D04785">
              <w:rPr>
                <w:rFonts w:ascii="Calibri" w:hAnsi="Calibri" w:cs="Calibri"/>
                <w:sz w:val="22"/>
                <w:szCs w:val="22"/>
              </w:rPr>
              <w:t>48,9%</w:t>
            </w:r>
          </w:p>
        </w:tc>
        <w:tc>
          <w:tcPr>
            <w:tcW w:w="1099"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3F6EAD9" w14:textId="77777777">
            <w:pPr>
              <w:rPr>
                <w:rFonts w:ascii="Calibri" w:hAnsi="Calibri" w:cs="Calibri"/>
                <w:sz w:val="22"/>
                <w:szCs w:val="22"/>
              </w:rPr>
            </w:pPr>
            <w:r w:rsidRPr="00D04785">
              <w:rPr>
                <w:rFonts w:ascii="Calibri" w:hAnsi="Calibri" w:cs="Calibri"/>
                <w:sz w:val="22"/>
                <w:szCs w:val="22"/>
              </w:rPr>
              <w:t>50,9%</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29C65C3" w14:textId="77777777">
            <w:pPr>
              <w:rPr>
                <w:rFonts w:ascii="Calibri" w:hAnsi="Calibri" w:cs="Calibri"/>
                <w:sz w:val="22"/>
                <w:szCs w:val="22"/>
              </w:rPr>
            </w:pPr>
            <w:r w:rsidRPr="00D04785">
              <w:rPr>
                <w:rFonts w:ascii="Calibri" w:hAnsi="Calibri" w:cs="Calibri"/>
                <w:sz w:val="22"/>
                <w:szCs w:val="22"/>
              </w:rPr>
              <w:t>49,8%</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4F8EF5C" w14:textId="77777777">
            <w:pPr>
              <w:rPr>
                <w:rFonts w:ascii="Calibri" w:hAnsi="Calibri" w:cs="Calibri"/>
                <w:sz w:val="22"/>
                <w:szCs w:val="22"/>
              </w:rPr>
            </w:pPr>
            <w:r w:rsidRPr="00D04785">
              <w:rPr>
                <w:rFonts w:ascii="Calibri" w:hAnsi="Calibri" w:cs="Calibri"/>
                <w:sz w:val="22"/>
                <w:szCs w:val="22"/>
              </w:rPr>
              <w:t>49,6%</w:t>
            </w:r>
          </w:p>
        </w:tc>
      </w:tr>
      <w:tr w:rsidRPr="00D04785" w:rsidR="00AF53B1" w:rsidTr="000224EC" w14:paraId="09DCF2F0" w14:textId="77777777">
        <w:tc>
          <w:tcPr>
            <w:tcW w:w="226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CD08C90" w14:textId="77777777">
            <w:pPr>
              <w:rPr>
                <w:rFonts w:ascii="Calibri" w:hAnsi="Calibri" w:cs="Calibri"/>
                <w:b/>
                <w:bCs/>
                <w:sz w:val="22"/>
                <w:szCs w:val="22"/>
              </w:rPr>
            </w:pPr>
            <w:r w:rsidRPr="00D04785">
              <w:rPr>
                <w:rFonts w:ascii="Calibri" w:hAnsi="Calibri" w:cs="Calibri"/>
                <w:b/>
                <w:bCs/>
                <w:sz w:val="22"/>
                <w:szCs w:val="22"/>
              </w:rPr>
              <w:t>Verplichte vrijstellingen</w:t>
            </w:r>
          </w:p>
        </w:tc>
        <w:tc>
          <w:tcPr>
            <w:tcW w:w="90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7AD57DD" w14:textId="77777777">
            <w:pPr>
              <w:rPr>
                <w:rFonts w:ascii="Calibri" w:hAnsi="Calibri" w:cs="Calibri"/>
                <w:sz w:val="22"/>
                <w:szCs w:val="22"/>
              </w:rPr>
            </w:pPr>
            <w:r w:rsidRPr="00D04785">
              <w:rPr>
                <w:rFonts w:ascii="Calibri" w:hAnsi="Calibri" w:cs="Calibri"/>
                <w:sz w:val="22"/>
                <w:szCs w:val="22"/>
              </w:rPr>
              <w:t>31,2%</w:t>
            </w:r>
          </w:p>
        </w:tc>
        <w:tc>
          <w:tcPr>
            <w:tcW w:w="109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010942C" w14:textId="77777777">
            <w:pPr>
              <w:rPr>
                <w:rFonts w:ascii="Calibri" w:hAnsi="Calibri" w:cs="Calibri"/>
                <w:sz w:val="22"/>
                <w:szCs w:val="22"/>
              </w:rPr>
            </w:pPr>
            <w:r w:rsidRPr="00D04785">
              <w:rPr>
                <w:rFonts w:ascii="Calibri" w:hAnsi="Calibri" w:cs="Calibri"/>
                <w:sz w:val="22"/>
                <w:szCs w:val="22"/>
              </w:rPr>
              <w:t>30,9%</w:t>
            </w:r>
          </w:p>
        </w:tc>
        <w:tc>
          <w:tcPr>
            <w:tcW w:w="1099"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711427C" w14:textId="77777777">
            <w:pPr>
              <w:rPr>
                <w:rFonts w:ascii="Calibri" w:hAnsi="Calibri" w:cs="Calibri"/>
                <w:sz w:val="22"/>
                <w:szCs w:val="22"/>
              </w:rPr>
            </w:pPr>
            <w:r w:rsidRPr="00D04785">
              <w:rPr>
                <w:rFonts w:ascii="Calibri" w:hAnsi="Calibri" w:cs="Calibri"/>
                <w:sz w:val="22"/>
                <w:szCs w:val="22"/>
              </w:rPr>
              <w:t>33%</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C307B77" w14:textId="77777777">
            <w:pPr>
              <w:rPr>
                <w:rFonts w:ascii="Calibri" w:hAnsi="Calibri" w:cs="Calibri"/>
                <w:sz w:val="22"/>
                <w:szCs w:val="22"/>
              </w:rPr>
            </w:pPr>
            <w:r w:rsidRPr="00D04785">
              <w:rPr>
                <w:rFonts w:ascii="Calibri" w:hAnsi="Calibri" w:cs="Calibri"/>
                <w:sz w:val="22"/>
                <w:szCs w:val="22"/>
              </w:rPr>
              <w:t>32,2%</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1AFD7E24" w14:textId="77777777">
            <w:pPr>
              <w:rPr>
                <w:rFonts w:ascii="Calibri" w:hAnsi="Calibri" w:cs="Calibri"/>
                <w:sz w:val="22"/>
                <w:szCs w:val="22"/>
              </w:rPr>
            </w:pPr>
            <w:r w:rsidRPr="00D04785">
              <w:rPr>
                <w:rFonts w:ascii="Calibri" w:hAnsi="Calibri" w:cs="Calibri"/>
                <w:sz w:val="22"/>
                <w:szCs w:val="22"/>
              </w:rPr>
              <w:t>30,6%</w:t>
            </w:r>
          </w:p>
        </w:tc>
      </w:tr>
      <w:tr w:rsidRPr="00D04785" w:rsidR="00AF53B1" w:rsidTr="000224EC" w14:paraId="1E07B361" w14:textId="77777777">
        <w:tc>
          <w:tcPr>
            <w:tcW w:w="226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C609C14" w14:textId="77777777">
            <w:pPr>
              <w:rPr>
                <w:rFonts w:ascii="Calibri" w:hAnsi="Calibri" w:cs="Calibri"/>
                <w:b/>
                <w:bCs/>
                <w:sz w:val="22"/>
                <w:szCs w:val="22"/>
              </w:rPr>
            </w:pPr>
            <w:r w:rsidRPr="00D04785">
              <w:rPr>
                <w:rFonts w:ascii="Calibri" w:hAnsi="Calibri" w:cs="Calibri"/>
                <w:b/>
                <w:bCs/>
                <w:sz w:val="22"/>
                <w:szCs w:val="22"/>
              </w:rPr>
              <w:t>Optionele vrijstellingen</w:t>
            </w:r>
          </w:p>
        </w:tc>
        <w:tc>
          <w:tcPr>
            <w:tcW w:w="90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150A2A1" w14:textId="77777777">
            <w:pPr>
              <w:rPr>
                <w:rFonts w:ascii="Calibri" w:hAnsi="Calibri" w:cs="Calibri"/>
                <w:sz w:val="22"/>
                <w:szCs w:val="22"/>
              </w:rPr>
            </w:pPr>
            <w:r w:rsidRPr="00D04785">
              <w:rPr>
                <w:rFonts w:ascii="Calibri" w:hAnsi="Calibri" w:cs="Calibri"/>
                <w:sz w:val="22"/>
                <w:szCs w:val="22"/>
              </w:rPr>
              <w:t>6,6%</w:t>
            </w:r>
          </w:p>
        </w:tc>
        <w:tc>
          <w:tcPr>
            <w:tcW w:w="109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D7BBB9A" w14:textId="77777777">
            <w:pPr>
              <w:rPr>
                <w:rFonts w:ascii="Calibri" w:hAnsi="Calibri" w:cs="Calibri"/>
                <w:sz w:val="22"/>
                <w:szCs w:val="22"/>
              </w:rPr>
            </w:pPr>
            <w:r w:rsidRPr="00D04785">
              <w:rPr>
                <w:rFonts w:ascii="Calibri" w:hAnsi="Calibri" w:cs="Calibri"/>
                <w:sz w:val="22"/>
                <w:szCs w:val="22"/>
              </w:rPr>
              <w:t>6,5%</w:t>
            </w:r>
          </w:p>
        </w:tc>
        <w:tc>
          <w:tcPr>
            <w:tcW w:w="1099"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ED8D6DD" w14:textId="77777777">
            <w:pPr>
              <w:rPr>
                <w:rFonts w:ascii="Calibri" w:hAnsi="Calibri" w:cs="Calibri"/>
                <w:sz w:val="22"/>
                <w:szCs w:val="22"/>
              </w:rPr>
            </w:pPr>
            <w:r w:rsidRPr="00D04785">
              <w:rPr>
                <w:rFonts w:ascii="Calibri" w:hAnsi="Calibri" w:cs="Calibri"/>
                <w:sz w:val="22"/>
                <w:szCs w:val="22"/>
              </w:rPr>
              <w:t>6,7%</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FB7C6E8" w14:textId="77777777">
            <w:pPr>
              <w:rPr>
                <w:rFonts w:ascii="Calibri" w:hAnsi="Calibri" w:cs="Calibri"/>
                <w:sz w:val="22"/>
                <w:szCs w:val="22"/>
              </w:rPr>
            </w:pPr>
            <w:r w:rsidRPr="00D04785">
              <w:rPr>
                <w:rFonts w:ascii="Calibri" w:hAnsi="Calibri" w:cs="Calibri"/>
                <w:sz w:val="22"/>
                <w:szCs w:val="22"/>
              </w:rPr>
              <w:t>6,6%</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8569E68" w14:textId="77777777">
            <w:pPr>
              <w:rPr>
                <w:rFonts w:ascii="Calibri" w:hAnsi="Calibri" w:cs="Calibri"/>
                <w:sz w:val="22"/>
                <w:szCs w:val="22"/>
              </w:rPr>
            </w:pPr>
            <w:r w:rsidRPr="00D04785">
              <w:rPr>
                <w:rFonts w:ascii="Calibri" w:hAnsi="Calibri" w:cs="Calibri"/>
                <w:sz w:val="22"/>
                <w:szCs w:val="22"/>
              </w:rPr>
              <w:t>7,0%</w:t>
            </w:r>
          </w:p>
        </w:tc>
      </w:tr>
      <w:tr w:rsidRPr="00D04785" w:rsidR="00AF53B1" w:rsidTr="000224EC" w14:paraId="03051298" w14:textId="77777777">
        <w:tc>
          <w:tcPr>
            <w:tcW w:w="226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879618A" w14:textId="77777777">
            <w:pPr>
              <w:rPr>
                <w:rFonts w:ascii="Calibri" w:hAnsi="Calibri" w:cs="Calibri"/>
                <w:b/>
                <w:bCs/>
                <w:sz w:val="22"/>
                <w:szCs w:val="22"/>
              </w:rPr>
            </w:pPr>
            <w:r w:rsidRPr="00D04785">
              <w:rPr>
                <w:rFonts w:ascii="Calibri" w:hAnsi="Calibri" w:cs="Calibri"/>
                <w:b/>
                <w:bCs/>
                <w:sz w:val="22"/>
                <w:szCs w:val="22"/>
              </w:rPr>
              <w:t>Verlaagde tarieven</w:t>
            </w:r>
          </w:p>
        </w:tc>
        <w:tc>
          <w:tcPr>
            <w:tcW w:w="90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39FA1AE" w14:textId="77777777">
            <w:pPr>
              <w:rPr>
                <w:rFonts w:ascii="Calibri" w:hAnsi="Calibri" w:cs="Calibri"/>
                <w:sz w:val="22"/>
                <w:szCs w:val="22"/>
              </w:rPr>
            </w:pPr>
            <w:r w:rsidRPr="00D04785">
              <w:rPr>
                <w:rFonts w:ascii="Calibri" w:hAnsi="Calibri" w:cs="Calibri"/>
                <w:sz w:val="22"/>
                <w:szCs w:val="22"/>
              </w:rPr>
              <w:t>11,5%</w:t>
            </w:r>
          </w:p>
        </w:tc>
        <w:tc>
          <w:tcPr>
            <w:tcW w:w="109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E0A730B" w14:textId="77777777">
            <w:pPr>
              <w:rPr>
                <w:rFonts w:ascii="Calibri" w:hAnsi="Calibri" w:cs="Calibri"/>
                <w:sz w:val="22"/>
                <w:szCs w:val="22"/>
              </w:rPr>
            </w:pPr>
            <w:r w:rsidRPr="00D04785">
              <w:rPr>
                <w:rFonts w:ascii="Calibri" w:hAnsi="Calibri" w:cs="Calibri"/>
                <w:sz w:val="22"/>
                <w:szCs w:val="22"/>
              </w:rPr>
              <w:t>11,5%</w:t>
            </w:r>
          </w:p>
        </w:tc>
        <w:tc>
          <w:tcPr>
            <w:tcW w:w="1099"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1EC36E0" w14:textId="77777777">
            <w:pPr>
              <w:rPr>
                <w:rFonts w:ascii="Calibri" w:hAnsi="Calibri" w:cs="Calibri"/>
                <w:sz w:val="22"/>
                <w:szCs w:val="22"/>
              </w:rPr>
            </w:pPr>
            <w:r w:rsidRPr="00D04785">
              <w:rPr>
                <w:rFonts w:ascii="Calibri" w:hAnsi="Calibri" w:cs="Calibri"/>
                <w:sz w:val="22"/>
                <w:szCs w:val="22"/>
              </w:rPr>
              <w:t>11,2%</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E020CF6" w14:textId="77777777">
            <w:pPr>
              <w:rPr>
                <w:rFonts w:ascii="Calibri" w:hAnsi="Calibri" w:cs="Calibri"/>
                <w:sz w:val="22"/>
                <w:szCs w:val="22"/>
              </w:rPr>
            </w:pPr>
            <w:r w:rsidRPr="00D04785">
              <w:rPr>
                <w:rFonts w:ascii="Calibri" w:hAnsi="Calibri" w:cs="Calibri"/>
                <w:sz w:val="22"/>
                <w:szCs w:val="22"/>
              </w:rPr>
              <w:t>11,0%</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FB80E2F" w14:textId="77777777">
            <w:pPr>
              <w:rPr>
                <w:rFonts w:ascii="Calibri" w:hAnsi="Calibri" w:cs="Calibri"/>
                <w:sz w:val="22"/>
                <w:szCs w:val="22"/>
              </w:rPr>
            </w:pPr>
            <w:r w:rsidRPr="00D04785">
              <w:rPr>
                <w:rFonts w:ascii="Calibri" w:hAnsi="Calibri" w:cs="Calibri"/>
                <w:sz w:val="22"/>
                <w:szCs w:val="22"/>
              </w:rPr>
              <w:t>12,0%</w:t>
            </w:r>
          </w:p>
        </w:tc>
      </w:tr>
    </w:tbl>
    <w:p w:rsidRPr="00D04785" w:rsidR="00AF53B1" w:rsidP="00AF53B1" w:rsidRDefault="00AF53B1" w14:paraId="74A70BE2" w14:textId="77777777">
      <w:pPr>
        <w:spacing w:line="240" w:lineRule="exact"/>
        <w:rPr>
          <w:rFonts w:ascii="Calibri" w:hAnsi="Calibri" w:cs="Calibri"/>
        </w:rPr>
      </w:pPr>
    </w:p>
    <w:p w:rsidRPr="00D04785" w:rsidR="00AF53B1" w:rsidP="00AF53B1" w:rsidRDefault="00AF53B1" w14:paraId="477FE5EC" w14:textId="77777777">
      <w:pPr>
        <w:spacing w:line="240" w:lineRule="exact"/>
        <w:rPr>
          <w:rFonts w:ascii="Calibri" w:hAnsi="Calibri" w:cs="Calibri"/>
        </w:rPr>
      </w:pPr>
      <w:r w:rsidRPr="00D04785">
        <w:rPr>
          <w:rFonts w:ascii="Calibri" w:hAnsi="Calibri" w:cs="Calibri"/>
        </w:rPr>
        <w:t>Het grootste deel van het btw-beleidsgat wordt veroorzaakt door vrijstellingen die lidstaten volgens de btw-Richtlijn 2006 verplicht moeten toepassen. Hierbij kan gedacht worden aan bepaalde vrijstellingen voor financiële diensten en publieke zaken als gezondheidszorg en onderwijs. Lidstaten hebben wel invloed op de grootte van het btw-beleidsgat dat wordt veroorzaakt door optionele vrijstellingen en verlaagde tarieven. Dit wordt bepaald door de beleidskeuzes die lidstaten maken. Zo heeft Denemarken ervoor gekozen om maar een zeer beperkt aantal optionele vrijstellingen en verlaagde tarieven te gebruiken. Dit leidt ertoe dat het btw-beleidsgat in Denemarken dat wordt veroorzaakt door optionele vrijstellingen en verlaagde tarieven respectievelijk 1% en 2% is.</w:t>
      </w:r>
    </w:p>
    <w:p w:rsidRPr="00D04785" w:rsidR="00AF53B1" w:rsidP="00AF53B1" w:rsidRDefault="00AF53B1" w14:paraId="10A47337" w14:textId="77777777">
      <w:pPr>
        <w:rPr>
          <w:rFonts w:ascii="Calibri" w:hAnsi="Calibri" w:cs="Calibri"/>
          <w:i/>
          <w:iCs/>
          <w:u w:val="single"/>
        </w:rPr>
      </w:pPr>
    </w:p>
    <w:p w:rsidRPr="00D04785" w:rsidR="00AF53B1" w:rsidP="00AF53B1" w:rsidRDefault="00AF53B1" w14:paraId="0FE4CEB7" w14:textId="77777777">
      <w:pPr>
        <w:rPr>
          <w:rFonts w:ascii="Calibri" w:hAnsi="Calibri" w:cs="Calibri"/>
          <w:i/>
          <w:iCs/>
          <w:u w:val="single"/>
        </w:rPr>
      </w:pPr>
      <w:r w:rsidRPr="00D04785">
        <w:rPr>
          <w:rFonts w:ascii="Calibri" w:hAnsi="Calibri" w:cs="Calibri"/>
          <w:i/>
          <w:iCs/>
          <w:u w:val="single"/>
        </w:rPr>
        <w:t>Het btw-beleidsgat in Nederland</w:t>
      </w:r>
    </w:p>
    <w:p w:rsidRPr="00D04785" w:rsidR="00AF53B1" w:rsidP="00AF53B1" w:rsidRDefault="00AF53B1" w14:paraId="57DAEBC4" w14:textId="77777777">
      <w:pPr>
        <w:spacing w:line="240" w:lineRule="exact"/>
        <w:rPr>
          <w:rFonts w:ascii="Calibri" w:hAnsi="Calibri" w:cs="Calibri"/>
        </w:rPr>
      </w:pPr>
      <w:r w:rsidRPr="00D04785">
        <w:rPr>
          <w:rFonts w:ascii="Calibri" w:hAnsi="Calibri" w:cs="Calibri"/>
        </w:rPr>
        <w:t>Volgens het rapport bedraagt het Nederlandse btw-beleidsgat in 2022 48,7% (72,4mld. euro). Hiervan werd 9,8%-punt (14,5mld. euro) veroorzaakt door verlaagde of 0% btw-tarieven</w:t>
      </w:r>
      <w:r w:rsidRPr="00D04785">
        <w:rPr>
          <w:rFonts w:ascii="Calibri" w:hAnsi="Calibri" w:cs="Calibri"/>
          <w:vertAlign w:val="superscript"/>
        </w:rPr>
        <w:footnoteReference w:id="8"/>
      </w:r>
      <w:r w:rsidRPr="00D04785">
        <w:rPr>
          <w:rFonts w:ascii="Calibri" w:hAnsi="Calibri" w:cs="Calibri"/>
        </w:rPr>
        <w:t xml:space="preserve">, 34,8%-punt (51,6mld. euro) door verplichte vrijstellingen en 4,3%-punt (6,3mld. euro) door optionele vrijstellingen. Het budgettaire belang veroorzaakt door het nultarief en de verlaagde btw-tarieven wordt jaarlijks gerapporteerd in bijlage 10 van de miljoenennota. Deze cijfers wijken </w:t>
      </w:r>
      <w:r w:rsidRPr="00D04785">
        <w:rPr>
          <w:rFonts w:ascii="Calibri" w:hAnsi="Calibri" w:cs="Calibri"/>
        </w:rPr>
        <w:lastRenderedPageBreak/>
        <w:t xml:space="preserve">licht af van de ramingen uit het rapport door verschillende berekeningsmethoden (14,2mld. euro). </w:t>
      </w:r>
    </w:p>
    <w:p w:rsidRPr="00D04785" w:rsidR="00AF53B1" w:rsidP="00AF53B1" w:rsidRDefault="00AF53B1" w14:paraId="04939B45" w14:textId="77777777">
      <w:pPr>
        <w:spacing w:line="240" w:lineRule="exact"/>
        <w:rPr>
          <w:rFonts w:ascii="Calibri" w:hAnsi="Calibri" w:cs="Calibri"/>
        </w:rPr>
      </w:pPr>
      <w:bookmarkStart w:name="_Hlk197674917" w:id="0"/>
    </w:p>
    <w:p w:rsidRPr="00D04785" w:rsidR="00AF53B1" w:rsidP="00AF53B1" w:rsidRDefault="00AF53B1" w14:paraId="2DB84A1C" w14:textId="77777777">
      <w:pPr>
        <w:spacing w:line="240" w:lineRule="exact"/>
        <w:rPr>
          <w:rFonts w:ascii="Calibri" w:hAnsi="Calibri" w:cs="Calibri"/>
        </w:rPr>
      </w:pPr>
      <w:r w:rsidRPr="00D04785">
        <w:rPr>
          <w:rFonts w:ascii="Calibri" w:hAnsi="Calibri" w:cs="Calibri"/>
        </w:rPr>
        <w:t>Tabel 4</w:t>
      </w:r>
    </w:p>
    <w:tbl>
      <w:tblPr>
        <w:tblStyle w:val="Tabelraster1"/>
        <w:tblW w:w="0" w:type="auto"/>
        <w:tblInd w:w="-5" w:type="dxa"/>
        <w:tblLook w:val="04A0" w:firstRow="1" w:lastRow="0" w:firstColumn="1" w:lastColumn="0" w:noHBand="0" w:noVBand="1"/>
      </w:tblPr>
      <w:tblGrid>
        <w:gridCol w:w="2266"/>
        <w:gridCol w:w="901"/>
        <w:gridCol w:w="1098"/>
        <w:gridCol w:w="1099"/>
        <w:gridCol w:w="1086"/>
        <w:gridCol w:w="1086"/>
      </w:tblGrid>
      <w:tr w:rsidRPr="00D04785" w:rsidR="00AF53B1" w:rsidTr="000224EC" w14:paraId="0DDAAE8B" w14:textId="77777777">
        <w:tc>
          <w:tcPr>
            <w:tcW w:w="226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11FFD5D0" w14:textId="77777777">
            <w:pPr>
              <w:rPr>
                <w:rFonts w:ascii="Calibri" w:hAnsi="Calibri" w:cs="Calibri"/>
                <w:b/>
                <w:bCs/>
                <w:sz w:val="22"/>
                <w:szCs w:val="22"/>
              </w:rPr>
            </w:pPr>
            <w:bookmarkStart w:name="_Hlk197674947" w:id="1"/>
            <w:bookmarkEnd w:id="0"/>
            <w:r w:rsidRPr="00D04785">
              <w:rPr>
                <w:rFonts w:ascii="Calibri" w:hAnsi="Calibri" w:cs="Calibri"/>
                <w:b/>
                <w:bCs/>
                <w:sz w:val="22"/>
                <w:szCs w:val="22"/>
              </w:rPr>
              <w:t>Jaartal</w:t>
            </w:r>
          </w:p>
        </w:tc>
        <w:tc>
          <w:tcPr>
            <w:tcW w:w="90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1EBA4489" w14:textId="77777777">
            <w:pPr>
              <w:rPr>
                <w:rFonts w:ascii="Calibri" w:hAnsi="Calibri" w:cs="Calibri"/>
                <w:sz w:val="22"/>
                <w:szCs w:val="22"/>
              </w:rPr>
            </w:pPr>
            <w:r w:rsidRPr="00D04785">
              <w:rPr>
                <w:rFonts w:ascii="Calibri" w:hAnsi="Calibri" w:cs="Calibri"/>
                <w:sz w:val="22"/>
                <w:szCs w:val="22"/>
              </w:rPr>
              <w:t>2018</w:t>
            </w:r>
          </w:p>
        </w:tc>
        <w:tc>
          <w:tcPr>
            <w:tcW w:w="109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AE4098B" w14:textId="77777777">
            <w:pPr>
              <w:rPr>
                <w:rFonts w:ascii="Calibri" w:hAnsi="Calibri" w:cs="Calibri"/>
                <w:sz w:val="22"/>
                <w:szCs w:val="22"/>
              </w:rPr>
            </w:pPr>
            <w:r w:rsidRPr="00D04785">
              <w:rPr>
                <w:rFonts w:ascii="Calibri" w:hAnsi="Calibri" w:cs="Calibri"/>
                <w:sz w:val="22"/>
                <w:szCs w:val="22"/>
              </w:rPr>
              <w:t>2019</w:t>
            </w:r>
          </w:p>
        </w:tc>
        <w:tc>
          <w:tcPr>
            <w:tcW w:w="1099"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94F082A" w14:textId="77777777">
            <w:pPr>
              <w:rPr>
                <w:rFonts w:ascii="Calibri" w:hAnsi="Calibri" w:cs="Calibri"/>
                <w:sz w:val="22"/>
                <w:szCs w:val="22"/>
              </w:rPr>
            </w:pPr>
            <w:r w:rsidRPr="00D04785">
              <w:rPr>
                <w:rFonts w:ascii="Calibri" w:hAnsi="Calibri" w:cs="Calibri"/>
                <w:sz w:val="22"/>
                <w:szCs w:val="22"/>
              </w:rPr>
              <w:t>2020</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7F91809" w14:textId="77777777">
            <w:pPr>
              <w:rPr>
                <w:rFonts w:ascii="Calibri" w:hAnsi="Calibri" w:cs="Calibri"/>
                <w:sz w:val="22"/>
                <w:szCs w:val="22"/>
              </w:rPr>
            </w:pPr>
            <w:r w:rsidRPr="00D04785">
              <w:rPr>
                <w:rFonts w:ascii="Calibri" w:hAnsi="Calibri" w:cs="Calibri"/>
                <w:sz w:val="22"/>
                <w:szCs w:val="22"/>
              </w:rPr>
              <w:t>2021</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A1BF6E0" w14:textId="77777777">
            <w:pPr>
              <w:rPr>
                <w:rFonts w:ascii="Calibri" w:hAnsi="Calibri" w:cs="Calibri"/>
                <w:sz w:val="22"/>
                <w:szCs w:val="22"/>
              </w:rPr>
            </w:pPr>
            <w:r w:rsidRPr="00D04785">
              <w:rPr>
                <w:rFonts w:ascii="Calibri" w:hAnsi="Calibri" w:cs="Calibri"/>
                <w:sz w:val="22"/>
                <w:szCs w:val="22"/>
              </w:rPr>
              <w:t>2022</w:t>
            </w:r>
          </w:p>
        </w:tc>
      </w:tr>
      <w:tr w:rsidRPr="00D04785" w:rsidR="00AF53B1" w:rsidTr="000224EC" w14:paraId="09AE2F4C" w14:textId="77777777">
        <w:tc>
          <w:tcPr>
            <w:tcW w:w="226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1966C2B2" w14:textId="77777777">
            <w:pPr>
              <w:rPr>
                <w:rFonts w:ascii="Calibri" w:hAnsi="Calibri" w:cs="Calibri"/>
                <w:b/>
                <w:bCs/>
                <w:sz w:val="22"/>
                <w:szCs w:val="22"/>
              </w:rPr>
            </w:pPr>
            <w:r w:rsidRPr="00D04785">
              <w:rPr>
                <w:rFonts w:ascii="Calibri" w:hAnsi="Calibri" w:cs="Calibri"/>
                <w:b/>
                <w:bCs/>
                <w:sz w:val="22"/>
                <w:szCs w:val="22"/>
              </w:rPr>
              <w:t>Totaal btw-beleidsgat</w:t>
            </w:r>
          </w:p>
        </w:tc>
        <w:tc>
          <w:tcPr>
            <w:tcW w:w="90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1647E2FC" w14:textId="77777777">
            <w:pPr>
              <w:rPr>
                <w:rFonts w:ascii="Calibri" w:hAnsi="Calibri" w:cs="Calibri"/>
                <w:sz w:val="22"/>
                <w:szCs w:val="22"/>
              </w:rPr>
            </w:pPr>
            <w:r w:rsidRPr="00D04785">
              <w:rPr>
                <w:rFonts w:ascii="Calibri" w:hAnsi="Calibri" w:cs="Calibri"/>
                <w:sz w:val="22"/>
                <w:szCs w:val="22"/>
              </w:rPr>
              <w:t>50,8%</w:t>
            </w:r>
          </w:p>
        </w:tc>
        <w:tc>
          <w:tcPr>
            <w:tcW w:w="109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EDB997D" w14:textId="77777777">
            <w:pPr>
              <w:rPr>
                <w:rFonts w:ascii="Calibri" w:hAnsi="Calibri" w:cs="Calibri"/>
                <w:sz w:val="22"/>
                <w:szCs w:val="22"/>
              </w:rPr>
            </w:pPr>
            <w:r w:rsidRPr="00D04785">
              <w:rPr>
                <w:rFonts w:ascii="Calibri" w:hAnsi="Calibri" w:cs="Calibri"/>
                <w:sz w:val="22"/>
                <w:szCs w:val="22"/>
              </w:rPr>
              <w:t>48,1%</w:t>
            </w:r>
          </w:p>
        </w:tc>
        <w:tc>
          <w:tcPr>
            <w:tcW w:w="1099"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99C363D" w14:textId="77777777">
            <w:pPr>
              <w:rPr>
                <w:rFonts w:ascii="Calibri" w:hAnsi="Calibri" w:cs="Calibri"/>
                <w:sz w:val="22"/>
                <w:szCs w:val="22"/>
              </w:rPr>
            </w:pPr>
            <w:r w:rsidRPr="00D04785">
              <w:rPr>
                <w:rFonts w:ascii="Calibri" w:hAnsi="Calibri" w:cs="Calibri"/>
                <w:sz w:val="22"/>
                <w:szCs w:val="22"/>
              </w:rPr>
              <w:t>48%</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8D9963A" w14:textId="77777777">
            <w:pPr>
              <w:rPr>
                <w:rFonts w:ascii="Calibri" w:hAnsi="Calibri" w:cs="Calibri"/>
                <w:sz w:val="22"/>
                <w:szCs w:val="22"/>
              </w:rPr>
            </w:pPr>
            <w:r w:rsidRPr="00D04785">
              <w:rPr>
                <w:rFonts w:ascii="Calibri" w:hAnsi="Calibri" w:cs="Calibri"/>
                <w:sz w:val="22"/>
                <w:szCs w:val="22"/>
              </w:rPr>
              <w:t>48,2%</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E6527A0" w14:textId="77777777">
            <w:pPr>
              <w:rPr>
                <w:rFonts w:ascii="Calibri" w:hAnsi="Calibri" w:cs="Calibri"/>
                <w:sz w:val="22"/>
                <w:szCs w:val="22"/>
              </w:rPr>
            </w:pPr>
            <w:r w:rsidRPr="00D04785">
              <w:rPr>
                <w:rFonts w:ascii="Calibri" w:hAnsi="Calibri" w:cs="Calibri"/>
                <w:sz w:val="22"/>
                <w:szCs w:val="22"/>
              </w:rPr>
              <w:t>48,9%</w:t>
            </w:r>
          </w:p>
        </w:tc>
      </w:tr>
      <w:tr w:rsidRPr="00D04785" w:rsidR="00AF53B1" w:rsidTr="000224EC" w14:paraId="69B18296" w14:textId="77777777">
        <w:tc>
          <w:tcPr>
            <w:tcW w:w="226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A5927FC" w14:textId="77777777">
            <w:pPr>
              <w:rPr>
                <w:rFonts w:ascii="Calibri" w:hAnsi="Calibri" w:cs="Calibri"/>
                <w:b/>
                <w:bCs/>
                <w:sz w:val="22"/>
                <w:szCs w:val="22"/>
              </w:rPr>
            </w:pPr>
            <w:r w:rsidRPr="00D04785">
              <w:rPr>
                <w:rFonts w:ascii="Calibri" w:hAnsi="Calibri" w:cs="Calibri"/>
                <w:b/>
                <w:bCs/>
                <w:sz w:val="22"/>
                <w:szCs w:val="22"/>
              </w:rPr>
              <w:t>Verplichte vrijstellingen</w:t>
            </w:r>
          </w:p>
        </w:tc>
        <w:tc>
          <w:tcPr>
            <w:tcW w:w="90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95FE349" w14:textId="77777777">
            <w:pPr>
              <w:rPr>
                <w:rFonts w:ascii="Calibri" w:hAnsi="Calibri" w:cs="Calibri"/>
                <w:sz w:val="22"/>
                <w:szCs w:val="22"/>
              </w:rPr>
            </w:pPr>
            <w:r w:rsidRPr="00D04785">
              <w:rPr>
                <w:rFonts w:ascii="Calibri" w:hAnsi="Calibri" w:cs="Calibri"/>
                <w:sz w:val="22"/>
                <w:szCs w:val="22"/>
              </w:rPr>
              <w:t>37,3%</w:t>
            </w:r>
          </w:p>
        </w:tc>
        <w:tc>
          <w:tcPr>
            <w:tcW w:w="109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E9F415B" w14:textId="77777777">
            <w:pPr>
              <w:rPr>
                <w:rFonts w:ascii="Calibri" w:hAnsi="Calibri" w:cs="Calibri"/>
                <w:sz w:val="22"/>
                <w:szCs w:val="22"/>
              </w:rPr>
            </w:pPr>
            <w:r w:rsidRPr="00D04785">
              <w:rPr>
                <w:rFonts w:ascii="Calibri" w:hAnsi="Calibri" w:cs="Calibri"/>
                <w:sz w:val="22"/>
                <w:szCs w:val="22"/>
              </w:rPr>
              <w:t>37,3%</w:t>
            </w:r>
          </w:p>
        </w:tc>
        <w:tc>
          <w:tcPr>
            <w:tcW w:w="1099"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E9B3818" w14:textId="77777777">
            <w:pPr>
              <w:rPr>
                <w:rFonts w:ascii="Calibri" w:hAnsi="Calibri" w:cs="Calibri"/>
                <w:sz w:val="22"/>
                <w:szCs w:val="22"/>
              </w:rPr>
            </w:pPr>
            <w:r w:rsidRPr="00D04785">
              <w:rPr>
                <w:rFonts w:ascii="Calibri" w:hAnsi="Calibri" w:cs="Calibri"/>
                <w:sz w:val="22"/>
                <w:szCs w:val="22"/>
              </w:rPr>
              <w:t>38,6%</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3C3CA42" w14:textId="77777777">
            <w:pPr>
              <w:rPr>
                <w:rFonts w:ascii="Calibri" w:hAnsi="Calibri" w:cs="Calibri"/>
                <w:sz w:val="22"/>
                <w:szCs w:val="22"/>
              </w:rPr>
            </w:pPr>
            <w:r w:rsidRPr="00D04785">
              <w:rPr>
                <w:rFonts w:ascii="Calibri" w:hAnsi="Calibri" w:cs="Calibri"/>
                <w:sz w:val="22"/>
                <w:szCs w:val="22"/>
              </w:rPr>
              <w:t>37,3%</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69332223" w14:textId="77777777">
            <w:pPr>
              <w:rPr>
                <w:rFonts w:ascii="Calibri" w:hAnsi="Calibri" w:cs="Calibri"/>
                <w:sz w:val="22"/>
                <w:szCs w:val="22"/>
              </w:rPr>
            </w:pPr>
            <w:r w:rsidRPr="00D04785">
              <w:rPr>
                <w:rFonts w:ascii="Calibri" w:hAnsi="Calibri" w:cs="Calibri"/>
                <w:sz w:val="22"/>
                <w:szCs w:val="22"/>
              </w:rPr>
              <w:t>34,8%</w:t>
            </w:r>
          </w:p>
        </w:tc>
      </w:tr>
      <w:tr w:rsidRPr="00D04785" w:rsidR="00AF53B1" w:rsidTr="000224EC" w14:paraId="0BF2F2AD" w14:textId="77777777">
        <w:tc>
          <w:tcPr>
            <w:tcW w:w="226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9EBA795" w14:textId="77777777">
            <w:pPr>
              <w:rPr>
                <w:rFonts w:ascii="Calibri" w:hAnsi="Calibri" w:cs="Calibri"/>
                <w:b/>
                <w:bCs/>
                <w:sz w:val="22"/>
                <w:szCs w:val="22"/>
              </w:rPr>
            </w:pPr>
            <w:r w:rsidRPr="00D04785">
              <w:rPr>
                <w:rFonts w:ascii="Calibri" w:hAnsi="Calibri" w:cs="Calibri"/>
                <w:b/>
                <w:bCs/>
                <w:sz w:val="22"/>
                <w:szCs w:val="22"/>
              </w:rPr>
              <w:t>Optionele vrijstellingen</w:t>
            </w:r>
          </w:p>
        </w:tc>
        <w:tc>
          <w:tcPr>
            <w:tcW w:w="90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088D8F8" w14:textId="77777777">
            <w:pPr>
              <w:rPr>
                <w:rFonts w:ascii="Calibri" w:hAnsi="Calibri" w:cs="Calibri"/>
                <w:sz w:val="22"/>
                <w:szCs w:val="22"/>
              </w:rPr>
            </w:pPr>
            <w:r w:rsidRPr="00D04785">
              <w:rPr>
                <w:rFonts w:ascii="Calibri" w:hAnsi="Calibri" w:cs="Calibri"/>
                <w:sz w:val="22"/>
                <w:szCs w:val="22"/>
              </w:rPr>
              <w:t>1,8%</w:t>
            </w:r>
          </w:p>
        </w:tc>
        <w:tc>
          <w:tcPr>
            <w:tcW w:w="109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5CF873C4" w14:textId="77777777">
            <w:pPr>
              <w:rPr>
                <w:rFonts w:ascii="Calibri" w:hAnsi="Calibri" w:cs="Calibri"/>
                <w:sz w:val="22"/>
                <w:szCs w:val="22"/>
              </w:rPr>
            </w:pPr>
            <w:r w:rsidRPr="00D04785">
              <w:rPr>
                <w:rFonts w:ascii="Calibri" w:hAnsi="Calibri" w:cs="Calibri"/>
                <w:sz w:val="22"/>
                <w:szCs w:val="22"/>
              </w:rPr>
              <w:t>1,3%</w:t>
            </w:r>
          </w:p>
        </w:tc>
        <w:tc>
          <w:tcPr>
            <w:tcW w:w="1099"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27DFF98" w14:textId="77777777">
            <w:pPr>
              <w:rPr>
                <w:rFonts w:ascii="Calibri" w:hAnsi="Calibri" w:cs="Calibri"/>
                <w:sz w:val="22"/>
                <w:szCs w:val="22"/>
              </w:rPr>
            </w:pPr>
            <w:r w:rsidRPr="00D04785">
              <w:rPr>
                <w:rFonts w:ascii="Calibri" w:hAnsi="Calibri" w:cs="Calibri"/>
                <w:sz w:val="22"/>
                <w:szCs w:val="22"/>
              </w:rPr>
              <w:t>0,9%</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6C33871" w14:textId="77777777">
            <w:pPr>
              <w:rPr>
                <w:rFonts w:ascii="Calibri" w:hAnsi="Calibri" w:cs="Calibri"/>
                <w:sz w:val="22"/>
                <w:szCs w:val="22"/>
              </w:rPr>
            </w:pPr>
            <w:r w:rsidRPr="00D04785">
              <w:rPr>
                <w:rFonts w:ascii="Calibri" w:hAnsi="Calibri" w:cs="Calibri"/>
                <w:sz w:val="22"/>
                <w:szCs w:val="22"/>
              </w:rPr>
              <w:t>2,4%</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A59392B" w14:textId="77777777">
            <w:pPr>
              <w:rPr>
                <w:rFonts w:ascii="Calibri" w:hAnsi="Calibri" w:cs="Calibri"/>
                <w:sz w:val="22"/>
                <w:szCs w:val="22"/>
              </w:rPr>
            </w:pPr>
            <w:r w:rsidRPr="00D04785">
              <w:rPr>
                <w:rFonts w:ascii="Calibri" w:hAnsi="Calibri" w:cs="Calibri"/>
                <w:sz w:val="22"/>
                <w:szCs w:val="22"/>
              </w:rPr>
              <w:t>4,3%</w:t>
            </w:r>
          </w:p>
        </w:tc>
      </w:tr>
      <w:tr w:rsidRPr="00D04785" w:rsidR="00AF53B1" w:rsidTr="000224EC" w14:paraId="53EE6066" w14:textId="77777777">
        <w:tc>
          <w:tcPr>
            <w:tcW w:w="226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02549857" w14:textId="77777777">
            <w:pPr>
              <w:rPr>
                <w:rFonts w:ascii="Calibri" w:hAnsi="Calibri" w:cs="Calibri"/>
                <w:b/>
                <w:bCs/>
                <w:sz w:val="22"/>
                <w:szCs w:val="22"/>
              </w:rPr>
            </w:pPr>
            <w:r w:rsidRPr="00D04785">
              <w:rPr>
                <w:rFonts w:ascii="Calibri" w:hAnsi="Calibri" w:cs="Calibri"/>
                <w:b/>
                <w:bCs/>
                <w:sz w:val="22"/>
                <w:szCs w:val="22"/>
              </w:rPr>
              <w:t>Verlaagde tarieven</w:t>
            </w:r>
          </w:p>
        </w:tc>
        <w:tc>
          <w:tcPr>
            <w:tcW w:w="901"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0264EBA5" w14:textId="77777777">
            <w:pPr>
              <w:rPr>
                <w:rFonts w:ascii="Calibri" w:hAnsi="Calibri" w:cs="Calibri"/>
                <w:sz w:val="22"/>
                <w:szCs w:val="22"/>
              </w:rPr>
            </w:pPr>
            <w:r w:rsidRPr="00D04785">
              <w:rPr>
                <w:rFonts w:ascii="Calibri" w:hAnsi="Calibri" w:cs="Calibri"/>
                <w:sz w:val="22"/>
                <w:szCs w:val="22"/>
              </w:rPr>
              <w:t>11,7%</w:t>
            </w:r>
          </w:p>
        </w:tc>
        <w:tc>
          <w:tcPr>
            <w:tcW w:w="1098"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74B0C898" w14:textId="77777777">
            <w:pPr>
              <w:rPr>
                <w:rFonts w:ascii="Calibri" w:hAnsi="Calibri" w:cs="Calibri"/>
                <w:sz w:val="22"/>
                <w:szCs w:val="22"/>
              </w:rPr>
            </w:pPr>
            <w:r w:rsidRPr="00D04785">
              <w:rPr>
                <w:rFonts w:ascii="Calibri" w:hAnsi="Calibri" w:cs="Calibri"/>
                <w:sz w:val="22"/>
                <w:szCs w:val="22"/>
              </w:rPr>
              <w:t>9,5%</w:t>
            </w:r>
          </w:p>
        </w:tc>
        <w:tc>
          <w:tcPr>
            <w:tcW w:w="1099"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3D0C7423" w14:textId="77777777">
            <w:pPr>
              <w:rPr>
                <w:rFonts w:ascii="Calibri" w:hAnsi="Calibri" w:cs="Calibri"/>
                <w:sz w:val="22"/>
                <w:szCs w:val="22"/>
              </w:rPr>
            </w:pPr>
            <w:r w:rsidRPr="00D04785">
              <w:rPr>
                <w:rFonts w:ascii="Calibri" w:hAnsi="Calibri" w:cs="Calibri"/>
                <w:sz w:val="22"/>
                <w:szCs w:val="22"/>
              </w:rPr>
              <w:t>8,5%</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21D03DE8" w14:textId="77777777">
            <w:pPr>
              <w:rPr>
                <w:rFonts w:ascii="Calibri" w:hAnsi="Calibri" w:cs="Calibri"/>
                <w:sz w:val="22"/>
                <w:szCs w:val="22"/>
              </w:rPr>
            </w:pPr>
            <w:r w:rsidRPr="00D04785">
              <w:rPr>
                <w:rFonts w:ascii="Calibri" w:hAnsi="Calibri" w:cs="Calibri"/>
                <w:sz w:val="22"/>
                <w:szCs w:val="22"/>
              </w:rPr>
              <w:t>8,5%</w:t>
            </w:r>
          </w:p>
        </w:tc>
        <w:tc>
          <w:tcPr>
            <w:tcW w:w="1086" w:type="dxa"/>
            <w:tcBorders>
              <w:top w:val="single" w:color="000000" w:sz="4" w:space="0"/>
              <w:left w:val="single" w:color="000000" w:sz="4" w:space="0"/>
              <w:bottom w:val="single" w:color="000000" w:sz="4" w:space="0"/>
              <w:right w:val="single" w:color="000000" w:sz="4" w:space="0"/>
            </w:tcBorders>
            <w:hideMark/>
          </w:tcPr>
          <w:p w:rsidRPr="00D04785" w:rsidR="00AF53B1" w:rsidP="000224EC" w:rsidRDefault="00AF53B1" w14:paraId="4CE3A2EE" w14:textId="77777777">
            <w:pPr>
              <w:rPr>
                <w:rFonts w:ascii="Calibri" w:hAnsi="Calibri" w:cs="Calibri"/>
                <w:sz w:val="22"/>
                <w:szCs w:val="22"/>
              </w:rPr>
            </w:pPr>
            <w:r w:rsidRPr="00D04785">
              <w:rPr>
                <w:rFonts w:ascii="Calibri" w:hAnsi="Calibri" w:cs="Calibri"/>
                <w:sz w:val="22"/>
                <w:szCs w:val="22"/>
              </w:rPr>
              <w:t>9,8%</w:t>
            </w:r>
          </w:p>
        </w:tc>
      </w:tr>
      <w:bookmarkEnd w:id="1"/>
    </w:tbl>
    <w:p w:rsidRPr="00D04785" w:rsidR="00AF53B1" w:rsidP="00AF53B1" w:rsidRDefault="00AF53B1" w14:paraId="7AF4FE05" w14:textId="77777777">
      <w:pPr>
        <w:spacing w:line="240" w:lineRule="exact"/>
        <w:rPr>
          <w:rFonts w:ascii="Calibri" w:hAnsi="Calibri" w:cs="Calibri"/>
        </w:rPr>
      </w:pPr>
    </w:p>
    <w:p w:rsidRPr="00D04785" w:rsidR="00AF53B1" w:rsidP="00AF53B1" w:rsidRDefault="00AF53B1" w14:paraId="23C20545" w14:textId="77777777">
      <w:pPr>
        <w:spacing w:line="240" w:lineRule="exact"/>
        <w:rPr>
          <w:rFonts w:ascii="Calibri" w:hAnsi="Calibri" w:cs="Calibri"/>
        </w:rPr>
      </w:pPr>
      <w:r w:rsidRPr="00D04785">
        <w:rPr>
          <w:rFonts w:ascii="Calibri" w:hAnsi="Calibri" w:cs="Calibri"/>
        </w:rPr>
        <w:t>Het Nederlandse btw-beleidsgat is licht toegenomen in de afgelopen jaren terwijl er geen specifiek beleid is getroffen. Dit kan komen door macro-economische ontwikkelingen/veranderende voorkeuren van huishoudens. De vrijgestelde publieke en financiële sector zijn relatief groot in Nederland. Dat verklaart mede het relatief grote btw-beleidsgat ten opzichte van het Europese gemiddelde. Ook maakt Nederland ruim gebruik van de mogelijkheid om een verlaagd tarief toe te passen.</w:t>
      </w:r>
    </w:p>
    <w:p w:rsidRPr="00D04785" w:rsidR="00AF53B1" w:rsidP="00AF53B1" w:rsidRDefault="00AF53B1" w14:paraId="655100DB" w14:textId="77777777">
      <w:pPr>
        <w:spacing w:line="240" w:lineRule="exact"/>
        <w:rPr>
          <w:rFonts w:ascii="Calibri" w:hAnsi="Calibri" w:cs="Calibri"/>
        </w:rPr>
      </w:pPr>
      <w:bookmarkStart w:name="_Hlk197675076" w:id="2"/>
    </w:p>
    <w:p w:rsidRPr="00D04785" w:rsidR="00AF53B1" w:rsidP="00AF53B1" w:rsidRDefault="00AF53B1" w14:paraId="6F9AB4C3" w14:textId="77777777">
      <w:pPr>
        <w:spacing w:line="240" w:lineRule="exact"/>
        <w:rPr>
          <w:rFonts w:ascii="Calibri" w:hAnsi="Calibri" w:cs="Calibri"/>
        </w:rPr>
      </w:pPr>
      <w:r w:rsidRPr="00D04785">
        <w:rPr>
          <w:rFonts w:ascii="Calibri" w:hAnsi="Calibri" w:cs="Calibri"/>
        </w:rPr>
        <w:t>In 2023 is de evaluatie van het verlaagde btw-tarief gepubliceerd. Deze evaluatie vloeide voort uit de Regeling Periodiek Evaluatieonderzoek (RPE). De belangrijkste uitkomst van de evaluatie is dat het verlaagde btw-tarief deels doeltreffend, maar in het algemeen géén doelmatig instrument is om de beoogde doelen te bereiken. Naar aanleiding van deze evaluatie is onder regie van het ministerie van Financiën, in samenwerking met de andere betrokken departementen een inventarisatie uitgevoerd. De resultaten zijn opgenomen in een ambtelijke fichebundel.</w:t>
      </w:r>
      <w:r w:rsidRPr="00D04785">
        <w:rPr>
          <w:rFonts w:ascii="Calibri" w:hAnsi="Calibri" w:cs="Calibri"/>
          <w:vertAlign w:val="superscript"/>
        </w:rPr>
        <w:footnoteReference w:id="9"/>
      </w:r>
      <w:r w:rsidRPr="00D04785">
        <w:rPr>
          <w:rFonts w:ascii="Calibri" w:hAnsi="Calibri" w:cs="Calibri"/>
        </w:rPr>
        <w:t xml:space="preserve"> </w:t>
      </w:r>
      <w:bookmarkStart w:name="_Hlk197675121" w:id="3"/>
      <w:bookmarkEnd w:id="2"/>
      <w:r w:rsidRPr="00D04785">
        <w:rPr>
          <w:rFonts w:ascii="Calibri" w:hAnsi="Calibri" w:cs="Calibri"/>
        </w:rPr>
        <w:t xml:space="preserve">De resultaten van die inventarisatie zijn betrokken en verder uitgewerkt in het traject dat leidt tot het, binnenkort te verschijnen, ambtelijk rapport - Aanpak Fiscale Regelingen. Daarin worden opties geschetst om op minder goederen en diensten het verlaagde btw-tarief toe te passen. Hiermee wil ik opvolging geven aan mijn eerdere uitspraken in de Kamer dat ik streef naar een eenvoudiger en moderner btw-stelsel, mogelijk met een uniform btw-tarief. </w:t>
      </w:r>
      <w:bookmarkEnd w:id="3"/>
    </w:p>
    <w:p w:rsidRPr="00D04785" w:rsidR="00AF53B1" w:rsidP="00AF53B1" w:rsidRDefault="00AF53B1" w14:paraId="1D158990" w14:textId="77777777">
      <w:pPr>
        <w:spacing w:line="240" w:lineRule="exact"/>
        <w:rPr>
          <w:rFonts w:ascii="Calibri" w:hAnsi="Calibri" w:cs="Calibri"/>
        </w:rPr>
      </w:pPr>
      <w:bookmarkStart w:name="_Hlk197675135" w:id="4"/>
    </w:p>
    <w:p w:rsidR="00AF53B1" w:rsidP="00AF53B1" w:rsidRDefault="00AF53B1" w14:paraId="5E4B225E" w14:textId="77777777">
      <w:pPr>
        <w:spacing w:line="240" w:lineRule="exact"/>
        <w:rPr>
          <w:rFonts w:ascii="Calibri" w:hAnsi="Calibri" w:cs="Calibri"/>
        </w:rPr>
      </w:pPr>
      <w:r w:rsidRPr="00D04785">
        <w:rPr>
          <w:rFonts w:ascii="Calibri" w:hAnsi="Calibri" w:cs="Calibri"/>
        </w:rPr>
        <w:t>Het aandeel door optionele vrijstellingen is sterk toegenomen, maar deze toename kan aan de hand van het rapport niet worden verklaard. De beleidsruimte bij btw-vrijstellingen is beperkt en in de genoemde periode is geen sprake van wetsaanpassingen. Mogelijk spelen methodologische keuzes een rol. Op dit moment worden een aantal optionele vrijstellingen geëvalueerd. U wordt binnenkort geïnformeerd over de uitkomsten van deze evaluatie. Het gaat om de volgende vrijstellingen:</w:t>
      </w:r>
    </w:p>
    <w:p w:rsidRPr="00D04785" w:rsidR="00D04785" w:rsidP="00AF53B1" w:rsidRDefault="00D04785" w14:paraId="789C6516" w14:textId="77777777">
      <w:pPr>
        <w:spacing w:line="240" w:lineRule="exact"/>
        <w:rPr>
          <w:rFonts w:ascii="Calibri" w:hAnsi="Calibri" w:cs="Calibri"/>
        </w:rPr>
      </w:pPr>
    </w:p>
    <w:p w:rsidRPr="00D04785" w:rsidR="00AF53B1" w:rsidP="00AF53B1" w:rsidRDefault="00AF53B1" w14:paraId="03724DD0" w14:textId="77777777">
      <w:pPr>
        <w:numPr>
          <w:ilvl w:val="1"/>
          <w:numId w:val="2"/>
        </w:numPr>
        <w:autoSpaceDN w:val="0"/>
        <w:spacing w:after="0" w:line="240" w:lineRule="exact"/>
        <w:contextualSpacing/>
        <w:rPr>
          <w:rFonts w:ascii="Calibri" w:hAnsi="Calibri" w:eastAsia="Calibri" w:cs="Calibri"/>
          <w:lang w:val="en-US"/>
        </w:rPr>
      </w:pPr>
      <w:r w:rsidRPr="00D04785">
        <w:rPr>
          <w:rFonts w:ascii="Calibri" w:hAnsi="Calibri" w:eastAsia="Calibri" w:cs="Calibri"/>
          <w:lang w:val="en-US"/>
        </w:rPr>
        <w:lastRenderedPageBreak/>
        <w:t>Diensten van lijkbezorgers</w:t>
      </w:r>
    </w:p>
    <w:p w:rsidRPr="00D04785" w:rsidR="00AF53B1" w:rsidP="00AF53B1" w:rsidRDefault="00AF53B1" w14:paraId="531FD9FC" w14:textId="77777777">
      <w:pPr>
        <w:numPr>
          <w:ilvl w:val="1"/>
          <w:numId w:val="2"/>
        </w:numPr>
        <w:autoSpaceDN w:val="0"/>
        <w:spacing w:after="0" w:line="240" w:lineRule="exact"/>
        <w:contextualSpacing/>
        <w:rPr>
          <w:rFonts w:ascii="Calibri" w:hAnsi="Calibri" w:eastAsia="Calibri" w:cs="Calibri"/>
          <w:lang w:val="en-US"/>
        </w:rPr>
      </w:pPr>
      <w:r w:rsidRPr="00D04785">
        <w:rPr>
          <w:rFonts w:ascii="Calibri" w:hAnsi="Calibri" w:eastAsia="Calibri" w:cs="Calibri"/>
          <w:lang w:val="en-US"/>
        </w:rPr>
        <w:t>Schrijvers, journalisten en componisten</w:t>
      </w:r>
    </w:p>
    <w:p w:rsidRPr="00D04785" w:rsidR="00AF53B1" w:rsidP="00AF53B1" w:rsidRDefault="00AF53B1" w14:paraId="07FA85F2" w14:textId="77777777">
      <w:pPr>
        <w:numPr>
          <w:ilvl w:val="1"/>
          <w:numId w:val="2"/>
        </w:numPr>
        <w:autoSpaceDN w:val="0"/>
        <w:spacing w:after="0" w:line="240" w:lineRule="exact"/>
        <w:contextualSpacing/>
        <w:rPr>
          <w:rFonts w:ascii="Calibri" w:hAnsi="Calibri" w:eastAsia="Calibri" w:cs="Calibri"/>
          <w:lang w:val="en-US"/>
        </w:rPr>
      </w:pPr>
      <w:r w:rsidRPr="00D04785">
        <w:rPr>
          <w:rFonts w:ascii="Calibri" w:hAnsi="Calibri" w:eastAsia="Calibri" w:cs="Calibri"/>
          <w:lang w:val="en-US"/>
        </w:rPr>
        <w:t>Journalistieke cartoonisten</w:t>
      </w:r>
    </w:p>
    <w:p w:rsidRPr="00D04785" w:rsidR="00AF53B1" w:rsidP="00AF53B1" w:rsidRDefault="00AF53B1" w14:paraId="30F14FE2" w14:textId="77777777">
      <w:pPr>
        <w:numPr>
          <w:ilvl w:val="1"/>
          <w:numId w:val="2"/>
        </w:numPr>
        <w:autoSpaceDN w:val="0"/>
        <w:spacing w:after="0" w:line="240" w:lineRule="exact"/>
        <w:contextualSpacing/>
        <w:rPr>
          <w:rFonts w:ascii="Calibri" w:hAnsi="Calibri" w:eastAsia="Calibri" w:cs="Calibri"/>
          <w:lang w:val="en-US"/>
        </w:rPr>
      </w:pPr>
      <w:r w:rsidRPr="00D04785">
        <w:rPr>
          <w:rFonts w:ascii="Calibri" w:hAnsi="Calibri" w:eastAsia="Calibri" w:cs="Calibri"/>
          <w:lang w:val="en-US"/>
        </w:rPr>
        <w:t>Voordrachten en dergelijke</w:t>
      </w:r>
      <w:bookmarkEnd w:id="4"/>
    </w:p>
    <w:p w:rsidRPr="00D04785" w:rsidR="00AF53B1" w:rsidP="00AF53B1" w:rsidRDefault="00AF53B1" w14:paraId="34926912" w14:textId="77777777">
      <w:pPr>
        <w:rPr>
          <w:rFonts w:ascii="Calibri" w:hAnsi="Calibri" w:cs="Calibri"/>
        </w:rPr>
      </w:pPr>
    </w:p>
    <w:p w:rsidRPr="00D04785" w:rsidR="00D04785" w:rsidP="00D04785" w:rsidRDefault="00D04785" w14:paraId="515741CA" w14:textId="2831C45F">
      <w:pPr>
        <w:pStyle w:val="Geenafstand"/>
        <w:rPr>
          <w:rFonts w:ascii="Calibri" w:hAnsi="Calibri" w:cs="Calibri"/>
        </w:rPr>
      </w:pPr>
      <w:r w:rsidRPr="00D04785">
        <w:rPr>
          <w:rFonts w:ascii="Calibri" w:hAnsi="Calibri" w:cs="Calibri"/>
        </w:rPr>
        <w:t>De staatssecretaris van Financiën,</w:t>
      </w:r>
    </w:p>
    <w:p w:rsidRPr="00D04785" w:rsidR="00FE0FA3" w:rsidP="00D04785" w:rsidRDefault="00AF53B1" w14:paraId="555CF9AF" w14:textId="18473D3E">
      <w:pPr>
        <w:pStyle w:val="Geenafstand"/>
        <w:rPr>
          <w:rFonts w:ascii="Calibri" w:hAnsi="Calibri" w:cs="Calibri"/>
        </w:rPr>
      </w:pPr>
      <w:r w:rsidRPr="00D04785">
        <w:rPr>
          <w:rFonts w:ascii="Calibri" w:hAnsi="Calibri" w:cs="Calibri"/>
        </w:rPr>
        <w:t>T. van Oostenbruggen</w:t>
      </w:r>
      <w:r w:rsidRPr="00D04785">
        <w:rPr>
          <w:rFonts w:ascii="Calibri" w:hAnsi="Calibri" w:cs="Calibri"/>
        </w:rPr>
        <w:br/>
      </w:r>
    </w:p>
    <w:sectPr w:rsidRPr="00D04785" w:rsidR="00FE0FA3" w:rsidSect="00A53765">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76A0" w14:textId="77777777" w:rsidR="00AF53B1" w:rsidRDefault="00AF53B1" w:rsidP="00AF53B1">
      <w:pPr>
        <w:spacing w:after="0" w:line="240" w:lineRule="auto"/>
      </w:pPr>
      <w:r>
        <w:separator/>
      </w:r>
    </w:p>
  </w:endnote>
  <w:endnote w:type="continuationSeparator" w:id="0">
    <w:p w14:paraId="4854F3BB" w14:textId="77777777" w:rsidR="00AF53B1" w:rsidRDefault="00AF53B1" w:rsidP="00AF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1C61" w14:textId="77777777" w:rsidR="00AF53B1" w:rsidRPr="00AF53B1" w:rsidRDefault="00AF53B1" w:rsidP="00AF53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6063" w14:textId="77777777" w:rsidR="00AF53B1" w:rsidRPr="00AF53B1" w:rsidRDefault="00AF53B1" w:rsidP="00AF53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B827" w14:textId="77777777" w:rsidR="00AF53B1" w:rsidRPr="00AF53B1" w:rsidRDefault="00AF53B1" w:rsidP="00AF53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75F3" w14:textId="77777777" w:rsidR="00AF53B1" w:rsidRDefault="00AF53B1" w:rsidP="00AF53B1">
      <w:pPr>
        <w:spacing w:after="0" w:line="240" w:lineRule="auto"/>
      </w:pPr>
      <w:r>
        <w:separator/>
      </w:r>
    </w:p>
  </w:footnote>
  <w:footnote w:type="continuationSeparator" w:id="0">
    <w:p w14:paraId="4EB01673" w14:textId="77777777" w:rsidR="00AF53B1" w:rsidRDefault="00AF53B1" w:rsidP="00AF53B1">
      <w:pPr>
        <w:spacing w:after="0" w:line="240" w:lineRule="auto"/>
      </w:pPr>
      <w:r>
        <w:continuationSeparator/>
      </w:r>
    </w:p>
  </w:footnote>
  <w:footnote w:id="1">
    <w:p w14:paraId="105FA6FB" w14:textId="77777777" w:rsidR="00AF53B1" w:rsidRPr="00D04785" w:rsidRDefault="00AF53B1" w:rsidP="00AF53B1">
      <w:pPr>
        <w:pStyle w:val="Voetnoottekst"/>
        <w:rPr>
          <w:rFonts w:ascii="Calibri" w:hAnsi="Calibri" w:cs="Calibri"/>
          <w:lang w:val="en-US"/>
        </w:rPr>
      </w:pPr>
      <w:r w:rsidRPr="00D04785">
        <w:rPr>
          <w:rStyle w:val="Voetnootmarkering"/>
          <w:rFonts w:ascii="Calibri" w:hAnsi="Calibri" w:cs="Calibri"/>
        </w:rPr>
        <w:footnoteRef/>
      </w:r>
      <w:r w:rsidRPr="00D04785">
        <w:rPr>
          <w:rFonts w:ascii="Calibri" w:hAnsi="Calibri" w:cs="Calibri"/>
          <w:lang w:val="en-US"/>
        </w:rPr>
        <w:t xml:space="preserve"> </w:t>
      </w:r>
      <w:hyperlink r:id="rId1" w:history="1">
        <w:r w:rsidRPr="00D04785">
          <w:rPr>
            <w:rStyle w:val="Hyperlink"/>
            <w:rFonts w:ascii="Calibri" w:hAnsi="Calibri" w:cs="Calibri"/>
            <w:lang w:val="en-US"/>
          </w:rPr>
          <w:t>VAT gap in the EU - Publications Office of the EU</w:t>
        </w:r>
      </w:hyperlink>
      <w:r w:rsidRPr="00D04785">
        <w:rPr>
          <w:rFonts w:ascii="Calibri" w:hAnsi="Calibri" w:cs="Calibri"/>
          <w:lang w:val="en-US"/>
        </w:rPr>
        <w:t xml:space="preserve">. </w:t>
      </w:r>
    </w:p>
  </w:footnote>
  <w:footnote w:id="2">
    <w:p w14:paraId="4095B0CB" w14:textId="77777777" w:rsidR="00AF53B1" w:rsidRPr="00D04785" w:rsidRDefault="00AF53B1" w:rsidP="00AF53B1">
      <w:pPr>
        <w:pStyle w:val="Voetnoottekst"/>
        <w:rPr>
          <w:rFonts w:ascii="Calibri" w:hAnsi="Calibri" w:cs="Calibri"/>
        </w:rPr>
      </w:pPr>
      <w:r w:rsidRPr="00D04785">
        <w:rPr>
          <w:rStyle w:val="Voetnootmarkering"/>
          <w:rFonts w:ascii="Calibri" w:hAnsi="Calibri" w:cs="Calibri"/>
        </w:rPr>
        <w:footnoteRef/>
      </w:r>
      <w:r w:rsidRPr="00D04785">
        <w:rPr>
          <w:rFonts w:ascii="Calibri" w:hAnsi="Calibri" w:cs="Calibri"/>
        </w:rPr>
        <w:t xml:space="preserve"> Kamerstukken II 2023-2024, 32140, nr. 181.</w:t>
      </w:r>
    </w:p>
  </w:footnote>
  <w:footnote w:id="3">
    <w:p w14:paraId="49AC2BC5" w14:textId="77777777" w:rsidR="00AF53B1" w:rsidRPr="00D04785" w:rsidRDefault="00AF53B1" w:rsidP="00AF53B1">
      <w:pPr>
        <w:pStyle w:val="Voetnoottekst"/>
        <w:rPr>
          <w:rFonts w:ascii="Calibri" w:hAnsi="Calibri" w:cs="Calibri"/>
        </w:rPr>
      </w:pPr>
      <w:r w:rsidRPr="00D04785">
        <w:rPr>
          <w:rStyle w:val="Voetnootmarkering"/>
          <w:rFonts w:ascii="Calibri" w:hAnsi="Calibri" w:cs="Calibri"/>
        </w:rPr>
        <w:footnoteRef/>
      </w:r>
      <w:r w:rsidRPr="00D04785">
        <w:rPr>
          <w:rFonts w:ascii="Calibri" w:hAnsi="Calibri" w:cs="Calibri"/>
        </w:rPr>
        <w:t xml:space="preserve"> Hierin wordt het nultarief bij uitvoer niet meegerekend.</w:t>
      </w:r>
    </w:p>
  </w:footnote>
  <w:footnote w:id="4">
    <w:p w14:paraId="6D17FE1A" w14:textId="77777777" w:rsidR="00AF53B1" w:rsidRPr="00D04785" w:rsidRDefault="00AF53B1" w:rsidP="00AF53B1">
      <w:pPr>
        <w:pStyle w:val="Voetnoottekst"/>
        <w:rPr>
          <w:rFonts w:ascii="Calibri" w:hAnsi="Calibri" w:cs="Calibri"/>
          <w:lang w:val="fr-FR"/>
        </w:rPr>
      </w:pPr>
      <w:r w:rsidRPr="00D04785">
        <w:rPr>
          <w:rStyle w:val="Voetnootmarkering"/>
          <w:rFonts w:ascii="Calibri" w:hAnsi="Calibri" w:cs="Calibri"/>
        </w:rPr>
        <w:footnoteRef/>
      </w:r>
      <w:r w:rsidRPr="00D04785">
        <w:rPr>
          <w:rFonts w:ascii="Calibri" w:hAnsi="Calibri" w:cs="Calibri"/>
          <w:lang w:val="fr-FR"/>
        </w:rPr>
        <w:t xml:space="preserve"> </w:t>
      </w:r>
      <w:hyperlink r:id="rId2" w:history="1">
        <w:r w:rsidRPr="00D04785">
          <w:rPr>
            <w:rStyle w:val="Hyperlink"/>
            <w:rFonts w:ascii="Calibri" w:hAnsi="Calibri" w:cs="Calibri"/>
            <w:lang w:val="fr-FR"/>
          </w:rPr>
          <w:t>Q&amp;A: VAT Gap 2022 report (europa.eu)</w:t>
        </w:r>
      </w:hyperlink>
      <w:r w:rsidRPr="00D04785">
        <w:rPr>
          <w:rFonts w:ascii="Calibri" w:hAnsi="Calibri" w:cs="Calibri"/>
          <w:lang w:val="fr-FR"/>
        </w:rPr>
        <w:t>.</w:t>
      </w:r>
    </w:p>
  </w:footnote>
  <w:footnote w:id="5">
    <w:p w14:paraId="4C7C2DF8" w14:textId="77777777" w:rsidR="00AF53B1" w:rsidRPr="00D04785" w:rsidRDefault="00AF53B1" w:rsidP="00AF53B1">
      <w:pPr>
        <w:pStyle w:val="Voetnoottekst"/>
        <w:rPr>
          <w:rFonts w:ascii="Calibri" w:hAnsi="Calibri" w:cs="Calibri"/>
        </w:rPr>
      </w:pPr>
      <w:r w:rsidRPr="00D04785">
        <w:rPr>
          <w:rStyle w:val="Voetnootmarkering"/>
          <w:rFonts w:ascii="Calibri" w:hAnsi="Calibri" w:cs="Calibri"/>
        </w:rPr>
        <w:footnoteRef/>
      </w:r>
      <w:r w:rsidRPr="00D04785">
        <w:rPr>
          <w:rFonts w:ascii="Calibri" w:hAnsi="Calibri" w:cs="Calibri"/>
        </w:rPr>
        <w:t xml:space="preserve"> Verordening (EU) nr. 904/2010 van de Raad van 7 oktober 2010 betreffende de administratieve samenwerking en de bestrijding van fraude op het gebied van de belasting over de toegevoegde waarde (herschikking). </w:t>
      </w:r>
      <w:hyperlink r:id="rId3" w:history="1">
        <w:r w:rsidRPr="00D04785">
          <w:rPr>
            <w:rStyle w:val="Hyperlink"/>
            <w:rFonts w:ascii="Calibri" w:hAnsi="Calibri" w:cs="Calibri"/>
          </w:rPr>
          <w:t>EUR-Lex - 32010R0904 - EN - EUR-Lex (europa.eu)</w:t>
        </w:r>
      </w:hyperlink>
      <w:r w:rsidRPr="00D04785">
        <w:rPr>
          <w:rFonts w:ascii="Calibri" w:hAnsi="Calibri" w:cs="Calibri"/>
        </w:rPr>
        <w:t>.</w:t>
      </w:r>
    </w:p>
  </w:footnote>
  <w:footnote w:id="6">
    <w:p w14:paraId="52FC6D1E" w14:textId="77777777" w:rsidR="00AF53B1" w:rsidRPr="00D04785" w:rsidRDefault="00AF53B1" w:rsidP="00AF53B1">
      <w:pPr>
        <w:pStyle w:val="Voetnoottekst"/>
        <w:rPr>
          <w:rFonts w:ascii="Calibri" w:hAnsi="Calibri" w:cs="Calibri"/>
        </w:rPr>
      </w:pPr>
      <w:r w:rsidRPr="00D04785">
        <w:rPr>
          <w:rStyle w:val="Voetnootmarkering"/>
          <w:rFonts w:ascii="Calibri" w:hAnsi="Calibri" w:cs="Calibri"/>
        </w:rPr>
        <w:footnoteRef/>
      </w:r>
      <w:r w:rsidRPr="00D04785">
        <w:rPr>
          <w:rFonts w:ascii="Calibri" w:hAnsi="Calibri" w:cs="Calibri"/>
        </w:rPr>
        <w:t xml:space="preserve"> Gegevens over intracommunautaire transacties worden uitgewisseld in het VAT Information Exchange System (VIES).</w:t>
      </w:r>
    </w:p>
  </w:footnote>
  <w:footnote w:id="7">
    <w:p w14:paraId="38F2F290" w14:textId="0E1F85AA" w:rsidR="00AF53B1" w:rsidRPr="00D04785" w:rsidRDefault="00AF53B1" w:rsidP="00AF53B1">
      <w:pPr>
        <w:pStyle w:val="Voetnoottekst"/>
        <w:rPr>
          <w:rFonts w:ascii="Calibri" w:hAnsi="Calibri" w:cs="Calibri"/>
        </w:rPr>
      </w:pPr>
      <w:r w:rsidRPr="00D04785">
        <w:rPr>
          <w:rStyle w:val="Voetnootmarkering"/>
          <w:rFonts w:ascii="Calibri" w:hAnsi="Calibri" w:cs="Calibri"/>
        </w:rPr>
        <w:footnoteRef/>
      </w:r>
      <w:r w:rsidRPr="00D04785">
        <w:rPr>
          <w:rFonts w:ascii="Calibri" w:hAnsi="Calibri" w:cs="Calibri"/>
        </w:rPr>
        <w:t xml:space="preserve"> Kamerstukken II 2022-2023, 22112, nr. 3599.</w:t>
      </w:r>
    </w:p>
  </w:footnote>
  <w:footnote w:id="8">
    <w:p w14:paraId="5B504FE8" w14:textId="77777777" w:rsidR="00AF53B1" w:rsidRPr="00D04785" w:rsidRDefault="00AF53B1" w:rsidP="00AF53B1">
      <w:pPr>
        <w:pStyle w:val="Voetnoottekst"/>
        <w:rPr>
          <w:rFonts w:ascii="Calibri" w:hAnsi="Calibri" w:cs="Calibri"/>
        </w:rPr>
      </w:pPr>
      <w:r w:rsidRPr="00D04785">
        <w:rPr>
          <w:rStyle w:val="Voetnootmarkering"/>
          <w:rFonts w:ascii="Calibri" w:hAnsi="Calibri" w:cs="Calibri"/>
        </w:rPr>
        <w:footnoteRef/>
      </w:r>
      <w:r w:rsidRPr="00D04785">
        <w:rPr>
          <w:rFonts w:ascii="Calibri" w:hAnsi="Calibri" w:cs="Calibri"/>
        </w:rPr>
        <w:t xml:space="preserve"> Hierin wordt het nultarief bij uitvoer niet meegerekend.</w:t>
      </w:r>
    </w:p>
  </w:footnote>
  <w:footnote w:id="9">
    <w:p w14:paraId="33167011" w14:textId="77777777" w:rsidR="00AF53B1" w:rsidRPr="00D04785" w:rsidRDefault="00AF53B1" w:rsidP="00AF53B1">
      <w:pPr>
        <w:pStyle w:val="Voetnoottekst"/>
        <w:rPr>
          <w:rFonts w:ascii="Calibri" w:hAnsi="Calibri" w:cs="Calibri"/>
        </w:rPr>
      </w:pPr>
      <w:r w:rsidRPr="00D04785">
        <w:rPr>
          <w:rStyle w:val="Voetnootmarkering"/>
          <w:rFonts w:ascii="Calibri" w:hAnsi="Calibri" w:cs="Calibri"/>
        </w:rPr>
        <w:footnoteRef/>
      </w:r>
      <w:r w:rsidRPr="00D04785">
        <w:rPr>
          <w:rFonts w:ascii="Calibri" w:hAnsi="Calibri" w:cs="Calibri"/>
        </w:rPr>
        <w:t xml:space="preserve"> </w:t>
      </w:r>
      <w:hyperlink r:id="rId4" w:history="1">
        <w:r w:rsidRPr="00D04785">
          <w:rPr>
            <w:rStyle w:val="Hyperlink"/>
            <w:rFonts w:ascii="Calibri" w:hAnsi="Calibri" w:cs="Calibri"/>
          </w:rPr>
          <w:t>Ambtelijke fichebundel naar aanleiding van de evaluatie van het verlaagde btw-tarief | Ambtsbericht | Rijksoverheid.nl</w:t>
        </w:r>
      </w:hyperlink>
      <w:r w:rsidRPr="00D0478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B241" w14:textId="77777777" w:rsidR="00AF53B1" w:rsidRPr="00AF53B1" w:rsidRDefault="00AF53B1" w:rsidP="00AF53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D4F4" w14:textId="77777777" w:rsidR="00AF53B1" w:rsidRPr="00AF53B1" w:rsidRDefault="00AF53B1" w:rsidP="00AF53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C5FF" w14:textId="77777777" w:rsidR="00AF53B1" w:rsidRPr="00AF53B1" w:rsidRDefault="00AF53B1" w:rsidP="00AF53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07D"/>
    <w:multiLevelType w:val="hybridMultilevel"/>
    <w:tmpl w:val="C4AC8F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1EA7E4C"/>
    <w:multiLevelType w:val="hybridMultilevel"/>
    <w:tmpl w:val="755E3768"/>
    <w:lvl w:ilvl="0" w:tplc="04130001">
      <w:numFmt w:val="decimal"/>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148862431">
    <w:abstractNumId w:val="1"/>
  </w:num>
  <w:num w:numId="2" w16cid:durableId="61606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B1"/>
    <w:rsid w:val="001A4DB6"/>
    <w:rsid w:val="002E3E61"/>
    <w:rsid w:val="004C6B34"/>
    <w:rsid w:val="00692E58"/>
    <w:rsid w:val="00A416CB"/>
    <w:rsid w:val="00A53765"/>
    <w:rsid w:val="00AF53B1"/>
    <w:rsid w:val="00D0478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4E18"/>
  <w15:chartTrackingRefBased/>
  <w15:docId w15:val="{80D6E258-56A8-45BD-8A8B-BD643A58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5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5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53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53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53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53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53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53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53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53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53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53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53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53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53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53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53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53B1"/>
    <w:rPr>
      <w:rFonts w:eastAsiaTheme="majorEastAsia" w:cstheme="majorBidi"/>
      <w:color w:val="272727" w:themeColor="text1" w:themeTint="D8"/>
    </w:rPr>
  </w:style>
  <w:style w:type="paragraph" w:styleId="Titel">
    <w:name w:val="Title"/>
    <w:basedOn w:val="Standaard"/>
    <w:next w:val="Standaard"/>
    <w:link w:val="TitelChar"/>
    <w:uiPriority w:val="10"/>
    <w:qFormat/>
    <w:rsid w:val="00AF5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53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53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53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53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53B1"/>
    <w:rPr>
      <w:i/>
      <w:iCs/>
      <w:color w:val="404040" w:themeColor="text1" w:themeTint="BF"/>
    </w:rPr>
  </w:style>
  <w:style w:type="paragraph" w:styleId="Lijstalinea">
    <w:name w:val="List Paragraph"/>
    <w:basedOn w:val="Standaard"/>
    <w:uiPriority w:val="34"/>
    <w:qFormat/>
    <w:rsid w:val="00AF53B1"/>
    <w:pPr>
      <w:ind w:left="720"/>
      <w:contextualSpacing/>
    </w:pPr>
  </w:style>
  <w:style w:type="character" w:styleId="Intensievebenadrukking">
    <w:name w:val="Intense Emphasis"/>
    <w:basedOn w:val="Standaardalinea-lettertype"/>
    <w:uiPriority w:val="21"/>
    <w:qFormat/>
    <w:rsid w:val="00AF53B1"/>
    <w:rPr>
      <w:i/>
      <w:iCs/>
      <w:color w:val="0F4761" w:themeColor="accent1" w:themeShade="BF"/>
    </w:rPr>
  </w:style>
  <w:style w:type="paragraph" w:styleId="Duidelijkcitaat">
    <w:name w:val="Intense Quote"/>
    <w:basedOn w:val="Standaard"/>
    <w:next w:val="Standaard"/>
    <w:link w:val="DuidelijkcitaatChar"/>
    <w:uiPriority w:val="30"/>
    <w:qFormat/>
    <w:rsid w:val="00AF5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53B1"/>
    <w:rPr>
      <w:i/>
      <w:iCs/>
      <w:color w:val="0F4761" w:themeColor="accent1" w:themeShade="BF"/>
    </w:rPr>
  </w:style>
  <w:style w:type="character" w:styleId="Intensieveverwijzing">
    <w:name w:val="Intense Reference"/>
    <w:basedOn w:val="Standaardalinea-lettertype"/>
    <w:uiPriority w:val="32"/>
    <w:qFormat/>
    <w:rsid w:val="00AF53B1"/>
    <w:rPr>
      <w:b/>
      <w:bCs/>
      <w:smallCaps/>
      <w:color w:val="0F4761" w:themeColor="accent1" w:themeShade="BF"/>
      <w:spacing w:val="5"/>
    </w:rPr>
  </w:style>
  <w:style w:type="character" w:styleId="Hyperlink">
    <w:name w:val="Hyperlink"/>
    <w:basedOn w:val="Standaardalinea-lettertype"/>
    <w:uiPriority w:val="99"/>
    <w:unhideWhenUsed/>
    <w:rsid w:val="00AF53B1"/>
    <w:rPr>
      <w:color w:val="467886" w:themeColor="hyperlink"/>
      <w:u w:val="single"/>
    </w:rPr>
  </w:style>
  <w:style w:type="paragraph" w:styleId="Voetnoottekst">
    <w:name w:val="footnote text"/>
    <w:basedOn w:val="Standaard"/>
    <w:link w:val="VoetnoottekstChar"/>
    <w:uiPriority w:val="99"/>
    <w:semiHidden/>
    <w:unhideWhenUsed/>
    <w:rsid w:val="00AF53B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F53B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F53B1"/>
    <w:rPr>
      <w:vertAlign w:val="superscript"/>
    </w:rPr>
  </w:style>
  <w:style w:type="table" w:customStyle="1" w:styleId="Tabelraster1">
    <w:name w:val="Tabelraster1"/>
    <w:next w:val="Tabelraster"/>
    <w:rsid w:val="00AF53B1"/>
    <w:pPr>
      <w:autoSpaceDN w:val="0"/>
      <w:spacing w:after="0" w:line="240" w:lineRule="auto"/>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elraster">
    <w:name w:val="Table Grid"/>
    <w:basedOn w:val="Standaardtabel"/>
    <w:uiPriority w:val="39"/>
    <w:rsid w:val="00AF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F53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53B1"/>
  </w:style>
  <w:style w:type="paragraph" w:styleId="Voettekst">
    <w:name w:val="footer"/>
    <w:basedOn w:val="Standaard"/>
    <w:link w:val="VoettekstChar"/>
    <w:uiPriority w:val="99"/>
    <w:unhideWhenUsed/>
    <w:rsid w:val="00AF53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53B1"/>
  </w:style>
  <w:style w:type="paragraph" w:styleId="Geenafstand">
    <w:name w:val="No Spacing"/>
    <w:uiPriority w:val="1"/>
    <w:qFormat/>
    <w:rsid w:val="00D04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2010R0904" TargetMode="External"/><Relationship Id="rId2" Type="http://schemas.openxmlformats.org/officeDocument/2006/relationships/hyperlink" Target="https://ec.europa.eu/commission/presscorner/detail/en/qanda_22_7519" TargetMode="External"/><Relationship Id="rId1" Type="http://schemas.openxmlformats.org/officeDocument/2006/relationships/hyperlink" Target="https://op.europa.eu/en/publication-detail/-/publication/298d43e2-bd28-11ef-91ed-01aa75ed71a1/language-en" TargetMode="External"/><Relationship Id="rId4" Type="http://schemas.openxmlformats.org/officeDocument/2006/relationships/hyperlink" Target="https://www.rijksoverheid.nl/documenten/ambtsberichten/2023/09/15/ambtelijke-fichebundel-naar-aanleiding-van-de-evaluatie-van-het-verlaagde-btw-tarie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rd.shsdir.nl\orgData\FIN\DGFZ\AFP\Analyse\B14.%20EU-afdrachten\2024\vat%20gap\berekende%20btw%20volgens%20NL%20methode%2007%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Blad1!$A$35</c:f>
              <c:strCache>
                <c:ptCount val="1"/>
                <c:pt idx="0">
                  <c:v>btw-gat % eigen berekening</c:v>
                </c:pt>
              </c:strCache>
            </c:strRef>
          </c:tx>
          <c:spPr>
            <a:ln w="15875" cap="rnd">
              <a:solidFill>
                <a:schemeClr val="tx1"/>
              </a:solidFill>
              <a:round/>
            </a:ln>
            <a:effectLst/>
          </c:spPr>
          <c:marker>
            <c:symbol val="none"/>
          </c:marker>
          <c:cat>
            <c:numRef>
              <c:f>Blad1!$C$33:$P$33</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Blad1!$C$35:$P$35</c:f>
              <c:numCache>
                <c:formatCode>0.0%</c:formatCode>
                <c:ptCount val="14"/>
                <c:pt idx="0">
                  <c:v>9.6744013683421198E-3</c:v>
                </c:pt>
                <c:pt idx="1">
                  <c:v>4.2505297442973246E-2</c:v>
                </c:pt>
                <c:pt idx="2">
                  <c:v>2.3856562407869486E-2</c:v>
                </c:pt>
                <c:pt idx="3">
                  <c:v>4.5984880762272189E-2</c:v>
                </c:pt>
                <c:pt idx="4">
                  <c:v>3.9926419871975406E-2</c:v>
                </c:pt>
                <c:pt idx="5">
                  <c:v>6.157153057711872E-2</c:v>
                </c:pt>
                <c:pt idx="6">
                  <c:v>5.1444248700162308E-2</c:v>
                </c:pt>
                <c:pt idx="7">
                  <c:v>4.9427533669627911E-2</c:v>
                </c:pt>
                <c:pt idx="8">
                  <c:v>3.7864806772164548E-2</c:v>
                </c:pt>
                <c:pt idx="9">
                  <c:v>4.3069040237082669E-2</c:v>
                </c:pt>
                <c:pt idx="10">
                  <c:v>4.7715482614692648E-2</c:v>
                </c:pt>
                <c:pt idx="11">
                  <c:v>4.018552090338165E-2</c:v>
                </c:pt>
                <c:pt idx="12">
                  <c:v>4.2637986176619284E-2</c:v>
                </c:pt>
                <c:pt idx="13">
                  <c:v>4.5090451449856919E-2</c:v>
                </c:pt>
              </c:numCache>
            </c:numRef>
          </c:val>
          <c:smooth val="0"/>
          <c:extLst>
            <c:ext xmlns:c16="http://schemas.microsoft.com/office/drawing/2014/chart" uri="{C3380CC4-5D6E-409C-BE32-E72D297353CC}">
              <c16:uniqueId val="{00000000-389D-4518-A202-747ABC63D094}"/>
            </c:ext>
          </c:extLst>
        </c:ser>
        <c:ser>
          <c:idx val="1"/>
          <c:order val="1"/>
          <c:tx>
            <c:strRef>
              <c:f>Blad1!$A$36</c:f>
              <c:strCache>
                <c:ptCount val="1"/>
                <c:pt idx="0">
                  <c:v>btw-gat % EC (CASE)</c:v>
                </c:pt>
              </c:strCache>
            </c:strRef>
          </c:tx>
          <c:spPr>
            <a:ln w="15875" cap="rnd">
              <a:solidFill>
                <a:schemeClr val="tx1"/>
              </a:solidFill>
              <a:prstDash val="dash"/>
              <a:round/>
            </a:ln>
            <a:effectLst/>
          </c:spPr>
          <c:marker>
            <c:symbol val="none"/>
          </c:marker>
          <c:cat>
            <c:numRef>
              <c:f>Blad1!$C$33:$P$33</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Blad1!$C$36:$P$36</c:f>
              <c:numCache>
                <c:formatCode>0.0%</c:formatCode>
                <c:ptCount val="14"/>
                <c:pt idx="0">
                  <c:v>7.6999999999999999E-2</c:v>
                </c:pt>
                <c:pt idx="1">
                  <c:v>0.128</c:v>
                </c:pt>
                <c:pt idx="2">
                  <c:v>5.3999999999999999E-2</c:v>
                </c:pt>
                <c:pt idx="3">
                  <c:v>9.9000000000000005E-2</c:v>
                </c:pt>
                <c:pt idx="4">
                  <c:v>9.2999999999999999E-2</c:v>
                </c:pt>
                <c:pt idx="5">
                  <c:v>0.1</c:v>
                </c:pt>
                <c:pt idx="6">
                  <c:v>0.09</c:v>
                </c:pt>
                <c:pt idx="7">
                  <c:v>0.10100000000000001</c:v>
                </c:pt>
                <c:pt idx="8">
                  <c:v>5.2999999999999999E-2</c:v>
                </c:pt>
                <c:pt idx="9">
                  <c:v>0.06</c:v>
                </c:pt>
                <c:pt idx="10">
                  <c:v>0.10747937957293681</c:v>
                </c:pt>
                <c:pt idx="11">
                  <c:v>0.11053178779650329</c:v>
                </c:pt>
                <c:pt idx="12">
                  <c:v>8.8835211247595483E-2</c:v>
                </c:pt>
                <c:pt idx="13">
                  <c:v>5.2504796219997082E-2</c:v>
                </c:pt>
              </c:numCache>
            </c:numRef>
          </c:val>
          <c:smooth val="0"/>
          <c:extLst>
            <c:ext xmlns:c16="http://schemas.microsoft.com/office/drawing/2014/chart" uri="{C3380CC4-5D6E-409C-BE32-E72D297353CC}">
              <c16:uniqueId val="{00000001-389D-4518-A202-747ABC63D094}"/>
            </c:ext>
          </c:extLst>
        </c:ser>
        <c:dLbls>
          <c:showLegendKey val="0"/>
          <c:showVal val="0"/>
          <c:showCatName val="0"/>
          <c:showSerName val="0"/>
          <c:showPercent val="0"/>
          <c:showBubbleSize val="0"/>
        </c:dLbls>
        <c:smooth val="0"/>
        <c:axId val="1964514880"/>
        <c:axId val="1251709536"/>
      </c:lineChart>
      <c:catAx>
        <c:axId val="196451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51709536"/>
        <c:crosses val="autoZero"/>
        <c:auto val="1"/>
        <c:lblAlgn val="ctr"/>
        <c:lblOffset val="100"/>
        <c:noMultiLvlLbl val="0"/>
      </c:catAx>
      <c:valAx>
        <c:axId val="12517095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6451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9</ap:Pages>
  <ap:Words>2450</ap:Words>
  <ap:Characters>13475</ap:Characters>
  <ap:DocSecurity>0</ap:DocSecurity>
  <ap:Lines>112</ap:Lines>
  <ap:Paragraphs>31</ap:Paragraphs>
  <ap:ScaleCrop>false</ap:ScaleCrop>
  <ap:LinksUpToDate>false</ap:LinksUpToDate>
  <ap:CharactersWithSpaces>15894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2025-05-21T09:10:00.0000000Z</dcterms:created>
  <dcterms:modified xsi:type="dcterms:W3CDTF">2025-05-21T09:10:00.0000000Z</dcterms:modified>
  <version/>
  <category/>
</coreProperties>
</file>