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A29" w:rsidRDefault="003163F3" w14:paraId="088A99EB" w14:textId="77777777">
      <w:bookmarkStart w:name="_GoBack" w:id="0"/>
      <w:bookmarkEnd w:id="0"/>
      <w:r>
        <w:t>Geachte voorzitter,</w:t>
      </w:r>
    </w:p>
    <w:p w:rsidR="00537A29" w:rsidRDefault="00537A29" w14:paraId="483F9367" w14:textId="77777777"/>
    <w:p w:rsidR="00537A29" w:rsidRDefault="003163F3" w14:paraId="4A06B7C0" w14:textId="77777777">
      <w:bookmarkStart w:name="_Hlk196401325" w:id="1"/>
      <w:bookmarkStart w:name="_Hlk196402581" w:id="2"/>
      <w:r>
        <w:t>Op 16 april jl. hebben de leden Postma (NSC) en Grinwis (CU) schriftelijke vragen ingebracht over het meerekenen van autonome vlootvernieuwing in de balanced approach-procedure.</w:t>
      </w:r>
      <w:bookmarkEnd w:id="1"/>
      <w:r>
        <w:t xml:space="preserve"> </w:t>
      </w:r>
      <w:bookmarkEnd w:id="2"/>
      <w:r>
        <w:t>Hierbij ontvangt de Kamer de beantwoording van de vragen.</w:t>
      </w:r>
    </w:p>
    <w:p w:rsidR="00537A29" w:rsidRDefault="003163F3" w14:paraId="7EC418B6" w14:textId="77777777">
      <w:pPr>
        <w:pStyle w:val="WitregelW1bodytekst"/>
      </w:pPr>
      <w:r>
        <w:t xml:space="preserve">  </w:t>
      </w:r>
    </w:p>
    <w:p w:rsidR="00537A29" w:rsidRDefault="003163F3" w14:paraId="43F507C3" w14:textId="77777777">
      <w:pPr>
        <w:pStyle w:val="Slotzin"/>
      </w:pPr>
      <w:r>
        <w:t>Hoogachtend,</w:t>
      </w:r>
    </w:p>
    <w:p w:rsidR="00537A29" w:rsidRDefault="003163F3" w14:paraId="2A37913E" w14:textId="77777777">
      <w:pPr>
        <w:pStyle w:val="OndertekeningArea1"/>
      </w:pPr>
      <w:r>
        <w:t>DE MINISTER VAN INFRASTRUCTUUR EN WATERSTAAT,</w:t>
      </w:r>
    </w:p>
    <w:p w:rsidR="00537A29" w:rsidRDefault="00537A29" w14:paraId="30CBC35A" w14:textId="77777777"/>
    <w:p w:rsidR="00537A29" w:rsidRDefault="00537A29" w14:paraId="141226A5" w14:textId="77777777"/>
    <w:p w:rsidR="00537A29" w:rsidRDefault="00537A29" w14:paraId="17613E58" w14:textId="77777777"/>
    <w:p w:rsidR="00537A29" w:rsidRDefault="00537A29" w14:paraId="08A16481" w14:textId="77777777"/>
    <w:p w:rsidR="00537A29" w:rsidRDefault="003163F3" w14:paraId="3299549F" w14:textId="77777777">
      <w:r>
        <w:t>Barry Madlener</w:t>
      </w:r>
    </w:p>
    <w:p w:rsidR="00537A29" w:rsidRDefault="003163F3" w14:paraId="3F503499" w14:textId="77777777">
      <w:pPr>
        <w:spacing w:line="240" w:lineRule="auto"/>
      </w:pPr>
      <w:r>
        <w:br w:type="page"/>
      </w:r>
    </w:p>
    <w:p w:rsidR="00537A29" w:rsidRDefault="003163F3" w14:paraId="02FEAD73" w14:textId="77777777">
      <w:pPr>
        <w:rPr>
          <w:b/>
          <w:bCs/>
        </w:rPr>
      </w:pPr>
      <w:r>
        <w:rPr>
          <w:b/>
          <w:bCs/>
        </w:rPr>
        <w:lastRenderedPageBreak/>
        <w:t>2025Z07625</w:t>
      </w:r>
    </w:p>
    <w:p w:rsidR="00537A29" w:rsidRDefault="00537A29" w14:paraId="7F50BC69" w14:textId="77777777">
      <w:pPr>
        <w:rPr>
          <w:b/>
          <w:bCs/>
        </w:rPr>
      </w:pPr>
    </w:p>
    <w:p w:rsidR="00537A29" w:rsidRDefault="003163F3" w14:paraId="57590BB8" w14:textId="77777777">
      <w:pPr>
        <w:rPr>
          <w:b/>
          <w:bCs/>
        </w:rPr>
      </w:pPr>
      <w:r>
        <w:rPr>
          <w:b/>
          <w:bCs/>
        </w:rPr>
        <w:t>Vraag 1</w:t>
      </w:r>
    </w:p>
    <w:p w:rsidR="00537A29" w:rsidRDefault="003163F3" w14:paraId="0E238144" w14:textId="77777777">
      <w:r>
        <w:t>Kunt u bevestigen dat de autonome ontwikkeling is meegenomen in de referentiesituatie binnen de afgeronde 'balanced approach'-procedure?</w:t>
      </w:r>
    </w:p>
    <w:p w:rsidR="00537A29" w:rsidRDefault="00537A29" w14:paraId="0322C501" w14:textId="77777777">
      <w:pPr>
        <w:rPr>
          <w:i/>
          <w:iCs/>
        </w:rPr>
      </w:pPr>
    </w:p>
    <w:p w:rsidR="00537A29" w:rsidRDefault="003163F3" w14:paraId="67EC6CC9" w14:textId="77777777">
      <w:pPr>
        <w:rPr>
          <w:b/>
          <w:bCs/>
        </w:rPr>
      </w:pPr>
      <w:r>
        <w:rPr>
          <w:b/>
          <w:bCs/>
        </w:rPr>
        <w:t>Antwoord 1</w:t>
      </w:r>
    </w:p>
    <w:p w:rsidR="00537A29" w:rsidRDefault="003163F3" w14:paraId="7416486A" w14:textId="77777777">
      <w:r>
        <w:t>Ja, de autonome ontwikkelingen tot november 2024 zijn meegenomen in de referentiesituatie van de balanced approach-procedure.</w:t>
      </w:r>
    </w:p>
    <w:p w:rsidR="00537A29" w:rsidRDefault="00537A29" w14:paraId="15E502D8" w14:textId="77777777"/>
    <w:p w:rsidR="00537A29" w:rsidRDefault="003163F3" w14:paraId="0DAAE786" w14:textId="77777777">
      <w:pPr>
        <w:rPr>
          <w:b/>
          <w:bCs/>
        </w:rPr>
      </w:pPr>
      <w:r>
        <w:rPr>
          <w:b/>
          <w:bCs/>
        </w:rPr>
        <w:t>Vraag 2</w:t>
      </w:r>
    </w:p>
    <w:p w:rsidR="00537A29" w:rsidRDefault="003163F3" w14:paraId="7080A4FE" w14:textId="77777777">
      <w:r>
        <w:t>Kunt u bevestigen dat ook autonome vlootontwikkeling, dan wel autonome vlootvernieuwing, hieronder valt en is meegenomen in dezelfde referentiesituatie?</w:t>
      </w:r>
    </w:p>
    <w:p w:rsidR="00537A29" w:rsidRDefault="00537A29" w14:paraId="12468FA6" w14:textId="77777777"/>
    <w:p w:rsidR="00537A29" w:rsidRDefault="003163F3" w14:paraId="38019205" w14:textId="77777777">
      <w:pPr>
        <w:rPr>
          <w:b/>
          <w:bCs/>
        </w:rPr>
      </w:pPr>
      <w:r>
        <w:rPr>
          <w:b/>
          <w:bCs/>
        </w:rPr>
        <w:t>Antwoord 2</w:t>
      </w:r>
    </w:p>
    <w:p w:rsidR="00537A29" w:rsidRDefault="003163F3" w14:paraId="2F4BA4EE" w14:textId="77777777">
      <w:r>
        <w:t>Ja, autonome vlootontwikkelingen zijn onderdeel van de autonome ontwikkelingen die zijn verwerkt in de referentiesituatie.</w:t>
      </w:r>
    </w:p>
    <w:p w:rsidR="00537A29" w:rsidRDefault="00537A29" w14:paraId="04031382" w14:textId="77777777"/>
    <w:p w:rsidR="00537A29" w:rsidRDefault="003163F3" w14:paraId="05101BED" w14:textId="77777777">
      <w:pPr>
        <w:rPr>
          <w:b/>
          <w:bCs/>
        </w:rPr>
      </w:pPr>
      <w:r>
        <w:rPr>
          <w:b/>
          <w:bCs/>
        </w:rPr>
        <w:t>Vraag 3</w:t>
      </w:r>
    </w:p>
    <w:p w:rsidR="00537A29" w:rsidRDefault="003163F3" w14:paraId="560C0154" w14:textId="77777777">
      <w:r>
        <w:t>Kunt u aangeven met hoeveel personen u wilt dat het aantal ernstig gehinderden in totaal omlaag gaat.</w:t>
      </w:r>
    </w:p>
    <w:p w:rsidR="00537A29" w:rsidRDefault="00537A29" w14:paraId="259BD021" w14:textId="77777777"/>
    <w:p w:rsidR="00537A29" w:rsidRDefault="003163F3" w14:paraId="658C48F2" w14:textId="77777777">
      <w:pPr>
        <w:rPr>
          <w:b/>
          <w:bCs/>
        </w:rPr>
      </w:pPr>
      <w:r>
        <w:rPr>
          <w:b/>
          <w:bCs/>
        </w:rPr>
        <w:t>Antwoord 3</w:t>
      </w:r>
    </w:p>
    <w:p w:rsidR="00537A29" w:rsidRDefault="003163F3" w14:paraId="51D74647" w14:textId="77777777">
      <w:r>
        <w:t>Het geluidsdoel voor de eerste fase per november 2025 is -15% ernstig gehinderden binnen de 48 dB(A) L</w:t>
      </w:r>
      <w:r>
        <w:rPr>
          <w:vertAlign w:val="subscript"/>
        </w:rPr>
        <w:t>den</w:t>
      </w:r>
      <w:r>
        <w:t xml:space="preserve"> contour en -15% aantal woningen binnen de 58 dB(A) L</w:t>
      </w:r>
      <w:r>
        <w:rPr>
          <w:vertAlign w:val="subscript"/>
        </w:rPr>
        <w:t>den</w:t>
      </w:r>
      <w:r>
        <w:t xml:space="preserve"> bovenop de autonome ontwikkelingen, ten opzichte van de referentiesituatie. Kijkend naar het aantal ernstig gehinderden en woningen in de referentiesituatie, staat deze -15% bovenop de autonome ontwikkeling gelijk aan ongeveer 20.150 minder ernstig gehinderden en ongeveer 1250 minder woningen. Het genotificeerde maatregelenpakket behaalt het aantal ernstig gehinderden ruim en het aantal woningen naar verwachting exact. </w:t>
      </w:r>
    </w:p>
    <w:p w:rsidR="00537A29" w:rsidRDefault="00537A29" w14:paraId="4AAFEDE1" w14:textId="77777777"/>
    <w:p w:rsidR="00537A29" w:rsidRDefault="003163F3" w14:paraId="5A45B3A4" w14:textId="77777777">
      <w:r>
        <w:t>In de brief van 7 mei jl.</w:t>
      </w:r>
      <w:r>
        <w:rPr>
          <w:rStyle w:val="FootnoteReference"/>
        </w:rPr>
        <w:footnoteReference w:id="1"/>
      </w:r>
      <w:r>
        <w:t xml:space="preserve"> aan de Kamer heeft het kabinet voor het resterende percentage een beleidswijziging aangekondigd, waardoor de autonome ontwikkelingen wel kunnen bijdragen aan het behalen van het restant van het geluidsdoel. Dit heeft een effect op de daling van het aantal ernstig gehinderden en woningen. Hier zit ook een afhankelijkheid met de monitoring van het daadwerkelijke effect van de maatregelen in de eerste fase. Hier wordt verder op ingegaan in het plan van aanpak dat voor de zomer aan de Kamer wordt gestuurd.</w:t>
      </w:r>
    </w:p>
    <w:p w:rsidR="00537A29" w:rsidRDefault="00537A29" w14:paraId="3F0991CA" w14:textId="77777777"/>
    <w:p w:rsidR="00537A29" w:rsidRDefault="003163F3" w14:paraId="6D2ACBD8" w14:textId="77777777">
      <w:pPr>
        <w:rPr>
          <w:b/>
          <w:bCs/>
        </w:rPr>
      </w:pPr>
      <w:r>
        <w:rPr>
          <w:b/>
          <w:bCs/>
        </w:rPr>
        <w:t>Vraag 4</w:t>
      </w:r>
    </w:p>
    <w:p w:rsidR="00537A29" w:rsidRDefault="003163F3" w14:paraId="1DDB1907" w14:textId="77777777">
      <w:r>
        <w:t>Kunt u bevestigen dat, wanneer deze autonome vlootvernieuwing niet was meegenomen in de referentiesituatie, het geluidsprobleem aan de start van de procedure groter was geweest?</w:t>
      </w:r>
    </w:p>
    <w:p w:rsidR="00537A29" w:rsidRDefault="00537A29" w14:paraId="795BE93F" w14:textId="77777777"/>
    <w:p w:rsidR="00537A29" w:rsidRDefault="003163F3" w14:paraId="56100F92" w14:textId="77777777">
      <w:pPr>
        <w:rPr>
          <w:b/>
          <w:bCs/>
        </w:rPr>
      </w:pPr>
      <w:r>
        <w:rPr>
          <w:b/>
          <w:bCs/>
        </w:rPr>
        <w:t>Antwoord 4</w:t>
      </w:r>
    </w:p>
    <w:p w:rsidR="00537A29" w:rsidRDefault="003163F3" w14:paraId="41322D47" w14:textId="77777777">
      <w:r>
        <w:t>Als de autonome (vloot)ontwikkelingen niet waren verwerkt in de referentiesituatie, was de geluidsbelasting binnen die referentiesituatie hoger geweest en het geluidsprobleem groter. Dat komt door het feit dat de autonome (vloot)ontwikkeling in het model zorgen voor een verlaging van de geluidsbelasting. Het niet verwerken van die ontwikkelingen in de referentiesituatie zou dus betekenen dat die verlaging van de geluidsbelasting niet plaatsvindt. De geluidsbelasting, en het geluidsprobleem, in de referentiesituatie was dan groter geweest.</w:t>
      </w:r>
    </w:p>
    <w:p w:rsidR="00537A29" w:rsidRDefault="00537A29" w14:paraId="3CFFE372" w14:textId="77777777"/>
    <w:p w:rsidR="00537A29" w:rsidRDefault="003163F3" w14:paraId="3FC56069" w14:textId="77777777">
      <w:pPr>
        <w:rPr>
          <w:b/>
          <w:bCs/>
        </w:rPr>
      </w:pPr>
      <w:r>
        <w:rPr>
          <w:b/>
          <w:bCs/>
        </w:rPr>
        <w:t>Vraag 5</w:t>
      </w:r>
    </w:p>
    <w:p w:rsidR="00537A29" w:rsidRDefault="003163F3" w14:paraId="12106760" w14:textId="77777777">
      <w:r>
        <w:t>Kunt u bevestigen dat, wanneer autonome vlootvernieuwing niet was meegenomen, in de referentiesituatie een hoger geluidsdoel vastgesteld had moeten worden?</w:t>
      </w:r>
    </w:p>
    <w:p w:rsidR="00537A29" w:rsidRDefault="00537A29" w14:paraId="1A5A8F71" w14:textId="77777777"/>
    <w:p w:rsidR="00537A29" w:rsidRDefault="003163F3" w14:paraId="1F3D930E" w14:textId="77777777">
      <w:pPr>
        <w:rPr>
          <w:b/>
          <w:bCs/>
        </w:rPr>
      </w:pPr>
      <w:r>
        <w:rPr>
          <w:b/>
          <w:bCs/>
        </w:rPr>
        <w:t>Antwoord 5</w:t>
      </w:r>
    </w:p>
    <w:p w:rsidR="00537A29" w:rsidRDefault="003163F3" w14:paraId="183F51FC" w14:textId="77777777">
      <w:r>
        <w:t xml:space="preserve">Het geluidsdoel is vastgesteld ten opzichte van de referentiesituatie waarin de autonome ontwikkelingen tot die referentiesituatie zijn verwerkt. Als die referentiesituatie anders was geweest, met een hogere geluidsbelasting, zou om een zelfde reductie van het aantal ernstig gehinderden te bereiken een hoger geluidsdoel noodzakelijk zijn. </w:t>
      </w:r>
    </w:p>
    <w:p w:rsidR="00537A29" w:rsidRDefault="00537A29" w14:paraId="5038F87A" w14:textId="77777777"/>
    <w:p w:rsidR="00537A29" w:rsidRDefault="003163F3" w14:paraId="34A1488C" w14:textId="77777777">
      <w:pPr>
        <w:rPr>
          <w:b/>
          <w:bCs/>
        </w:rPr>
      </w:pPr>
      <w:r>
        <w:rPr>
          <w:b/>
          <w:bCs/>
        </w:rPr>
        <w:t>Vraag 6</w:t>
      </w:r>
    </w:p>
    <w:p w:rsidR="00537A29" w:rsidRDefault="003163F3" w14:paraId="2A68EFBD" w14:textId="77777777">
      <w:pPr>
        <w:rPr>
          <w:b/>
          <w:bCs/>
        </w:rPr>
      </w:pPr>
      <w:r>
        <w:t>Kunt u bevestigen dat het geluidsdoel van 20% geluidshindervermindering op het etmaal en 15% gedurende de nacht is vastgesteld boven op de autonome ontwikkelingen?</w:t>
      </w:r>
      <w:r>
        <w:rPr>
          <w:b/>
          <w:bCs/>
        </w:rPr>
        <w:t xml:space="preserve"> </w:t>
      </w:r>
      <w:r>
        <w:rPr>
          <w:b/>
          <w:bCs/>
        </w:rPr>
        <w:br/>
      </w:r>
      <w:r>
        <w:rPr>
          <w:b/>
          <w:bCs/>
        </w:rPr>
        <w:br/>
        <w:t>Antwoord 6</w:t>
      </w:r>
    </w:p>
    <w:p w:rsidR="00537A29" w:rsidRDefault="003163F3" w14:paraId="16C1E713" w14:textId="77777777">
      <w:r>
        <w:t>In het Actieplan omgevingslawaai Schiphol 2024 – 2029 is door het vorige kabinet het geluidsdoel van -20% ernstig gehinderden binnen de 48 dB(A) L</w:t>
      </w:r>
      <w:r>
        <w:rPr>
          <w:vertAlign w:val="subscript"/>
        </w:rPr>
        <w:t>den</w:t>
      </w:r>
      <w:r>
        <w:t xml:space="preserve"> contour, -20% aantal woningen binnen de 58 dB(A) L</w:t>
      </w:r>
      <w:r>
        <w:rPr>
          <w:vertAlign w:val="subscript"/>
        </w:rPr>
        <w:t>den</w:t>
      </w:r>
      <w:r>
        <w:t xml:space="preserve"> contour, -15% slaapverstoorden in de 40 dB(A) L</w:t>
      </w:r>
      <w:r>
        <w:rPr>
          <w:vertAlign w:val="subscript"/>
        </w:rPr>
        <w:t>night</w:t>
      </w:r>
      <w:r>
        <w:t xml:space="preserve"> contour en -15% aantal woningen binnen de 48 dB(A) L</w:t>
      </w:r>
      <w:r>
        <w:rPr>
          <w:vertAlign w:val="subscript"/>
        </w:rPr>
        <w:t>night</w:t>
      </w:r>
      <w:r>
        <w:t xml:space="preserve"> contour vastgesteld ten opzichte van de referentiesituatie en bovenop de jaarlijkse autonome ontwikkeling.</w:t>
      </w:r>
    </w:p>
    <w:p w:rsidR="00537A29" w:rsidRDefault="00537A29" w14:paraId="27CA8D55" w14:textId="77777777"/>
    <w:p w:rsidR="00537A29" w:rsidRDefault="003163F3" w14:paraId="209CD005" w14:textId="77777777">
      <w:pPr>
        <w:rPr>
          <w:b/>
          <w:bCs/>
        </w:rPr>
      </w:pPr>
      <w:r>
        <w:t>Met het genotificeerde maatregelenpakket wordt van de L</w:t>
      </w:r>
      <w:r>
        <w:rPr>
          <w:vertAlign w:val="subscript"/>
        </w:rPr>
        <w:t>den</w:t>
      </w:r>
      <w:r>
        <w:t xml:space="preserve"> doelen nu naar verwachting eerst -15% ingevuld conform de uitgangspunten in het actieplan. In de brief van 7 mei jl. aan de Kamer heeft het kabinet voor het resterende percentage een beleidswijziging aangekondigd. Door deze beleidswijziging geldt dat het resterende percentage niet meer bovenop de autonome ontwikkelingen komt, maar de autonome ontwikkelingen een bijdrage kunnen leveren aan het behalen van dit percentage. </w:t>
      </w:r>
    </w:p>
    <w:p w:rsidR="00537A29" w:rsidRDefault="00537A29" w14:paraId="3AE51700" w14:textId="77777777">
      <w:pPr>
        <w:rPr>
          <w:b/>
          <w:bCs/>
        </w:rPr>
      </w:pPr>
    </w:p>
    <w:p w:rsidR="00537A29" w:rsidRDefault="003163F3" w14:paraId="01B023E9" w14:textId="77777777">
      <w:pPr>
        <w:rPr>
          <w:b/>
          <w:bCs/>
        </w:rPr>
      </w:pPr>
      <w:r>
        <w:rPr>
          <w:b/>
          <w:bCs/>
        </w:rPr>
        <w:t>Vraag 7</w:t>
      </w:r>
    </w:p>
    <w:p w:rsidR="00537A29" w:rsidRDefault="003163F3" w14:paraId="5D5E4B01" w14:textId="77777777">
      <w:r>
        <w:t xml:space="preserve">Kunt u aangeven hoe hoog het geluidsdoel had moeten zijn als de autonome ontwikkelingen niet waren meegerekend in de referentiesituatie? </w:t>
      </w:r>
      <w:r>
        <w:br/>
      </w:r>
      <w:r>
        <w:br/>
      </w:r>
      <w:r>
        <w:rPr>
          <w:b/>
          <w:bCs/>
        </w:rPr>
        <w:t>Antwoord 7</w:t>
      </w:r>
    </w:p>
    <w:p w:rsidR="00537A29" w:rsidRDefault="003163F3" w14:paraId="05704966" w14:textId="77777777">
      <w:r>
        <w:t>Omdat de autonome ontwikkelingen geen onderdeel uitmaken van het geluidsdoel is die berekening niet gemaakt.</w:t>
      </w:r>
    </w:p>
    <w:p w:rsidR="00537A29" w:rsidRDefault="00537A29" w14:paraId="3FBC84FA" w14:textId="77777777">
      <w:pPr>
        <w:rPr>
          <w:b/>
          <w:bCs/>
        </w:rPr>
      </w:pPr>
    </w:p>
    <w:p w:rsidR="00537A29" w:rsidRDefault="003163F3" w14:paraId="3E464A21" w14:textId="77777777">
      <w:pPr>
        <w:rPr>
          <w:b/>
          <w:bCs/>
        </w:rPr>
      </w:pPr>
      <w:r>
        <w:rPr>
          <w:b/>
          <w:bCs/>
        </w:rPr>
        <w:t>Vraag 8</w:t>
      </w:r>
    </w:p>
    <w:p w:rsidR="00537A29" w:rsidRDefault="003163F3" w14:paraId="2996AFA1" w14:textId="77777777">
      <w:r>
        <w:t xml:space="preserve">Bent u van mening dat het onwenselijk is om autonome vlootvernieuwing dubbel mee te laten te tellen, zowel in de referentiesituatie als in het maatregelenpakket? </w:t>
      </w:r>
      <w:r>
        <w:br/>
      </w:r>
      <w:r>
        <w:br/>
      </w:r>
      <w:r>
        <w:rPr>
          <w:b/>
          <w:bCs/>
        </w:rPr>
        <w:t>Antwoord 8</w:t>
      </w:r>
    </w:p>
    <w:p w:rsidR="00537A29" w:rsidRDefault="003163F3" w14:paraId="14DC6C96" w14:textId="5FAC8082">
      <w:pPr>
        <w:rPr>
          <w:b/>
          <w:bCs/>
        </w:rPr>
      </w:pPr>
      <w:r>
        <w:t>Het zou onwenselijk zijn om autonome vlootvernieuwing dubbel mee te laten tellen. Met de huidige methode is dat ook niet het geval. In de referentiesituatie van 1 november 2024 zijn de autonome ontwikkelingen tot dat moment meegeteld. De maatregelen komen daar bovenop, waarbij de autonome ontwikkeling na 1 november 2024 niet meetelt. Tussen 1 november 2024 en 1 november 2025 is er sprake van een correctie voor autonome ontwikkeling. Daarom is er geen sprake van een dubbeltelling.</w:t>
      </w:r>
    </w:p>
    <w:p w:rsidR="00537A29" w:rsidRDefault="00537A29" w14:paraId="673E79B3" w14:textId="77777777">
      <w:pPr>
        <w:rPr>
          <w:b/>
          <w:bCs/>
        </w:rPr>
      </w:pPr>
    </w:p>
    <w:p w:rsidR="00537A29" w:rsidRDefault="003163F3" w14:paraId="62CFC59B" w14:textId="77777777">
      <w:pPr>
        <w:rPr>
          <w:b/>
          <w:bCs/>
        </w:rPr>
      </w:pPr>
      <w:r>
        <w:rPr>
          <w:b/>
          <w:bCs/>
        </w:rPr>
        <w:t>Vraag 9</w:t>
      </w:r>
    </w:p>
    <w:p w:rsidR="00537A29" w:rsidRDefault="003163F3" w14:paraId="57DCB5A1" w14:textId="77777777">
      <w:r>
        <w:t xml:space="preserve">Klopt het dat, wanneer de autonome vlootvernieuwing meegerekend wordt in het maatregelenpakket om de resterende 5% in te vullen, deze dubbel meegeteld wordt, namelijk in zowel in de referentiesituatie als in het maatregelenpakket? Zo nee, kunt u uitleggen waarom dat niet het geval is? </w:t>
      </w:r>
    </w:p>
    <w:p w:rsidR="00537A29" w:rsidRDefault="00537A29" w14:paraId="4930D806" w14:textId="77777777"/>
    <w:p w:rsidR="00537A29" w:rsidRDefault="003163F3" w14:paraId="71DC45A7" w14:textId="77777777">
      <w:pPr>
        <w:rPr>
          <w:b/>
          <w:bCs/>
        </w:rPr>
      </w:pPr>
      <w:r>
        <w:rPr>
          <w:b/>
          <w:bCs/>
        </w:rPr>
        <w:t>Antwoord 9</w:t>
      </w:r>
    </w:p>
    <w:p w:rsidR="00537A29" w:rsidRDefault="003163F3" w14:paraId="2A6911F4" w14:textId="36DB87A9">
      <w:r>
        <w:t>Voor de resterende 5% wordt een beleidswijziging doorgevoerd waardoor de autonome ontwikkelingen wel kunnen bijdragen aan het behalen van het restant van het geluidsdoel. Dit vraagt om een wijziging van het geluidsdoel zoals het nu is vastgesteld in het Actieplan omgevingslawaai Schihol 2024-2029. Deze aanpassing zal worden doorgevoerd, zodat autonome ontwikkelingen die na november 2025 plaatsvinden kunnen bijdragen aan het restant van het geluidsdoel. Na deze aanpassing is er ook hier geen sprake van een dubbeltelling.</w:t>
      </w:r>
    </w:p>
    <w:p w:rsidR="00537A29" w:rsidRDefault="00537A29" w14:paraId="1BE281E7" w14:textId="77777777">
      <w:pPr>
        <w:rPr>
          <w:b/>
          <w:bCs/>
        </w:rPr>
      </w:pPr>
    </w:p>
    <w:p w:rsidR="00537A29" w:rsidRDefault="003163F3" w14:paraId="5B9E409A" w14:textId="77777777">
      <w:pPr>
        <w:rPr>
          <w:b/>
          <w:bCs/>
        </w:rPr>
      </w:pPr>
      <w:r>
        <w:rPr>
          <w:b/>
          <w:bCs/>
        </w:rPr>
        <w:t>Vraag 10</w:t>
      </w:r>
    </w:p>
    <w:p w:rsidR="00537A29" w:rsidRDefault="003163F3" w14:paraId="61212AEF" w14:textId="77777777">
      <w:r>
        <w:t xml:space="preserve">Bent u bereid een nieuwe referentiesituatie vast te stellen, indien u besluit autonome vlootvernieuwing alsnog mee te nemen bij het invullen van de resterende 5% geluidsreductieopgave? </w:t>
      </w:r>
    </w:p>
    <w:p w:rsidR="00537A29" w:rsidRDefault="00537A29" w14:paraId="50790E9B" w14:textId="77777777"/>
    <w:p w:rsidR="00537A29" w:rsidRDefault="003163F3" w14:paraId="4F322CD8" w14:textId="77777777">
      <w:pPr>
        <w:rPr>
          <w:b/>
          <w:bCs/>
        </w:rPr>
      </w:pPr>
      <w:r>
        <w:rPr>
          <w:b/>
          <w:bCs/>
        </w:rPr>
        <w:t>Antwoord 10</w:t>
      </w:r>
    </w:p>
    <w:p w:rsidR="00537A29" w:rsidRDefault="003163F3" w14:paraId="52EF40D2" w14:textId="697922E3">
      <w:r>
        <w:t xml:space="preserve">Als gevolg van de beleidswijziging zoals aangekondigd door het kabinet in de brief van 7 mei jl. aan de Kamer zal een wijziging plaatsvinden van het Actieplan omgevingslawaai Schiphol 2024-2029. In het actieplan is het geluidsdoel namelijk vastgelegd en dat moet aangepast worden. Hoe er als gevolg van deze beleidswijziging wordt omgegaan met de referentiesituatie zal onderdeel zijn van die wijziging. </w:t>
      </w:r>
    </w:p>
    <w:sectPr w:rsidR="00537A2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16C8F" w14:textId="77777777" w:rsidR="002F7849" w:rsidRDefault="002F7849">
      <w:pPr>
        <w:spacing w:line="240" w:lineRule="auto"/>
      </w:pPr>
      <w:r>
        <w:separator/>
      </w:r>
    </w:p>
  </w:endnote>
  <w:endnote w:type="continuationSeparator" w:id="0">
    <w:p w14:paraId="49339202" w14:textId="77777777" w:rsidR="002F7849" w:rsidRDefault="002F7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1C55D" w14:textId="77777777" w:rsidR="003163F3" w:rsidRDefault="00316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B07D" w14:textId="77777777" w:rsidR="003163F3" w:rsidRDefault="00316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7F10F" w14:textId="77777777" w:rsidR="003163F3" w:rsidRDefault="00316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A38DC" w14:textId="77777777" w:rsidR="002F7849" w:rsidRDefault="002F7849">
      <w:pPr>
        <w:spacing w:line="240" w:lineRule="auto"/>
      </w:pPr>
      <w:r>
        <w:separator/>
      </w:r>
    </w:p>
  </w:footnote>
  <w:footnote w:type="continuationSeparator" w:id="0">
    <w:p w14:paraId="42AC15E8" w14:textId="77777777" w:rsidR="002F7849" w:rsidRDefault="002F7849">
      <w:pPr>
        <w:spacing w:line="240" w:lineRule="auto"/>
      </w:pPr>
      <w:r>
        <w:continuationSeparator/>
      </w:r>
    </w:p>
  </w:footnote>
  <w:footnote w:id="1">
    <w:p w14:paraId="1358355D" w14:textId="77777777" w:rsidR="00537A29" w:rsidRDefault="003163F3">
      <w:pPr>
        <w:pStyle w:val="FootnoteText"/>
      </w:pPr>
      <w:r>
        <w:rPr>
          <w:rStyle w:val="FootnoteReference"/>
        </w:rPr>
        <w:footnoteRef/>
      </w:r>
      <w:r>
        <w:t xml:space="preserve"> Kamerstukken II 2024-25, 29665, nr. 556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F89F" w14:textId="77777777" w:rsidR="003163F3" w:rsidRDefault="00316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FC727" w14:textId="77777777" w:rsidR="00537A29" w:rsidRDefault="00462C10">
    <w:r>
      <w:pict w14:anchorId="44024CD9">
        <v:shapetyp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383A290" w14:textId="77777777" w:rsidR="00537A29" w:rsidRDefault="003163F3">
                <w:pPr>
                  <w:pStyle w:val="AfzendgegevensKop0"/>
                </w:pPr>
                <w:r>
                  <w:t>Ministerie van Infrastructuur en Waterstaat</w:t>
                </w:r>
              </w:p>
              <w:p w14:paraId="3A6FE618" w14:textId="77777777" w:rsidR="00113B8B" w:rsidRDefault="00113B8B" w:rsidP="00113B8B"/>
              <w:p w14:paraId="5D46746B" w14:textId="77777777" w:rsidR="00113B8B" w:rsidRDefault="00113B8B" w:rsidP="00113B8B">
                <w:pPr>
                  <w:pStyle w:val="Referentiegegevenskop"/>
                </w:pPr>
                <w:r>
                  <w:t>Ons kenmerk</w:t>
                </w:r>
              </w:p>
              <w:p w14:paraId="72ED10E6" w14:textId="57137E8A" w:rsidR="00113B8B" w:rsidRDefault="00113B8B" w:rsidP="00113B8B">
                <w:pPr>
                  <w:pStyle w:val="Referentiegegevens"/>
                </w:pPr>
                <w:r w:rsidRPr="00113B8B">
                  <w:t>IENW/BSK-2025/106298</w:t>
                </w:r>
              </w:p>
              <w:p w14:paraId="77A0576A" w14:textId="77777777" w:rsidR="00113B8B" w:rsidRPr="00113B8B" w:rsidRDefault="00113B8B" w:rsidP="00113B8B"/>
            </w:txbxContent>
          </v:textbox>
          <w10:wrap anchorx="page" anchory="page"/>
          <w10:anchorlock/>
        </v:shape>
      </w:pict>
    </w:r>
    <w:r>
      <w:pict w14:anchorId="274AF401">
        <v:shap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0CE9E00" w14:textId="77777777" w:rsidR="00537A29" w:rsidRDefault="003163F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017F95AC">
        <v:shap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0ACA94E" w14:textId="77777777" w:rsidR="00537A29" w:rsidRDefault="00537A29"/>
            </w:txbxContent>
          </v:textbox>
          <w10:wrap anchorx="page" anchory="page"/>
          <w10:anchorlock/>
        </v:shape>
      </w:pict>
    </w:r>
    <w:r>
      <w:pict w14:anchorId="169D89A8">
        <v:shap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A90D3E8" w14:textId="77777777" w:rsidR="00537A29" w:rsidRDefault="00537A29"/>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FB0BD" w14:textId="77777777" w:rsidR="00537A29" w:rsidRDefault="00462C10">
    <w:pPr>
      <w:spacing w:after="7029" w:line="14" w:lineRule="exact"/>
    </w:pPr>
    <w:r>
      <w:pict w14:anchorId="34B69EEA">
        <v:shapetyp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0B34EEB" w14:textId="77777777" w:rsidR="00537A29" w:rsidRDefault="00537A29"/>
            </w:txbxContent>
          </v:textbox>
          <w10:wrap anchorx="page" anchory="page"/>
          <w10:anchorlock/>
        </v:shape>
      </w:pict>
    </w:r>
    <w:r>
      <w:pict w14:anchorId="5CFB54C7">
        <v:shap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C38E242" w14:textId="006A11B2" w:rsidR="00537A29" w:rsidRDefault="003163F3">
                <w:pPr>
                  <w:pStyle w:val="Referentiegegevens"/>
                </w:pPr>
                <w:r>
                  <w:t xml:space="preserve">Pagina </w:t>
                </w:r>
                <w:r>
                  <w:fldChar w:fldCharType="begin"/>
                </w:r>
                <w:r>
                  <w:instrText>PAGE</w:instrText>
                </w:r>
                <w:r>
                  <w:fldChar w:fldCharType="separate"/>
                </w:r>
                <w:r w:rsidR="00462C10">
                  <w:rPr>
                    <w:noProof/>
                  </w:rPr>
                  <w:t>1</w:t>
                </w:r>
                <w:r>
                  <w:fldChar w:fldCharType="end"/>
                </w:r>
                <w:r>
                  <w:t xml:space="preserve"> van </w:t>
                </w:r>
                <w:r>
                  <w:fldChar w:fldCharType="begin"/>
                </w:r>
                <w:r>
                  <w:instrText>NUMPAGES</w:instrText>
                </w:r>
                <w:r>
                  <w:fldChar w:fldCharType="separate"/>
                </w:r>
                <w:r w:rsidR="00462C10">
                  <w:rPr>
                    <w:noProof/>
                  </w:rPr>
                  <w:t>1</w:t>
                </w:r>
                <w:r>
                  <w:fldChar w:fldCharType="end"/>
                </w:r>
              </w:p>
            </w:txbxContent>
          </v:textbox>
          <w10:wrap anchorx="page" anchory="page"/>
          <w10:anchorlock/>
        </v:shape>
      </w:pict>
    </w:r>
    <w:r>
      <w:pict w14:anchorId="30F04FB7">
        <v:shap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5A499C3" w14:textId="77777777" w:rsidR="00537A29" w:rsidRDefault="003163F3">
                <w:pPr>
                  <w:pStyle w:val="AfzendgegevensKop0"/>
                </w:pPr>
                <w:r>
                  <w:t>Ministerie van Infrastructuur en Waterstaat</w:t>
                </w:r>
              </w:p>
              <w:p w14:paraId="16AB6FEF" w14:textId="77777777" w:rsidR="00537A29" w:rsidRDefault="00537A29">
                <w:pPr>
                  <w:pStyle w:val="WitregelW1"/>
                </w:pPr>
              </w:p>
              <w:p w14:paraId="49F1F01A" w14:textId="77777777" w:rsidR="00537A29" w:rsidRDefault="003163F3">
                <w:pPr>
                  <w:pStyle w:val="Afzendgegevens"/>
                </w:pPr>
                <w:r>
                  <w:t>Rijnstraat 8</w:t>
                </w:r>
              </w:p>
              <w:p w14:paraId="6194EBD6" w14:textId="77777777" w:rsidR="00537A29" w:rsidRPr="0063573E" w:rsidRDefault="003163F3">
                <w:pPr>
                  <w:pStyle w:val="Afzendgegevens"/>
                  <w:rPr>
                    <w:lang w:val="de-DE"/>
                  </w:rPr>
                </w:pPr>
                <w:r w:rsidRPr="0063573E">
                  <w:rPr>
                    <w:lang w:val="de-DE"/>
                  </w:rPr>
                  <w:t>2515 XP  Den Haag</w:t>
                </w:r>
              </w:p>
              <w:p w14:paraId="29285B24" w14:textId="77777777" w:rsidR="00537A29" w:rsidRPr="0063573E" w:rsidRDefault="003163F3">
                <w:pPr>
                  <w:pStyle w:val="Afzendgegevens"/>
                  <w:rPr>
                    <w:lang w:val="de-DE"/>
                  </w:rPr>
                </w:pPr>
                <w:r w:rsidRPr="0063573E">
                  <w:rPr>
                    <w:lang w:val="de-DE"/>
                  </w:rPr>
                  <w:t>Postbus 20901</w:t>
                </w:r>
              </w:p>
              <w:p w14:paraId="0C3D4B39" w14:textId="77777777" w:rsidR="00537A29" w:rsidRPr="0063573E" w:rsidRDefault="003163F3">
                <w:pPr>
                  <w:pStyle w:val="Afzendgegevens"/>
                  <w:rPr>
                    <w:lang w:val="de-DE"/>
                  </w:rPr>
                </w:pPr>
                <w:r w:rsidRPr="0063573E">
                  <w:rPr>
                    <w:lang w:val="de-DE"/>
                  </w:rPr>
                  <w:t>2500 EX Den Haag</w:t>
                </w:r>
              </w:p>
              <w:p w14:paraId="267B86B3" w14:textId="77777777" w:rsidR="00537A29" w:rsidRPr="0063573E" w:rsidRDefault="00537A29">
                <w:pPr>
                  <w:pStyle w:val="WitregelW1"/>
                  <w:rPr>
                    <w:lang w:val="de-DE"/>
                  </w:rPr>
                </w:pPr>
              </w:p>
              <w:p w14:paraId="6BEB5552" w14:textId="77777777" w:rsidR="00537A29" w:rsidRPr="0063573E" w:rsidRDefault="003163F3">
                <w:pPr>
                  <w:pStyle w:val="Afzendgegevens"/>
                  <w:rPr>
                    <w:lang w:val="de-DE"/>
                  </w:rPr>
                </w:pPr>
                <w:r w:rsidRPr="0063573E">
                  <w:rPr>
                    <w:lang w:val="de-DE"/>
                  </w:rPr>
                  <w:t>T   070-456 0000</w:t>
                </w:r>
              </w:p>
              <w:p w14:paraId="3E3511E4" w14:textId="77777777" w:rsidR="00537A29" w:rsidRDefault="003163F3">
                <w:pPr>
                  <w:pStyle w:val="Afzendgegevens"/>
                </w:pPr>
                <w:r>
                  <w:t>F   070-456 1111</w:t>
                </w:r>
              </w:p>
              <w:p w14:paraId="5D58DA82" w14:textId="77777777" w:rsidR="00113B8B" w:rsidRDefault="00113B8B" w:rsidP="00113B8B"/>
              <w:p w14:paraId="5A283D0C" w14:textId="77777777" w:rsidR="00113B8B" w:rsidRDefault="00113B8B" w:rsidP="00113B8B">
                <w:pPr>
                  <w:pStyle w:val="Referentiegegevenskop"/>
                </w:pPr>
                <w:r>
                  <w:t>Ons kenmerk</w:t>
                </w:r>
              </w:p>
              <w:p w14:paraId="54BAE168" w14:textId="77A17E52" w:rsidR="00113B8B" w:rsidRDefault="00113B8B" w:rsidP="00113B8B">
                <w:pPr>
                  <w:pStyle w:val="Referentiegegevens"/>
                </w:pPr>
                <w:r w:rsidRPr="00113B8B">
                  <w:t>IENW/BSK-2025/106298</w:t>
                </w:r>
              </w:p>
              <w:p w14:paraId="206629C6" w14:textId="77777777" w:rsidR="00113B8B" w:rsidRDefault="00113B8B" w:rsidP="00113B8B">
                <w:pPr>
                  <w:pStyle w:val="WitregelW1"/>
                </w:pPr>
              </w:p>
              <w:p w14:paraId="0A5D665A" w14:textId="77777777" w:rsidR="00113B8B" w:rsidRDefault="00113B8B" w:rsidP="00113B8B">
                <w:pPr>
                  <w:pStyle w:val="Referentiegegevenskop"/>
                </w:pPr>
                <w:r>
                  <w:t>Uw kenmerk</w:t>
                </w:r>
              </w:p>
              <w:p w14:paraId="3C2C40DE" w14:textId="76DB6EFA" w:rsidR="00113B8B" w:rsidRDefault="00113B8B" w:rsidP="00113B8B">
                <w:pPr>
                  <w:pStyle w:val="Referentiegegevens"/>
                </w:pPr>
                <w:r w:rsidRPr="00113B8B">
                  <w:t>2025Z07625</w:t>
                </w:r>
              </w:p>
              <w:p w14:paraId="08C16B01" w14:textId="77777777" w:rsidR="00113B8B" w:rsidRDefault="00113B8B" w:rsidP="00113B8B">
                <w:pPr>
                  <w:pStyle w:val="WitregelW1"/>
                </w:pPr>
              </w:p>
              <w:p w14:paraId="7F32BD7B" w14:textId="77777777" w:rsidR="00113B8B" w:rsidRDefault="00113B8B" w:rsidP="00113B8B">
                <w:pPr>
                  <w:pStyle w:val="Referentiegegevenskop"/>
                </w:pPr>
                <w:r>
                  <w:t>Bijlage(n)</w:t>
                </w:r>
              </w:p>
              <w:p w14:paraId="589C19C2" w14:textId="055A74E1" w:rsidR="00113B8B" w:rsidRDefault="003163F3" w:rsidP="00113B8B">
                <w:pPr>
                  <w:pStyle w:val="Referentiegegevens"/>
                </w:pPr>
                <w:r>
                  <w:t>1</w:t>
                </w:r>
              </w:p>
              <w:p w14:paraId="50855648" w14:textId="441AFB51" w:rsidR="00113B8B" w:rsidRPr="00113B8B" w:rsidRDefault="00113B8B" w:rsidP="00113B8B">
                <w:pPr>
                  <w:pStyle w:val="AfzendgegevensKop0"/>
                </w:pPr>
              </w:p>
            </w:txbxContent>
          </v:textbox>
          <w10:wrap anchorx="page" anchory="page"/>
          <w10:anchorlock/>
        </v:shape>
      </w:pict>
    </w:r>
    <w:r>
      <w:pict w14:anchorId="0E2EF38E">
        <v:shap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9AE42EF" w14:textId="77777777" w:rsidR="00537A29" w:rsidRDefault="003163F3">
                <w:pPr>
                  <w:spacing w:line="240" w:lineRule="auto"/>
                </w:pPr>
                <w:r>
                  <w:rPr>
                    <w:noProof/>
                    <w:lang w:val="en-GB" w:eastAsia="en-GB"/>
                  </w:rPr>
                  <w:drawing>
                    <wp:inline distT="0" distB="0" distL="0" distR="0" wp14:anchorId="7656053B" wp14:editId="5D13B200">
                      <wp:extent cx="467999" cy="1583861"/>
                      <wp:effectExtent l="0" t="0" r="0" b="0"/>
                      <wp:docPr id="9" name="Rijkslint"/>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3A423A6B">
        <v:shap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04EC573" w14:textId="77777777" w:rsidR="00537A29" w:rsidRDefault="003163F3">
                <w:pPr>
                  <w:spacing w:line="240" w:lineRule="auto"/>
                </w:pPr>
                <w:r>
                  <w:rPr>
                    <w:noProof/>
                    <w:lang w:val="en-GB" w:eastAsia="en-GB"/>
                  </w:rPr>
                  <w:drawing>
                    <wp:inline distT="0" distB="0" distL="0" distR="0" wp14:anchorId="57A096B8" wp14:editId="46C30030">
                      <wp:extent cx="2339968" cy="1582828"/>
                      <wp:effectExtent l="0" t="0" r="0" b="0"/>
                      <wp:docPr id="11" name="IENM_Brief_aan_Parlemen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19C7FEAE">
        <v:shap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FC1274F" w14:textId="77777777" w:rsidR="00537A29" w:rsidRDefault="003163F3">
                <w:pPr>
                  <w:pStyle w:val="Referentiegegevens"/>
                </w:pPr>
                <w:r>
                  <w:t>&gt; Retouradres Postbus 20901 2500 EX  Den Haag</w:t>
                </w:r>
              </w:p>
            </w:txbxContent>
          </v:textbox>
          <w10:wrap anchorx="page" anchory="page"/>
          <w10:anchorlock/>
        </v:shape>
      </w:pict>
    </w:r>
    <w:r>
      <w:pict w14:anchorId="28820A97">
        <v:shap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AAC4711" w14:textId="77777777" w:rsidR="003D3776" w:rsidRDefault="003D3776" w:rsidP="003D3776">
                <w:r w:rsidRPr="003D3776">
                  <w:t xml:space="preserve">De voorzitter van de Tweede Kamer </w:t>
                </w:r>
              </w:p>
              <w:p w14:paraId="79D60759" w14:textId="77777777" w:rsidR="003D3776" w:rsidRDefault="003D3776" w:rsidP="003D3776">
                <w:r w:rsidRPr="003D3776">
                  <w:t xml:space="preserve">der Staten-Generaal </w:t>
                </w:r>
              </w:p>
              <w:p w14:paraId="36125730" w14:textId="77777777" w:rsidR="003D3776" w:rsidRDefault="003D3776" w:rsidP="003D3776">
                <w:r w:rsidRPr="003D3776">
                  <w:t xml:space="preserve">Postbus 20018 </w:t>
                </w:r>
              </w:p>
              <w:p w14:paraId="3C8427A3" w14:textId="4196178D" w:rsidR="00537A29" w:rsidRDefault="003D3776" w:rsidP="003D3776">
                <w:r w:rsidRPr="003D3776">
                  <w:t>2500 EA DEN HAAG</w:t>
                </w:r>
              </w:p>
            </w:txbxContent>
          </v:textbox>
          <w10:wrap anchorx="page" anchory="page"/>
          <w10:anchorlock/>
        </v:shape>
      </w:pict>
    </w:r>
    <w:r>
      <w:pict w14:anchorId="1FDD113C">
        <v:shape id="7266255e-823c-11ee-8554-0242ac120003" o:spid="_x0000_s1037" type="#_x0000_t202" style="position:absolute;margin-left:79.5pt;margin-top:246pt;width:340.5pt;height:74.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filled="f" stroked="f">
          <v:textbox inset="0,0,0,0">
            <w:txbxContent>
              <w:tbl>
                <w:tblPr>
                  <w:tblW w:w="0" w:type="auto"/>
                  <w:tblLayout w:type="fixed"/>
                  <w:tblLook w:val="07E0" w:firstRow="1" w:lastRow="1" w:firstColumn="1" w:lastColumn="1" w:noHBand="1" w:noVBand="1"/>
                </w:tblPr>
                <w:tblGrid>
                  <w:gridCol w:w="1140"/>
                  <w:gridCol w:w="5400"/>
                </w:tblGrid>
                <w:tr w:rsidR="00537A29" w14:paraId="1C835DBA" w14:textId="77777777">
                  <w:trPr>
                    <w:trHeight w:val="200"/>
                  </w:trPr>
                  <w:tc>
                    <w:tcPr>
                      <w:tcW w:w="1140" w:type="dxa"/>
                    </w:tcPr>
                    <w:p w14:paraId="2B782E5E" w14:textId="77777777" w:rsidR="00537A29" w:rsidRDefault="00537A29"/>
                  </w:tc>
                  <w:tc>
                    <w:tcPr>
                      <w:tcW w:w="5400" w:type="dxa"/>
                    </w:tcPr>
                    <w:p w14:paraId="3C978984" w14:textId="77777777" w:rsidR="00537A29" w:rsidRDefault="00537A29"/>
                  </w:tc>
                </w:tr>
                <w:tr w:rsidR="00537A29" w14:paraId="3B4BED08" w14:textId="77777777">
                  <w:trPr>
                    <w:trHeight w:val="240"/>
                  </w:trPr>
                  <w:tc>
                    <w:tcPr>
                      <w:tcW w:w="1140" w:type="dxa"/>
                    </w:tcPr>
                    <w:p w14:paraId="76AF7B10" w14:textId="77777777" w:rsidR="00537A29" w:rsidRDefault="003163F3">
                      <w:r>
                        <w:t>Datum</w:t>
                      </w:r>
                    </w:p>
                  </w:tc>
                  <w:tc>
                    <w:tcPr>
                      <w:tcW w:w="5400" w:type="dxa"/>
                    </w:tcPr>
                    <w:p w14:paraId="4511147E" w14:textId="42A24DA3" w:rsidR="00537A29" w:rsidRDefault="002050E5">
                      <w:r>
                        <w:t>19 mei 2025</w:t>
                      </w:r>
                    </w:p>
                  </w:tc>
                </w:tr>
                <w:tr w:rsidR="00537A29" w14:paraId="36D52F75" w14:textId="77777777">
                  <w:trPr>
                    <w:trHeight w:val="240"/>
                  </w:trPr>
                  <w:tc>
                    <w:tcPr>
                      <w:tcW w:w="1140" w:type="dxa"/>
                    </w:tcPr>
                    <w:p w14:paraId="6AD11BC7" w14:textId="77777777" w:rsidR="00537A29" w:rsidRDefault="003163F3">
                      <w:r>
                        <w:t>Betreft</w:t>
                      </w:r>
                    </w:p>
                  </w:tc>
                  <w:tc>
                    <w:tcPr>
                      <w:tcW w:w="5400" w:type="dxa"/>
                    </w:tcPr>
                    <w:p w14:paraId="73239342" w14:textId="77777777" w:rsidR="00537A29" w:rsidRDefault="003163F3">
                      <w:r>
                        <w:t>Beantwoording Kamervragen van de leden Postma (NSC) en Grinwis (CU) over het meerekenen van autonome vlootvernieuwing in de balanced approach-procedure</w:t>
                      </w:r>
                    </w:p>
                  </w:tc>
                </w:tr>
                <w:tr w:rsidR="00537A29" w14:paraId="53F8225D" w14:textId="77777777">
                  <w:trPr>
                    <w:trHeight w:val="200"/>
                  </w:trPr>
                  <w:tc>
                    <w:tcPr>
                      <w:tcW w:w="1140" w:type="dxa"/>
                    </w:tcPr>
                    <w:p w14:paraId="2B8A654F" w14:textId="77777777" w:rsidR="00537A29" w:rsidRDefault="00537A29"/>
                  </w:tc>
                  <w:tc>
                    <w:tcPr>
                      <w:tcW w:w="5400" w:type="dxa"/>
                    </w:tcPr>
                    <w:p w14:paraId="775D5E50" w14:textId="77777777" w:rsidR="00537A29" w:rsidRDefault="00537A29"/>
                  </w:tc>
                </w:tr>
              </w:tbl>
              <w:p w14:paraId="714B3B00" w14:textId="77777777" w:rsidR="00537A29" w:rsidRDefault="00537A29"/>
            </w:txbxContent>
          </v:textbox>
          <w10:wrap anchorx="page" anchory="page"/>
          <w10:anchorlock/>
        </v:shape>
      </w:pict>
    </w:r>
    <w:r>
      <w:pict w14:anchorId="7EEADE1F">
        <v:shap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D51B389" w14:textId="77777777" w:rsidR="00537A29" w:rsidRDefault="00537A29"/>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9A2D09"/>
    <w:multiLevelType w:val="multilevel"/>
    <w:tmpl w:val="D7DE49F8"/>
    <w:name w:val="NEa memo bestuur opsomming"/>
    <w:lvl w:ilvl="0">
      <w:start w:val="1"/>
      <w:numFmt w:val="bullet"/>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3E889A"/>
    <w:multiLevelType w:val="multilevel"/>
    <w:tmpl w:val="8468203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B9A08D"/>
    <w:multiLevelType w:val="multilevel"/>
    <w:tmpl w:val="F2B2652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90EA19"/>
    <w:multiLevelType w:val="multilevel"/>
    <w:tmpl w:val="FA22CA0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F6DEBF"/>
    <w:multiLevelType w:val="multilevel"/>
    <w:tmpl w:val="F2E546C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FEE92CF"/>
    <w:multiLevelType w:val="multilevel"/>
    <w:tmpl w:val="2B0EF1C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B3E5E4DB"/>
    <w:multiLevelType w:val="multilevel"/>
    <w:tmpl w:val="4D85219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479AEB4"/>
    <w:multiLevelType w:val="multilevel"/>
    <w:tmpl w:val="C3A97D4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4DAB7E6"/>
    <w:multiLevelType w:val="multilevel"/>
    <w:tmpl w:val="CAF1E5F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72A00CD"/>
    <w:multiLevelType w:val="multilevel"/>
    <w:tmpl w:val="012E526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3CE1E2E"/>
    <w:multiLevelType w:val="multilevel"/>
    <w:tmpl w:val="C22FB2D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B3B4EAF"/>
    <w:multiLevelType w:val="multilevel"/>
    <w:tmpl w:val="C91D2EE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4A609D4"/>
    <w:multiLevelType w:val="multilevel"/>
    <w:tmpl w:val="8D177E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E9E20956"/>
    <w:multiLevelType w:val="multilevel"/>
    <w:tmpl w:val="456D9D0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265526"/>
    <w:multiLevelType w:val="multilevel"/>
    <w:tmpl w:val="5F23693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8B4668"/>
    <w:multiLevelType w:val="multilevel"/>
    <w:tmpl w:val="D50631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08DD82"/>
    <w:multiLevelType w:val="multilevel"/>
    <w:tmpl w:val="CAA9D27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AF8609"/>
    <w:multiLevelType w:val="multilevel"/>
    <w:tmpl w:val="4BF41CF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29E4DD"/>
    <w:multiLevelType w:val="multilevel"/>
    <w:tmpl w:val="A2CD7F1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EF797D"/>
    <w:multiLevelType w:val="hybridMultilevel"/>
    <w:tmpl w:val="30F46CE0"/>
    <w:lvl w:ilvl="0" w:tplc="0413000F">
      <w:start w:val="6"/>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5CEC6806"/>
    <w:multiLevelType w:val="multilevel"/>
    <w:tmpl w:val="6BAF8CF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4A5D90"/>
    <w:multiLevelType w:val="multilevel"/>
    <w:tmpl w:val="B1AF895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6FFE56"/>
    <w:multiLevelType w:val="multilevel"/>
    <w:tmpl w:val="2DE915D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982C18"/>
    <w:multiLevelType w:val="multilevel"/>
    <w:tmpl w:val="08ED4BE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FE1E73"/>
    <w:multiLevelType w:val="multilevel"/>
    <w:tmpl w:val="A3A2E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23"/>
  </w:num>
  <w:num w:numId="3">
    <w:abstractNumId w:val="6"/>
  </w:num>
  <w:num w:numId="4">
    <w:abstractNumId w:val="17"/>
  </w:num>
  <w:num w:numId="5">
    <w:abstractNumId w:val="5"/>
  </w:num>
  <w:num w:numId="6">
    <w:abstractNumId w:val="8"/>
  </w:num>
  <w:num w:numId="7">
    <w:abstractNumId w:val="1"/>
  </w:num>
  <w:num w:numId="8">
    <w:abstractNumId w:val="2"/>
  </w:num>
  <w:num w:numId="9">
    <w:abstractNumId w:val="16"/>
  </w:num>
  <w:num w:numId="10">
    <w:abstractNumId w:val="13"/>
  </w:num>
  <w:num w:numId="11">
    <w:abstractNumId w:val="20"/>
  </w:num>
  <w:num w:numId="12">
    <w:abstractNumId w:val="12"/>
  </w:num>
  <w:num w:numId="13">
    <w:abstractNumId w:val="0"/>
  </w:num>
  <w:num w:numId="14">
    <w:abstractNumId w:val="18"/>
  </w:num>
  <w:num w:numId="15">
    <w:abstractNumId w:val="9"/>
  </w:num>
  <w:num w:numId="16">
    <w:abstractNumId w:val="10"/>
  </w:num>
  <w:num w:numId="17">
    <w:abstractNumId w:val="21"/>
  </w:num>
  <w:num w:numId="18">
    <w:abstractNumId w:val="4"/>
  </w:num>
  <w:num w:numId="19">
    <w:abstractNumId w:val="11"/>
  </w:num>
  <w:num w:numId="20">
    <w:abstractNumId w:val="3"/>
  </w:num>
  <w:num w:numId="21">
    <w:abstractNumId w:val="22"/>
  </w:num>
  <w:num w:numId="22">
    <w:abstractNumId w:val="15"/>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D04"/>
    <w:rsid w:val="000318C0"/>
    <w:rsid w:val="00035D39"/>
    <w:rsid w:val="0007483B"/>
    <w:rsid w:val="00113B8B"/>
    <w:rsid w:val="00164A78"/>
    <w:rsid w:val="001813FA"/>
    <w:rsid w:val="00196C08"/>
    <w:rsid w:val="001A1261"/>
    <w:rsid w:val="001C56DE"/>
    <w:rsid w:val="001D19B6"/>
    <w:rsid w:val="001D4D42"/>
    <w:rsid w:val="001E5EFB"/>
    <w:rsid w:val="001F681D"/>
    <w:rsid w:val="002033ED"/>
    <w:rsid w:val="002050E5"/>
    <w:rsid w:val="002307F4"/>
    <w:rsid w:val="002322C8"/>
    <w:rsid w:val="00254E25"/>
    <w:rsid w:val="00262262"/>
    <w:rsid w:val="002713FE"/>
    <w:rsid w:val="002E5ECB"/>
    <w:rsid w:val="002F7849"/>
    <w:rsid w:val="003151C9"/>
    <w:rsid w:val="003163F3"/>
    <w:rsid w:val="00376C26"/>
    <w:rsid w:val="00376EC6"/>
    <w:rsid w:val="00380599"/>
    <w:rsid w:val="00381A89"/>
    <w:rsid w:val="00393528"/>
    <w:rsid w:val="003A73CB"/>
    <w:rsid w:val="003B4AE4"/>
    <w:rsid w:val="003D3776"/>
    <w:rsid w:val="003F1D91"/>
    <w:rsid w:val="00427786"/>
    <w:rsid w:val="00443572"/>
    <w:rsid w:val="00462C10"/>
    <w:rsid w:val="0046364F"/>
    <w:rsid w:val="00477D62"/>
    <w:rsid w:val="00486B78"/>
    <w:rsid w:val="004D042A"/>
    <w:rsid w:val="004F1FDC"/>
    <w:rsid w:val="00537A29"/>
    <w:rsid w:val="00546203"/>
    <w:rsid w:val="00554318"/>
    <w:rsid w:val="00582172"/>
    <w:rsid w:val="005966E4"/>
    <w:rsid w:val="005A1C35"/>
    <w:rsid w:val="005A2C18"/>
    <w:rsid w:val="005F6CC3"/>
    <w:rsid w:val="0063573E"/>
    <w:rsid w:val="00656651"/>
    <w:rsid w:val="006945F5"/>
    <w:rsid w:val="00695055"/>
    <w:rsid w:val="006977F1"/>
    <w:rsid w:val="006B1BA0"/>
    <w:rsid w:val="006D1058"/>
    <w:rsid w:val="006F4FAA"/>
    <w:rsid w:val="00724A08"/>
    <w:rsid w:val="00757BFC"/>
    <w:rsid w:val="00797145"/>
    <w:rsid w:val="007E42F4"/>
    <w:rsid w:val="007F1298"/>
    <w:rsid w:val="00823B2E"/>
    <w:rsid w:val="00826C90"/>
    <w:rsid w:val="00836435"/>
    <w:rsid w:val="00877DD2"/>
    <w:rsid w:val="0088677B"/>
    <w:rsid w:val="008C2C1F"/>
    <w:rsid w:val="008C64AD"/>
    <w:rsid w:val="008E36D9"/>
    <w:rsid w:val="008E473B"/>
    <w:rsid w:val="008F0034"/>
    <w:rsid w:val="009015D6"/>
    <w:rsid w:val="00957117"/>
    <w:rsid w:val="00984A0B"/>
    <w:rsid w:val="009E5D3A"/>
    <w:rsid w:val="00A13607"/>
    <w:rsid w:val="00A50E3A"/>
    <w:rsid w:val="00A534EA"/>
    <w:rsid w:val="00A80F05"/>
    <w:rsid w:val="00AB0386"/>
    <w:rsid w:val="00AB742D"/>
    <w:rsid w:val="00AD787B"/>
    <w:rsid w:val="00AE1B8F"/>
    <w:rsid w:val="00B54FFC"/>
    <w:rsid w:val="00B71AFD"/>
    <w:rsid w:val="00B8513B"/>
    <w:rsid w:val="00B958DA"/>
    <w:rsid w:val="00BA3868"/>
    <w:rsid w:val="00BA3E95"/>
    <w:rsid w:val="00C33A3A"/>
    <w:rsid w:val="00C539C9"/>
    <w:rsid w:val="00CA2AA5"/>
    <w:rsid w:val="00D30A3E"/>
    <w:rsid w:val="00D3487F"/>
    <w:rsid w:val="00D369D1"/>
    <w:rsid w:val="00DB69C2"/>
    <w:rsid w:val="00DE130A"/>
    <w:rsid w:val="00E27289"/>
    <w:rsid w:val="00E47A43"/>
    <w:rsid w:val="00E5395C"/>
    <w:rsid w:val="00E66920"/>
    <w:rsid w:val="00ED4D04"/>
    <w:rsid w:val="00F034D5"/>
    <w:rsid w:val="00F235C0"/>
    <w:rsid w:val="00F941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3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D4D04"/>
    <w:pPr>
      <w:tabs>
        <w:tab w:val="center" w:pos="4536"/>
        <w:tab w:val="right" w:pos="9072"/>
      </w:tabs>
      <w:spacing w:line="240" w:lineRule="auto"/>
    </w:pPr>
  </w:style>
  <w:style w:type="character" w:customStyle="1" w:styleId="HeaderChar">
    <w:name w:val="Header Char"/>
    <w:basedOn w:val="DefaultParagraphFont"/>
    <w:link w:val="Header"/>
    <w:uiPriority w:val="99"/>
    <w:rsid w:val="00ED4D04"/>
    <w:rPr>
      <w:rFonts w:ascii="Verdana" w:hAnsi="Verdana"/>
      <w:color w:val="000000"/>
      <w:sz w:val="18"/>
      <w:szCs w:val="18"/>
    </w:rPr>
  </w:style>
  <w:style w:type="paragraph" w:styleId="Footer">
    <w:name w:val="footer"/>
    <w:basedOn w:val="Normal"/>
    <w:link w:val="FooterChar"/>
    <w:uiPriority w:val="99"/>
    <w:unhideWhenUsed/>
    <w:rsid w:val="00ED4D04"/>
    <w:pPr>
      <w:tabs>
        <w:tab w:val="center" w:pos="4536"/>
        <w:tab w:val="right" w:pos="9072"/>
      </w:tabs>
      <w:spacing w:line="240" w:lineRule="auto"/>
    </w:pPr>
  </w:style>
  <w:style w:type="character" w:customStyle="1" w:styleId="FooterChar">
    <w:name w:val="Footer Char"/>
    <w:basedOn w:val="DefaultParagraphFont"/>
    <w:link w:val="Footer"/>
    <w:uiPriority w:val="99"/>
    <w:rsid w:val="00ED4D04"/>
    <w:rPr>
      <w:rFonts w:ascii="Verdana" w:hAnsi="Verdana"/>
      <w:color w:val="000000"/>
      <w:sz w:val="18"/>
      <w:szCs w:val="18"/>
    </w:rPr>
  </w:style>
  <w:style w:type="paragraph" w:styleId="Revision">
    <w:name w:val="Revision"/>
    <w:hidden/>
    <w:uiPriority w:val="99"/>
    <w:semiHidden/>
    <w:rsid w:val="002E5EC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F4FAA"/>
    <w:rPr>
      <w:sz w:val="16"/>
      <w:szCs w:val="16"/>
    </w:rPr>
  </w:style>
  <w:style w:type="paragraph" w:styleId="CommentText">
    <w:name w:val="annotation text"/>
    <w:basedOn w:val="Normal"/>
    <w:link w:val="CommentTextChar"/>
    <w:uiPriority w:val="99"/>
    <w:unhideWhenUsed/>
    <w:rsid w:val="006F4FAA"/>
    <w:pPr>
      <w:spacing w:line="240" w:lineRule="auto"/>
    </w:pPr>
    <w:rPr>
      <w:sz w:val="20"/>
      <w:szCs w:val="20"/>
    </w:rPr>
  </w:style>
  <w:style w:type="character" w:customStyle="1" w:styleId="CommentTextChar">
    <w:name w:val="Comment Text Char"/>
    <w:basedOn w:val="DefaultParagraphFont"/>
    <w:link w:val="CommentText"/>
    <w:uiPriority w:val="99"/>
    <w:rsid w:val="006F4FA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F4FAA"/>
    <w:rPr>
      <w:b/>
      <w:bCs/>
    </w:rPr>
  </w:style>
  <w:style w:type="character" w:customStyle="1" w:styleId="CommentSubjectChar">
    <w:name w:val="Comment Subject Char"/>
    <w:basedOn w:val="CommentTextChar"/>
    <w:link w:val="CommentSubject"/>
    <w:uiPriority w:val="99"/>
    <w:semiHidden/>
    <w:rsid w:val="006F4FAA"/>
    <w:rPr>
      <w:rFonts w:ascii="Verdana" w:hAnsi="Verdana"/>
      <w:b/>
      <w:bCs/>
      <w:color w:val="000000"/>
    </w:rPr>
  </w:style>
  <w:style w:type="paragraph" w:styleId="FootnoteText">
    <w:name w:val="footnote text"/>
    <w:basedOn w:val="Normal"/>
    <w:link w:val="FootnoteTextChar"/>
    <w:uiPriority w:val="99"/>
    <w:semiHidden/>
    <w:unhideWhenUsed/>
    <w:rsid w:val="00A50E3A"/>
    <w:pPr>
      <w:spacing w:line="240" w:lineRule="auto"/>
    </w:pPr>
    <w:rPr>
      <w:sz w:val="20"/>
      <w:szCs w:val="20"/>
    </w:rPr>
  </w:style>
  <w:style w:type="character" w:customStyle="1" w:styleId="FootnoteTextChar">
    <w:name w:val="Footnote Text Char"/>
    <w:basedOn w:val="DefaultParagraphFont"/>
    <w:link w:val="FootnoteText"/>
    <w:uiPriority w:val="99"/>
    <w:semiHidden/>
    <w:rsid w:val="00A50E3A"/>
    <w:rPr>
      <w:rFonts w:ascii="Verdana" w:hAnsi="Verdana"/>
      <w:color w:val="000000"/>
    </w:rPr>
  </w:style>
  <w:style w:type="character" w:styleId="FootnoteReference">
    <w:name w:val="footnote reference"/>
    <w:basedOn w:val="DefaultParagraphFont"/>
    <w:uiPriority w:val="99"/>
    <w:semiHidden/>
    <w:unhideWhenUsed/>
    <w:rsid w:val="00A50E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872099">
      <w:bodyDiv w:val="1"/>
      <w:marLeft w:val="0"/>
      <w:marRight w:val="0"/>
      <w:marTop w:val="0"/>
      <w:marBottom w:val="0"/>
      <w:divBdr>
        <w:top w:val="none" w:sz="0" w:space="0" w:color="auto"/>
        <w:left w:val="none" w:sz="0" w:space="0" w:color="auto"/>
        <w:bottom w:val="none" w:sz="0" w:space="0" w:color="auto"/>
        <w:right w:val="none" w:sz="0" w:space="0" w:color="auto"/>
      </w:divBdr>
    </w:div>
    <w:div w:id="1891453036">
      <w:bodyDiv w:val="1"/>
      <w:marLeft w:val="0"/>
      <w:marRight w:val="0"/>
      <w:marTop w:val="0"/>
      <w:marBottom w:val="0"/>
      <w:divBdr>
        <w:top w:val="none" w:sz="0" w:space="0" w:color="auto"/>
        <w:left w:val="none" w:sz="0" w:space="0" w:color="auto"/>
        <w:bottom w:val="none" w:sz="0" w:space="0" w:color="auto"/>
        <w:right w:val="none" w:sz="0" w:space="0" w:color="auto"/>
      </w:divBdr>
    </w:div>
    <w:div w:id="1912304618">
      <w:bodyDiv w:val="1"/>
      <w:marLeft w:val="0"/>
      <w:marRight w:val="0"/>
      <w:marTop w:val="0"/>
      <w:marBottom w:val="0"/>
      <w:divBdr>
        <w:top w:val="none" w:sz="0" w:space="0" w:color="auto"/>
        <w:left w:val="none" w:sz="0" w:space="0" w:color="auto"/>
        <w:bottom w:val="none" w:sz="0" w:space="0" w:color="auto"/>
        <w:right w:val="none" w:sz="0" w:space="0" w:color="auto"/>
      </w:divBdr>
    </w:div>
    <w:div w:id="195581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1032</ap:Words>
  <ap:Characters>5886</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meerekenen van autonome vlootvernieuwing in de balanced approach-procedure</vt:lpstr>
    </vt:vector>
  </ap:TitlesOfParts>
  <ap:LinksUpToDate>false</ap:LinksUpToDate>
  <ap:CharactersWithSpaces>6905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2025-05-19T14:28:00.0000000Z</dcterms:created>
  <dcterms:modified xsi:type="dcterms:W3CDTF">2025-05-19T14:28:00.0000000Z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het meerekenen van autonome vlootvernieuwing in de balanced approach-procedure</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K. Vonk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