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536C4" w14:paraId="25A6D23E" w14:textId="77777777"/>
    <w:p w:rsidR="007C0B56" w:rsidP="00CF161D" w14:paraId="0BDC5BB5" w14:textId="77777777">
      <w:pPr>
        <w:contextualSpacing/>
      </w:pPr>
      <w:bookmarkStart w:name="_Hlk193707482" w:id="0"/>
      <w:r>
        <w:t xml:space="preserve">Mede namens de staatssecretaris Herstel Groningen </w:t>
      </w:r>
      <w:r w:rsidR="008404B2">
        <w:t>informeer ik de Kamer over voorstellen</w:t>
      </w:r>
      <w:r w:rsidR="009C0E19">
        <w:t xml:space="preserve"> met nieuwe financiele gevolgen </w:t>
      </w:r>
      <w:r w:rsidRPr="009C0E19" w:rsidR="009C0E19">
        <w:t>(€ 20 miljoen of meer in enig jaar)</w:t>
      </w:r>
      <w:r w:rsidR="009C0E19">
        <w:t xml:space="preserve"> die zijn opgenomen in de 1</w:t>
      </w:r>
      <w:r w:rsidRPr="009C0E19" w:rsidR="009C0E19">
        <w:rPr>
          <w:vertAlign w:val="superscript"/>
        </w:rPr>
        <w:t>e</w:t>
      </w:r>
      <w:r w:rsidR="009C0E19">
        <w:t xml:space="preserve"> </w:t>
      </w:r>
      <w:r>
        <w:t>suppletoire begroting 2025 van</w:t>
      </w:r>
      <w:r w:rsidR="008404B2">
        <w:t xml:space="preserve"> </w:t>
      </w:r>
      <w:r w:rsidR="009C0E19">
        <w:t xml:space="preserve">Begrotingshoofdstuk XXII Volkshuisvesting en Ruimtelijke Ordening. </w:t>
      </w:r>
      <w:r w:rsidRPr="009C0E19" w:rsidR="009C0E19">
        <w:t>Hier wordt conform wetsartikel 3.1 van de Comptabiliteitswet 2016 per voorstel ingegaan op doelen, instrumenten, financiële gevolgen, verwachte doeltreffendheid en doelmatigheid en voorgenomen monitoring en evaluatie. Sinds eind 2021 gebeurt dit Rijksbreed via de werkwijze “Beleidskeuzes uitgelegd”, zie Kamerstuk 31865, nr. 198.</w:t>
      </w:r>
    </w:p>
    <w:p w:rsidR="009C0E19" w:rsidP="009C0E19" w14:paraId="1FB6F7A9" w14:textId="77777777">
      <w:pPr>
        <w:contextualSpacing/>
      </w:pPr>
    </w:p>
    <w:p w:rsidR="009C0E19" w:rsidP="009C0E19" w14:paraId="4947DE1E" w14:textId="77777777">
      <w:pPr>
        <w:contextualSpacing/>
      </w:pPr>
      <w:r>
        <w:t xml:space="preserve">In deze brief zijn drie voorstellen opgenomen: </w:t>
      </w:r>
    </w:p>
    <w:bookmarkEnd w:id="0"/>
    <w:p w:rsidR="009C0E19" w:rsidP="007C0B56" w14:paraId="652108ED" w14:textId="77777777">
      <w:pPr>
        <w:contextualSpacing/>
        <w:rPr>
          <w:i/>
          <w:iCs/>
        </w:rPr>
      </w:pPr>
    </w:p>
    <w:p w:rsidR="00DA7AA7" w:rsidP="00DA7AA7" w14:paraId="3F6058BE" w14:textId="77777777">
      <w:pPr>
        <w:pStyle w:val="ListParagraph"/>
        <w:numPr>
          <w:ilvl w:val="0"/>
          <w:numId w:val="6"/>
        </w:numPr>
      </w:pPr>
      <w:r>
        <w:t>Verduurzamingsaanpak Nij Begun</w:t>
      </w:r>
      <w:r w:rsidR="009B77C9">
        <w:t xml:space="preserve"> </w:t>
      </w:r>
    </w:p>
    <w:p w:rsidRPr="007E72F0" w:rsidR="00B16383" w:rsidP="007E72F0" w14:paraId="6E395965" w14:textId="77777777">
      <w:pPr>
        <w:pStyle w:val="ListParagraph"/>
        <w:numPr>
          <w:ilvl w:val="0"/>
          <w:numId w:val="6"/>
        </w:numPr>
      </w:pPr>
      <w:r>
        <w:t>Invoeringskosten Omgevingswet</w:t>
      </w:r>
    </w:p>
    <w:p w:rsidRPr="009C0E19" w:rsidR="001C19AE" w:rsidP="00DA7AA7" w14:paraId="292778DF" w14:textId="77777777">
      <w:pPr>
        <w:pStyle w:val="ListParagraph"/>
        <w:numPr>
          <w:ilvl w:val="0"/>
          <w:numId w:val="6"/>
        </w:numPr>
      </w:pPr>
      <w:r w:rsidRPr="009C0E19">
        <w:t>Boodschappenbonus door v</w:t>
      </w:r>
      <w:r w:rsidRPr="009C0E19">
        <w:t>erhoging huurtoeslag</w:t>
      </w:r>
    </w:p>
    <w:p w:rsidR="009D55D2" w:rsidP="007C0B56" w14:paraId="6A54BC2E" w14:textId="77777777">
      <w:pPr>
        <w:contextualSpacing/>
      </w:pPr>
    </w:p>
    <w:p w:rsidR="00FE1344" w:rsidP="007C0B56" w14:paraId="4FC42141" w14:textId="77777777">
      <w:pPr>
        <w:contextualSpacing/>
      </w:pPr>
    </w:p>
    <w:p w:rsidR="009D55D2" w:rsidP="007C0B56" w14:paraId="323C8DB6" w14:textId="77777777">
      <w:pPr>
        <w:contextualSpacing/>
      </w:pPr>
    </w:p>
    <w:p w:rsidR="009D55D2" w:rsidP="007C0B56" w14:paraId="58154373" w14:textId="77777777">
      <w:pPr>
        <w:contextualSpacing/>
      </w:pPr>
    </w:p>
    <w:p w:rsidR="009D55D2" w:rsidP="007C0B56" w14:paraId="42C985CB" w14:textId="77777777">
      <w:pPr>
        <w:contextualSpacing/>
      </w:pPr>
    </w:p>
    <w:p w:rsidR="00DA7AA7" w:rsidP="007C0B56" w14:paraId="481E8F9E" w14:textId="77777777">
      <w:pPr>
        <w:contextualSpacing/>
      </w:pPr>
    </w:p>
    <w:p w:rsidR="00DA7AA7" w:rsidP="007C0B56" w14:paraId="57787631" w14:textId="77777777">
      <w:pPr>
        <w:contextualSpacing/>
      </w:pPr>
    </w:p>
    <w:p w:rsidR="009D55D2" w:rsidP="007C0B56" w14:paraId="435B0ED1" w14:textId="77777777">
      <w:pPr>
        <w:contextualSpacing/>
      </w:pPr>
    </w:p>
    <w:p w:rsidR="009D55D2" w:rsidP="007C0B56" w14:paraId="175439AD" w14:textId="77777777">
      <w:pPr>
        <w:contextualSpacing/>
      </w:pPr>
    </w:p>
    <w:p w:rsidR="009D55D2" w:rsidP="007C0B56" w14:paraId="15355BD8" w14:textId="77777777">
      <w:pPr>
        <w:contextualSpacing/>
      </w:pPr>
    </w:p>
    <w:p w:rsidR="009C0E19" w:rsidP="007C0B56" w14:paraId="3B113793" w14:textId="77777777">
      <w:pPr>
        <w:contextualSpacing/>
      </w:pPr>
    </w:p>
    <w:p w:rsidR="009D55D2" w:rsidP="007C0B56" w14:paraId="1E8DCE88" w14:textId="77777777">
      <w:pPr>
        <w:contextualSpacing/>
      </w:pPr>
    </w:p>
    <w:p w:rsidR="009D55D2" w:rsidP="007C0B56" w14:paraId="4138FFDD" w14:textId="77777777">
      <w:pPr>
        <w:contextualSpacing/>
      </w:pPr>
    </w:p>
    <w:p w:rsidR="00DA7AA7" w:rsidP="007C0B56" w14:paraId="42BC8D90" w14:textId="77777777">
      <w:pPr>
        <w:contextualSpacing/>
      </w:pPr>
    </w:p>
    <w:p w:rsidR="00DA7AA7" w:rsidP="007C0B56" w14:paraId="568FA3B4" w14:textId="77777777">
      <w:pPr>
        <w:contextualSpacing/>
      </w:pPr>
    </w:p>
    <w:p w:rsidR="00DA7AA7" w:rsidP="007C0B56" w14:paraId="5F881ACA" w14:textId="77777777">
      <w:pPr>
        <w:contextualSpacing/>
      </w:pPr>
    </w:p>
    <w:p w:rsidR="00DA7AA7" w:rsidP="007C0B56" w14:paraId="03788E87" w14:textId="77777777">
      <w:pPr>
        <w:contextualSpacing/>
      </w:pPr>
    </w:p>
    <w:p w:rsidR="00DA7AA7" w:rsidP="007C0B56" w14:paraId="43008E09" w14:textId="77777777">
      <w:pPr>
        <w:contextualSpacing/>
      </w:pPr>
    </w:p>
    <w:p w:rsidR="00DA7AA7" w:rsidP="007C0B56" w14:paraId="0755C391" w14:textId="77777777">
      <w:pPr>
        <w:contextualSpacing/>
      </w:pPr>
    </w:p>
    <w:p w:rsidR="007E72F0" w:rsidP="007C0B56" w14:paraId="003C526B" w14:textId="77777777">
      <w:pPr>
        <w:contextualSpacing/>
      </w:pPr>
    </w:p>
    <w:p w:rsidR="007E72F0" w:rsidP="007C0B56" w14:paraId="253283F3" w14:textId="77777777">
      <w:pPr>
        <w:contextualSpacing/>
      </w:pPr>
    </w:p>
    <w:p w:rsidR="009D55D2" w:rsidP="007C0B56" w14:paraId="1DFCDA25" w14:textId="77777777">
      <w:pPr>
        <w:contextualSpacing/>
      </w:pPr>
    </w:p>
    <w:p w:rsidR="009D55D2" w:rsidP="007C0B56" w14:paraId="08498FA4" w14:textId="77777777">
      <w:pPr>
        <w:contextualSpacing/>
      </w:pPr>
    </w:p>
    <w:p w:rsidR="000541DE" w:rsidP="007C0B56" w14:paraId="09184406" w14:textId="77777777">
      <w:pPr>
        <w:contextualSpacing/>
      </w:pPr>
    </w:p>
    <w:p w:rsidRPr="00FE1344" w:rsidR="009D55D2" w:rsidP="009D55D2" w14:paraId="02F64B90" w14:textId="77777777">
      <w:pPr>
        <w:pStyle w:val="ListParagraph"/>
        <w:numPr>
          <w:ilvl w:val="0"/>
          <w:numId w:val="8"/>
        </w:numPr>
        <w:rPr>
          <w:b/>
          <w:bCs/>
        </w:rPr>
      </w:pPr>
      <w:r w:rsidRPr="00DA7AA7">
        <w:rPr>
          <w:b/>
          <w:bCs/>
        </w:rPr>
        <w:t>Verduurzamingsaanpak Nij Begun</w:t>
      </w:r>
      <w:r w:rsidR="004C3AEE">
        <w:rPr>
          <w:b/>
          <w:bCs/>
        </w:rPr>
        <w:t xml:space="preserve"> (Maatregel 29)</w:t>
      </w:r>
    </w:p>
    <w:p w:rsidRPr="009D55D2" w:rsidR="009D55D2" w:rsidP="009D55D2" w14:paraId="3DBD7B53" w14:textId="77777777">
      <w:pPr>
        <w:contextualSpacing/>
      </w:pPr>
    </w:p>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259"/>
        <w:gridCol w:w="5277"/>
      </w:tblGrid>
      <w:tr w:rsidTr="00C24A97" w14:paraId="378336D2" w14:textId="77777777">
        <w:tblPrEx>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863"/>
        </w:trPr>
        <w:tc>
          <w:tcPr>
            <w:tcW w:w="0" w:type="auto"/>
            <w:gridSpan w:val="2"/>
            <w:tcBorders>
              <w:top w:val="single" w:color="FFFFFF" w:sz="4" w:space="0"/>
              <w:left w:val="nil"/>
              <w:bottom w:val="single" w:color="FFFFFF" w:sz="4" w:space="0"/>
              <w:right w:val="single" w:color="FFFFFF" w:sz="4" w:space="0"/>
            </w:tcBorders>
            <w:shd w:val="clear" w:color="auto" w:fill="DEEAF6"/>
            <w:vAlign w:val="center"/>
            <w:hideMark/>
          </w:tcPr>
          <w:p w:rsidRPr="009D55D2" w:rsidR="009D55D2" w:rsidP="009D55D2" w14:paraId="2930F8D8" w14:textId="77777777">
            <w:pPr>
              <w:contextualSpacing/>
              <w:rPr>
                <w:b/>
                <w:sz w:val="16"/>
                <w:szCs w:val="16"/>
              </w:rPr>
            </w:pPr>
            <w:r w:rsidRPr="009D55D2">
              <w:rPr>
                <w:b/>
                <w:sz w:val="16"/>
                <w:szCs w:val="16"/>
              </w:rPr>
              <w:t>Beleidskeuzes uitgelegd</w:t>
            </w:r>
            <w:r w:rsidRPr="009D55D2">
              <w:rPr>
                <w:sz w:val="16"/>
                <w:szCs w:val="16"/>
              </w:rPr>
              <w:t xml:space="preserve"> </w:t>
            </w:r>
          </w:p>
          <w:p w:rsidRPr="009D55D2" w:rsidR="009D55D2" w:rsidP="009D55D2" w14:paraId="56C75135" w14:textId="77777777">
            <w:pPr>
              <w:contextualSpacing/>
              <w:rPr>
                <w:sz w:val="16"/>
                <w:szCs w:val="16"/>
              </w:rPr>
            </w:pPr>
          </w:p>
        </w:tc>
      </w:tr>
      <w:tr w:rsidTr="00C24A97" w14:paraId="088E11D1" w14:textId="77777777">
        <w:tblPrEx>
          <w:tblW w:w="0" w:type="auto"/>
          <w:shd w:val="clear" w:color="auto" w:fill="DEEAF6"/>
          <w:tblLook w:val="01E0"/>
        </w:tblPrEx>
        <w:trPr>
          <w:trHeight w:val="741"/>
        </w:trPr>
        <w:tc>
          <w:tcPr>
            <w:tcW w:w="2835" w:type="dxa"/>
            <w:tcBorders>
              <w:top w:val="single" w:color="FFFFFF" w:sz="4" w:space="0"/>
              <w:left w:val="nil"/>
              <w:bottom w:val="single" w:color="FFFFFF" w:sz="4" w:space="0"/>
              <w:right w:val="single" w:color="FFFFFF" w:sz="4" w:space="0"/>
            </w:tcBorders>
            <w:shd w:val="clear" w:color="auto" w:fill="DEEAF6"/>
          </w:tcPr>
          <w:p w:rsidRPr="009D55D2" w:rsidR="007E72F0" w:rsidP="007E72F0" w14:paraId="3FDAE497" w14:textId="77777777">
            <w:pPr>
              <w:contextualSpacing/>
              <w:rPr>
                <w:b/>
                <w:sz w:val="16"/>
                <w:szCs w:val="16"/>
              </w:rPr>
            </w:pPr>
          </w:p>
          <w:p w:rsidRPr="009D55D2" w:rsidR="007E72F0" w:rsidP="00C24A97" w14:paraId="4B804793" w14:textId="77777777">
            <w:pPr>
              <w:contextualSpacing/>
              <w:rPr>
                <w:b/>
                <w:sz w:val="16"/>
                <w:szCs w:val="16"/>
              </w:rPr>
            </w:pPr>
            <w:r>
              <w:rPr>
                <w:b/>
                <w:sz w:val="16"/>
                <w:szCs w:val="16"/>
              </w:rPr>
              <w:t>1.</w:t>
            </w:r>
            <w:r w:rsidRPr="009D55D2">
              <w:rPr>
                <w:b/>
                <w:sz w:val="16"/>
                <w:szCs w:val="16"/>
              </w:rPr>
              <w:t xml:space="preserve">Doel(en) </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6475CD" w:rsidR="007E72F0" w:rsidP="007E72F0" w14:paraId="1346C0A0" w14:textId="77777777">
            <w:pPr>
              <w:rPr>
                <w:rFonts w:cs="Calibri"/>
                <w:sz w:val="16"/>
                <w:szCs w:val="20"/>
              </w:rPr>
            </w:pPr>
            <w:r w:rsidRPr="006475CD">
              <w:rPr>
                <w:rFonts w:cs="Calibri"/>
                <w:sz w:val="16"/>
                <w:szCs w:val="20"/>
              </w:rPr>
              <w:t>Het doel</w:t>
            </w:r>
            <w:r w:rsidR="004C3AEE">
              <w:rPr>
                <w:rFonts w:cs="Calibri"/>
                <w:sz w:val="16"/>
                <w:szCs w:val="20"/>
              </w:rPr>
              <w:t xml:space="preserve"> is</w:t>
            </w:r>
            <w:r>
              <w:rPr>
                <w:rFonts w:cs="Calibri"/>
                <w:sz w:val="16"/>
                <w:szCs w:val="20"/>
              </w:rPr>
              <w:t xml:space="preserve"> </w:t>
            </w:r>
            <w:r w:rsidRPr="006475CD">
              <w:rPr>
                <w:rFonts w:cs="Calibri"/>
                <w:sz w:val="16"/>
                <w:szCs w:val="20"/>
              </w:rPr>
              <w:t>om alle woningen</w:t>
            </w:r>
            <w:r w:rsidR="003F35BB">
              <w:rPr>
                <w:rFonts w:cs="Calibri"/>
                <w:sz w:val="16"/>
                <w:szCs w:val="20"/>
              </w:rPr>
              <w:t xml:space="preserve"> in de provincie Groningen en in drie gemeenten in Noord- Drenthe</w:t>
            </w:r>
            <w:r w:rsidRPr="006475CD">
              <w:rPr>
                <w:rFonts w:cs="Calibri"/>
                <w:sz w:val="16"/>
                <w:szCs w:val="20"/>
              </w:rPr>
              <w:t xml:space="preserve"> (zowel koop- als huurwoningen) te isoleren naar de standaard voor woningisolatie, zodat de woningen in 2035 wat betreft isolatie klaar zijn om van het aardgas af te gaan (aardgasvrijgereed)</w:t>
            </w:r>
            <w:r>
              <w:rPr>
                <w:rStyle w:val="FootnoteReference"/>
                <w:rFonts w:cs="Calibri"/>
                <w:sz w:val="16"/>
                <w:szCs w:val="20"/>
              </w:rPr>
              <w:footnoteReference w:id="2"/>
            </w:r>
            <w:r w:rsidRPr="006475CD">
              <w:rPr>
                <w:rFonts w:cs="Calibri"/>
                <w:sz w:val="16"/>
                <w:szCs w:val="20"/>
              </w:rPr>
              <w:t xml:space="preserve">. In de aanpak ligt de focus op ongeveer 305.000 woningen, zijnde de woningen die voor juli 2012 gebouwd zijn en nog niet aan de isolatiestandaard voldoen. </w:t>
            </w:r>
          </w:p>
          <w:p w:rsidRPr="009D55D2" w:rsidR="007E72F0" w:rsidP="007E72F0" w14:paraId="1C587505" w14:textId="77777777">
            <w:pPr>
              <w:contextualSpacing/>
              <w:rPr>
                <w:sz w:val="16"/>
                <w:szCs w:val="16"/>
              </w:rPr>
            </w:pPr>
          </w:p>
        </w:tc>
      </w:tr>
      <w:tr w:rsidTr="00C24A97" w14:paraId="1F3D8310" w14:textId="77777777">
        <w:tblPrEx>
          <w:tblW w:w="0" w:type="auto"/>
          <w:shd w:val="clear" w:color="auto" w:fill="DEEAF6"/>
          <w:tblLook w:val="01E0"/>
        </w:tblPrEx>
        <w:trPr>
          <w:trHeight w:val="565"/>
        </w:trPr>
        <w:tc>
          <w:tcPr>
            <w:tcW w:w="2835" w:type="dxa"/>
            <w:tcBorders>
              <w:top w:val="single" w:color="FFFFFF" w:sz="4" w:space="0"/>
              <w:left w:val="nil"/>
              <w:bottom w:val="single" w:color="FFFFFF" w:sz="4" w:space="0"/>
              <w:right w:val="single" w:color="FFFFFF" w:sz="4" w:space="0"/>
            </w:tcBorders>
            <w:shd w:val="clear" w:color="auto" w:fill="DEEAF6"/>
          </w:tcPr>
          <w:p w:rsidRPr="009D55D2" w:rsidR="007E72F0" w:rsidP="007E72F0" w14:paraId="4D4E3FF7" w14:textId="77777777">
            <w:pPr>
              <w:contextualSpacing/>
              <w:rPr>
                <w:b/>
                <w:sz w:val="16"/>
                <w:szCs w:val="16"/>
              </w:rPr>
            </w:pPr>
          </w:p>
          <w:p w:rsidRPr="00C24A97" w:rsidR="007E72F0" w:rsidP="00C24A97" w14:paraId="4DF8B3AE" w14:textId="77777777">
            <w:pPr>
              <w:contextualSpacing/>
              <w:rPr>
                <w:b/>
                <w:sz w:val="16"/>
                <w:szCs w:val="16"/>
              </w:rPr>
            </w:pPr>
            <w:r>
              <w:rPr>
                <w:b/>
                <w:sz w:val="16"/>
                <w:szCs w:val="16"/>
              </w:rPr>
              <w:t>2.</w:t>
            </w:r>
            <w:r w:rsidRPr="00C24A97">
              <w:rPr>
                <w:b/>
                <w:sz w:val="16"/>
                <w:szCs w:val="16"/>
              </w:rPr>
              <w:t>Beleidsinstrumen</w:t>
            </w:r>
            <w:r w:rsidRPr="00C24A97">
              <w:rPr>
                <w:b/>
                <w:sz w:val="16"/>
                <w:szCs w:val="16"/>
              </w:rPr>
              <w:t>te</w:t>
            </w:r>
            <w:r w:rsidRPr="00C24A97">
              <w:rPr>
                <w:b/>
                <w:sz w:val="16"/>
                <w:szCs w:val="16"/>
              </w:rPr>
              <w:t>n</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007E72F0" w:rsidP="007E72F0" w14:paraId="591208F4" w14:textId="77777777">
            <w:pPr>
              <w:contextualSpacing/>
              <w:rPr>
                <w:sz w:val="16"/>
                <w:szCs w:val="16"/>
              </w:rPr>
            </w:pPr>
            <w:r>
              <w:rPr>
                <w:sz w:val="16"/>
                <w:szCs w:val="16"/>
              </w:rPr>
              <w:t xml:space="preserve">Vanuit maatregel 29 </w:t>
            </w:r>
            <w:r w:rsidR="004C3AEE">
              <w:rPr>
                <w:sz w:val="16"/>
                <w:szCs w:val="16"/>
              </w:rPr>
              <w:t xml:space="preserve">van Nij Begun </w:t>
            </w:r>
            <w:r>
              <w:rPr>
                <w:sz w:val="16"/>
                <w:szCs w:val="16"/>
              </w:rPr>
              <w:t xml:space="preserve">wordt een subsidie aan woningeigenaren gegeven voor isolatiemaatregelen die nodig zijn om de standaard voor woningisolatie te behalen. </w:t>
            </w:r>
          </w:p>
          <w:p w:rsidR="007E72F0" w:rsidP="007E72F0" w14:paraId="23EE6451" w14:textId="77777777">
            <w:pPr>
              <w:contextualSpacing/>
              <w:rPr>
                <w:sz w:val="16"/>
                <w:szCs w:val="16"/>
              </w:rPr>
            </w:pPr>
          </w:p>
          <w:p w:rsidR="007E72F0" w:rsidP="007E72F0" w14:paraId="0B8B2B94" w14:textId="77777777">
            <w:pPr>
              <w:rPr>
                <w:sz w:val="16"/>
                <w:szCs w:val="20"/>
              </w:rPr>
            </w:pPr>
            <w:r w:rsidRPr="006475CD">
              <w:rPr>
                <w:sz w:val="16"/>
                <w:szCs w:val="20"/>
              </w:rPr>
              <w:t>Per woning wordt gekeken welke isolatiemaatregelen nodig zijn om te komen tot de standaard voor woningisolatie. Welk deel van de kosten vergoed wordt, hangt onder andere af van de kenmerken van de woning. Er is onderscheid gemaakt tussen verschillende doelgroepen:</w:t>
            </w:r>
          </w:p>
          <w:p w:rsidRPr="006475CD" w:rsidR="007E72F0" w:rsidP="007E72F0" w14:paraId="7513906C" w14:textId="77777777">
            <w:pPr>
              <w:rPr>
                <w:sz w:val="16"/>
                <w:szCs w:val="20"/>
              </w:rPr>
            </w:pPr>
          </w:p>
          <w:p w:rsidRPr="007E72F0" w:rsidR="007E72F0" w:rsidP="007E72F0" w14:paraId="0A988044" w14:textId="77777777">
            <w:pPr>
              <w:autoSpaceDN/>
              <w:spacing w:after="160" w:line="259" w:lineRule="auto"/>
              <w:textAlignment w:val="auto"/>
              <w:rPr>
                <w:sz w:val="16"/>
                <w:szCs w:val="20"/>
              </w:rPr>
            </w:pPr>
            <w:r w:rsidRPr="007E72F0">
              <w:rPr>
                <w:b/>
                <w:bCs/>
                <w:sz w:val="16"/>
                <w:szCs w:val="20"/>
              </w:rPr>
              <w:t>Bewoners binnen het versterkingsgebied:</w:t>
            </w:r>
            <w:r w:rsidRPr="007E72F0">
              <w:rPr>
                <w:sz w:val="16"/>
                <w:szCs w:val="20"/>
              </w:rPr>
              <w:t xml:space="preserve"> Mensen die wonen in het versterkingsgebied krijgen 100% van de isolatie- en ventilatiekosten vergoed (m.u.v. particuliere verhuurders). Tot een maximum van € 40.000. Hieronder vallen ook:</w:t>
            </w:r>
          </w:p>
          <w:p w:rsidRPr="006475CD" w:rsidR="007E72F0" w:rsidP="007E72F0" w14:paraId="177D5C17" w14:textId="77777777">
            <w:pPr>
              <w:pStyle w:val="ListParagraph"/>
              <w:numPr>
                <w:ilvl w:val="0"/>
                <w:numId w:val="16"/>
              </w:numPr>
              <w:autoSpaceDN/>
              <w:spacing w:after="160" w:line="259" w:lineRule="auto"/>
              <w:textAlignment w:val="auto"/>
              <w:rPr>
                <w:sz w:val="16"/>
                <w:szCs w:val="20"/>
              </w:rPr>
            </w:pPr>
            <w:r w:rsidRPr="006475CD">
              <w:rPr>
                <w:sz w:val="16"/>
                <w:szCs w:val="20"/>
              </w:rPr>
              <w:t>woningen die voldoen aan de veiligheidsnorm;</w:t>
            </w:r>
          </w:p>
          <w:p w:rsidRPr="006475CD" w:rsidR="007E72F0" w:rsidP="007E72F0" w14:paraId="3F42985A" w14:textId="77777777">
            <w:pPr>
              <w:pStyle w:val="ListParagraph"/>
              <w:numPr>
                <w:ilvl w:val="0"/>
                <w:numId w:val="16"/>
              </w:numPr>
              <w:autoSpaceDN/>
              <w:spacing w:after="160" w:line="259" w:lineRule="auto"/>
              <w:textAlignment w:val="auto"/>
              <w:rPr>
                <w:sz w:val="16"/>
                <w:szCs w:val="20"/>
              </w:rPr>
            </w:pPr>
            <w:r w:rsidRPr="006475CD">
              <w:rPr>
                <w:sz w:val="16"/>
                <w:szCs w:val="20"/>
              </w:rPr>
              <w:t>woningen die nog voor lichte versterking in aanmerking komen;</w:t>
            </w:r>
          </w:p>
          <w:p w:rsidRPr="006475CD" w:rsidR="007E72F0" w:rsidP="007E72F0" w14:paraId="78DB7ECC" w14:textId="77777777">
            <w:pPr>
              <w:pStyle w:val="ListParagraph"/>
              <w:numPr>
                <w:ilvl w:val="0"/>
                <w:numId w:val="16"/>
              </w:numPr>
              <w:autoSpaceDN/>
              <w:spacing w:after="160" w:line="259" w:lineRule="auto"/>
              <w:textAlignment w:val="auto"/>
              <w:rPr>
                <w:b/>
                <w:bCs/>
                <w:sz w:val="16"/>
                <w:szCs w:val="20"/>
              </w:rPr>
            </w:pPr>
            <w:r w:rsidRPr="006475CD">
              <w:rPr>
                <w:sz w:val="16"/>
                <w:szCs w:val="20"/>
              </w:rPr>
              <w:t>wijken en buurten eromheen, waar meer dan 30% van de woningen binnen de versterkingsoperatie vallen</w:t>
            </w:r>
          </w:p>
          <w:p w:rsidRPr="007E72F0" w:rsidR="007E72F0" w:rsidP="007E72F0" w14:paraId="179C4A9A" w14:textId="77777777">
            <w:pPr>
              <w:autoSpaceDN/>
              <w:spacing w:after="160" w:line="259" w:lineRule="auto"/>
              <w:textAlignment w:val="auto"/>
              <w:rPr>
                <w:b/>
                <w:bCs/>
                <w:sz w:val="16"/>
                <w:szCs w:val="20"/>
              </w:rPr>
            </w:pPr>
            <w:r w:rsidRPr="007E72F0">
              <w:rPr>
                <w:b/>
                <w:bCs/>
                <w:sz w:val="16"/>
                <w:szCs w:val="20"/>
              </w:rPr>
              <w:t>Bewoners in de gemeenten die maximaal 140% van het sociaal minimum verdienen:</w:t>
            </w:r>
            <w:r w:rsidRPr="007E72F0">
              <w:rPr>
                <w:sz w:val="16"/>
                <w:szCs w:val="20"/>
              </w:rPr>
              <w:t xml:space="preserve"> Hieronder vallen alle mensen met dit inkomen in de provincie Groningen en 3 gemeenten in Noord-Drenthe (Aa en Hunze, Noordenveld en Tynaarlo). Zij krijgen 100% van de isolatie- en ventilatiekosten</w:t>
            </w:r>
            <w:r w:rsidRPr="007E72F0">
              <w:rPr>
                <w:sz w:val="16"/>
                <w:szCs w:val="20"/>
              </w:rPr>
              <w:t xml:space="preserve"> </w:t>
            </w:r>
            <w:r w:rsidRPr="007E72F0">
              <w:rPr>
                <w:sz w:val="16"/>
                <w:szCs w:val="20"/>
              </w:rPr>
              <w:t>vergoed, tot een maximum van € 40.000.</w:t>
            </w:r>
          </w:p>
          <w:p w:rsidRPr="007E72F0" w:rsidR="007E72F0" w:rsidP="007E72F0" w14:paraId="61E6BE66" w14:textId="77777777">
            <w:pPr>
              <w:autoSpaceDN/>
              <w:spacing w:after="160" w:line="259" w:lineRule="auto"/>
              <w:textAlignment w:val="auto"/>
              <w:rPr>
                <w:b/>
                <w:bCs/>
                <w:sz w:val="16"/>
                <w:szCs w:val="20"/>
              </w:rPr>
            </w:pPr>
            <w:r w:rsidRPr="007E72F0">
              <w:rPr>
                <w:b/>
                <w:bCs/>
                <w:sz w:val="16"/>
                <w:szCs w:val="20"/>
              </w:rPr>
              <w:t xml:space="preserve">Bewoners in de rest van de provincie Groningen en 3 gemeenten in Noord-Drenthe: </w:t>
            </w:r>
            <w:r w:rsidRPr="007E72F0">
              <w:rPr>
                <w:sz w:val="16"/>
                <w:szCs w:val="20"/>
              </w:rPr>
              <w:t xml:space="preserve">Deze groep mensen krijgt 50% subsidie voor isolatie- en ventilatiekosten, tot een maximum van € 20.000. Dit is inclusief de ISDE, SVOH en SVVE-subsidie. </w:t>
            </w:r>
          </w:p>
          <w:p w:rsidRPr="007E72F0" w:rsidR="007E72F0" w:rsidP="007E72F0" w14:paraId="6C2341B1" w14:textId="77777777">
            <w:pPr>
              <w:autoSpaceDN/>
              <w:spacing w:after="160" w:line="259" w:lineRule="auto"/>
              <w:textAlignment w:val="auto"/>
              <w:rPr>
                <w:sz w:val="16"/>
                <w:szCs w:val="16"/>
              </w:rPr>
            </w:pPr>
            <w:r w:rsidRPr="007E72F0">
              <w:rPr>
                <w:b/>
                <w:bCs/>
                <w:sz w:val="16"/>
                <w:szCs w:val="20"/>
              </w:rPr>
              <w:t>Woningcorporaties</w:t>
            </w:r>
            <w:r w:rsidRPr="007E72F0">
              <w:rPr>
                <w:sz w:val="16"/>
                <w:szCs w:val="20"/>
              </w:rPr>
              <w:t>: Er is met de woningcorporaties afgesproken dat een bedrag van € 222 mln. wordt gereserveerd voor een bijdrage aan de verdergaande isolatie- en ventilatiekosten</w:t>
            </w:r>
            <w:r w:rsidRPr="007E72F0">
              <w:rPr>
                <w:sz w:val="16"/>
                <w:szCs w:val="20"/>
              </w:rPr>
              <w:t xml:space="preserve"> </w:t>
            </w:r>
            <w:r w:rsidRPr="007E72F0">
              <w:rPr>
                <w:sz w:val="16"/>
                <w:szCs w:val="20"/>
              </w:rPr>
              <w:t>van de sociale huurwoningen, boven op de Nationale Prestatie Afspraken.</w:t>
            </w:r>
          </w:p>
          <w:p w:rsidR="007E72F0" w:rsidP="007E72F0" w14:paraId="1F9C200F" w14:textId="77777777">
            <w:pPr>
              <w:contextualSpacing/>
              <w:rPr>
                <w:sz w:val="16"/>
                <w:szCs w:val="16"/>
              </w:rPr>
            </w:pPr>
            <w:bookmarkStart w:name="_Hlk198038979" w:id="1"/>
            <w:bookmarkStart w:name="_Hlk198038771" w:id="2"/>
            <w:r>
              <w:rPr>
                <w:sz w:val="16"/>
                <w:szCs w:val="16"/>
              </w:rPr>
              <w:t>Samenwerkingsverband Noord-Nederland (SNN) is de uitvoerder van de regeling, welke tot eind april in voorhang</w:t>
            </w:r>
            <w:r w:rsidR="00E70522">
              <w:rPr>
                <w:sz w:val="16"/>
                <w:szCs w:val="16"/>
              </w:rPr>
              <w:t>procedure</w:t>
            </w:r>
            <w:r>
              <w:rPr>
                <w:sz w:val="16"/>
                <w:szCs w:val="16"/>
              </w:rPr>
              <w:t xml:space="preserve"> bij de</w:t>
            </w:r>
            <w:r w:rsidR="00E70522">
              <w:rPr>
                <w:sz w:val="16"/>
                <w:szCs w:val="16"/>
              </w:rPr>
              <w:t xml:space="preserve"> Tweede</w:t>
            </w:r>
            <w:r>
              <w:rPr>
                <w:sz w:val="16"/>
                <w:szCs w:val="16"/>
              </w:rPr>
              <w:t xml:space="preserve"> Kamer </w:t>
            </w:r>
            <w:r w:rsidR="00E70522">
              <w:rPr>
                <w:sz w:val="16"/>
                <w:szCs w:val="16"/>
              </w:rPr>
              <w:t>is geweest</w:t>
            </w:r>
            <w:r>
              <w:rPr>
                <w:sz w:val="16"/>
                <w:szCs w:val="16"/>
              </w:rPr>
              <w:t xml:space="preserve">. </w:t>
            </w:r>
            <w:r w:rsidRPr="002C051C" w:rsidR="002C051C">
              <w:rPr>
                <w:sz w:val="16"/>
                <w:szCs w:val="16"/>
              </w:rPr>
              <w:t xml:space="preserve">Hierna zal de regeling in werking treden voor middelen die eerder voor dit doel aan de begroting van Hoofdstuk XXII zijn toegevoegd. Na goedkeuring door de beide Kamers met de in de 1e suppletoire begroting 2025 opgenomen aanvullende middelen zal de regeling worden gewijzigd. </w:t>
            </w:r>
            <w:bookmarkEnd w:id="1"/>
            <w:r>
              <w:rPr>
                <w:sz w:val="16"/>
                <w:szCs w:val="16"/>
              </w:rPr>
              <w:t xml:space="preserve">Vanaf </w:t>
            </w:r>
            <w:bookmarkEnd w:id="2"/>
            <w:r>
              <w:rPr>
                <w:sz w:val="16"/>
                <w:szCs w:val="16"/>
              </w:rPr>
              <w:t xml:space="preserve">juni 2025 is het mogelijk voor woningeigenaren die sinds 25 april 2023 al verduurzaamd hebben, subsidie met terugwerkende kracht aan te vragen. Vanaf september 2025 opent het reguliere subsidieloket. Hierin zal met een postcodefasering gewerkt worden, waarbij gedurende 12 maanden het loket gefaseerd opengesteld wordt.  </w:t>
            </w:r>
          </w:p>
          <w:p w:rsidRPr="009D55D2" w:rsidR="004C3AEE" w:rsidP="007E72F0" w14:paraId="4386A38F" w14:textId="77777777">
            <w:pPr>
              <w:contextualSpacing/>
              <w:rPr>
                <w:sz w:val="16"/>
                <w:szCs w:val="16"/>
              </w:rPr>
            </w:pPr>
          </w:p>
        </w:tc>
      </w:tr>
      <w:tr w:rsidTr="00C24A97" w14:paraId="1DFB3FAA" w14:textId="77777777">
        <w:tblPrEx>
          <w:tblW w:w="0" w:type="auto"/>
          <w:shd w:val="clear" w:color="auto" w:fill="DEEAF6"/>
          <w:tblLook w:val="01E0"/>
        </w:tblPrEx>
        <w:trPr>
          <w:trHeight w:val="655"/>
        </w:trPr>
        <w:tc>
          <w:tcPr>
            <w:tcW w:w="2835" w:type="dxa"/>
            <w:tcBorders>
              <w:top w:val="single" w:color="FFFFFF" w:sz="4" w:space="0"/>
              <w:left w:val="nil"/>
              <w:bottom w:val="single" w:color="FFFFFF" w:sz="4" w:space="0"/>
              <w:right w:val="single" w:color="FFFFFF" w:sz="4" w:space="0"/>
            </w:tcBorders>
            <w:shd w:val="clear" w:color="auto" w:fill="DEEAF6"/>
          </w:tcPr>
          <w:p w:rsidRPr="009D55D2" w:rsidR="007E72F0" w:rsidP="007E72F0" w14:paraId="15D9B5B0" w14:textId="77777777">
            <w:pPr>
              <w:contextualSpacing/>
              <w:rPr>
                <w:b/>
                <w:sz w:val="16"/>
                <w:szCs w:val="16"/>
              </w:rPr>
            </w:pPr>
          </w:p>
          <w:p w:rsidRPr="009D55D2" w:rsidR="007E72F0" w:rsidP="00C24A97" w14:paraId="5C1BCF3E" w14:textId="77777777">
            <w:pPr>
              <w:contextualSpacing/>
              <w:rPr>
                <w:b/>
                <w:sz w:val="16"/>
                <w:szCs w:val="16"/>
              </w:rPr>
            </w:pPr>
            <w:r>
              <w:rPr>
                <w:b/>
                <w:sz w:val="16"/>
                <w:szCs w:val="16"/>
              </w:rPr>
              <w:t>3</w:t>
            </w:r>
            <w:r w:rsidRPr="009D55D2">
              <w:rPr>
                <w:b/>
                <w:sz w:val="16"/>
                <w:szCs w:val="16"/>
              </w:rPr>
              <w:t>A. Financiële gevolgen voor het Rijk</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4C3AEE" w:rsidR="004C3AEE" w:rsidP="004C3AEE" w14:paraId="31EA611B" w14:textId="77777777">
            <w:pPr>
              <w:rPr>
                <w:sz w:val="16"/>
                <w:szCs w:val="20"/>
              </w:rPr>
            </w:pPr>
            <w:r w:rsidRPr="004C3AEE">
              <w:rPr>
                <w:sz w:val="16"/>
                <w:szCs w:val="20"/>
              </w:rPr>
              <w:t xml:space="preserve">In totaal is er € 1,65 mld. gereserveerd voor de verduurzamingsaanpak en uitvoeringsstructuur in Groningen en Noord-Drenthe. Hiervan is € 1,5 mld. beschikbaar voor de isolatiemaatregelen en € 150 mln. voor de uitvoeringkosten. </w:t>
            </w:r>
          </w:p>
          <w:p w:rsidRPr="004C3AEE" w:rsidR="004C3AEE" w:rsidP="004C3AEE" w14:paraId="079C0BA6" w14:textId="77777777">
            <w:pPr>
              <w:rPr>
                <w:sz w:val="16"/>
                <w:szCs w:val="20"/>
              </w:rPr>
            </w:pPr>
          </w:p>
          <w:p w:rsidRPr="004C3AEE" w:rsidR="004C3AEE" w:rsidP="004C3AEE" w14:paraId="087793AF" w14:textId="77777777">
            <w:pPr>
              <w:rPr>
                <w:sz w:val="16"/>
                <w:szCs w:val="20"/>
              </w:rPr>
            </w:pPr>
            <w:r w:rsidRPr="004C3AEE">
              <w:rPr>
                <w:sz w:val="16"/>
                <w:szCs w:val="20"/>
              </w:rPr>
              <w:t xml:space="preserve">Om met de opzet van de uitvoering(structuur) reeds te starten in 2025 is er al eerder € 150 mln. voor de uitvoeringskosten en subsidiemaatregelen beschikbaar gesteld en overgeboekt naar de begroting van VRO. </w:t>
            </w:r>
          </w:p>
          <w:p w:rsidRPr="004C3AEE" w:rsidR="004C3AEE" w:rsidP="004C3AEE" w14:paraId="6E6952C6" w14:textId="77777777">
            <w:pPr>
              <w:rPr>
                <w:sz w:val="16"/>
                <w:szCs w:val="20"/>
              </w:rPr>
            </w:pPr>
          </w:p>
          <w:p w:rsidR="00D9394B" w:rsidP="007E72F0" w14:paraId="59996A98" w14:textId="77777777">
            <w:pPr>
              <w:spacing w:line="240" w:lineRule="auto"/>
              <w:rPr>
                <w:sz w:val="16"/>
                <w:szCs w:val="20"/>
              </w:rPr>
            </w:pPr>
            <w:r w:rsidRPr="004C3AEE">
              <w:rPr>
                <w:sz w:val="16"/>
                <w:szCs w:val="20"/>
              </w:rPr>
              <w:t>Via de 1e suppletoire begroting 2025 komt er voor de verduurzamingsaanpak Groningen en Noord-Drenthe in totaal € 910 mln.</w:t>
            </w:r>
            <w:r w:rsidR="00DD64E3">
              <w:rPr>
                <w:sz w:val="16"/>
                <w:szCs w:val="20"/>
              </w:rPr>
              <w:t xml:space="preserve"> aanvullend</w:t>
            </w:r>
            <w:r w:rsidRPr="004C3AEE">
              <w:rPr>
                <w:sz w:val="16"/>
                <w:szCs w:val="20"/>
              </w:rPr>
              <w:t xml:space="preserve"> beschikbaar op de begroting van VRO voor de periode 2025 tot en met 2030. </w:t>
            </w:r>
          </w:p>
          <w:p w:rsidR="00D9394B" w:rsidP="007E72F0" w14:paraId="6D9B1C03" w14:textId="77777777">
            <w:pPr>
              <w:spacing w:line="240" w:lineRule="auto"/>
              <w:rPr>
                <w:sz w:val="16"/>
                <w:szCs w:val="20"/>
              </w:rPr>
            </w:pPr>
          </w:p>
          <w:tbl>
            <w:tblPr>
              <w:tblStyle w:val="TableGrid"/>
              <w:tblW w:w="0" w:type="auto"/>
              <w:tblInd w:w="0" w:type="dxa"/>
              <w:tblLook w:val="04A0"/>
            </w:tblPr>
            <w:tblGrid>
              <w:gridCol w:w="1902"/>
              <w:gridCol w:w="470"/>
              <w:gridCol w:w="417"/>
              <w:gridCol w:w="476"/>
              <w:gridCol w:w="476"/>
              <w:gridCol w:w="417"/>
              <w:gridCol w:w="476"/>
              <w:gridCol w:w="417"/>
            </w:tblGrid>
            <w:tr w:rsidTr="00D9394B" w14:paraId="03A8E757" w14:textId="77777777">
              <w:tblPrEx>
                <w:tblW w:w="0" w:type="auto"/>
                <w:tblInd w:w="0" w:type="dxa"/>
                <w:tblLook w:val="04A0"/>
              </w:tblPrEx>
              <w:trPr>
                <w:trHeight w:val="543"/>
              </w:trPr>
              <w:tc>
                <w:tcPr>
                  <w:tcW w:w="1306" w:type="dxa"/>
                </w:tcPr>
                <w:p w:rsidRPr="00D9394B" w:rsidR="00D9394B" w:rsidP="00D9394B" w14:paraId="728E9446" w14:textId="77777777">
                  <w:pPr>
                    <w:spacing w:line="240" w:lineRule="auto"/>
                    <w:rPr>
                      <w:sz w:val="16"/>
                      <w:szCs w:val="20"/>
                    </w:rPr>
                  </w:pPr>
                  <w:r w:rsidRPr="00D9394B">
                    <w:rPr>
                      <w:sz w:val="16"/>
                      <w:szCs w:val="20"/>
                    </w:rPr>
                    <w:t xml:space="preserve">Budget </w:t>
                  </w:r>
                </w:p>
                <w:p w:rsidRPr="00D9394B" w:rsidR="00D9394B" w:rsidP="00D9394B" w14:paraId="62DB44ED" w14:textId="77777777">
                  <w:pPr>
                    <w:spacing w:line="240" w:lineRule="auto"/>
                    <w:rPr>
                      <w:sz w:val="16"/>
                      <w:szCs w:val="20"/>
                    </w:rPr>
                  </w:pPr>
                  <w:r w:rsidRPr="00D9394B">
                    <w:rPr>
                      <w:sz w:val="16"/>
                      <w:szCs w:val="20"/>
                    </w:rPr>
                    <w:t>(€ mln.)</w:t>
                  </w:r>
                </w:p>
              </w:tc>
              <w:tc>
                <w:tcPr>
                  <w:tcW w:w="729" w:type="dxa"/>
                </w:tcPr>
                <w:p w:rsidRPr="00D9394B" w:rsidR="00D9394B" w:rsidP="00D9394B" w14:paraId="10F02FE9" w14:textId="77777777">
                  <w:pPr>
                    <w:spacing w:line="240" w:lineRule="auto"/>
                    <w:rPr>
                      <w:sz w:val="16"/>
                      <w:szCs w:val="20"/>
                    </w:rPr>
                  </w:pPr>
                  <w:r w:rsidRPr="00D9394B">
                    <w:rPr>
                      <w:sz w:val="16"/>
                      <w:szCs w:val="20"/>
                    </w:rPr>
                    <w:t>totaal</w:t>
                  </w:r>
                </w:p>
              </w:tc>
              <w:tc>
                <w:tcPr>
                  <w:tcW w:w="546" w:type="dxa"/>
                </w:tcPr>
                <w:p w:rsidRPr="00D9394B" w:rsidR="00D9394B" w:rsidP="00D9394B" w14:paraId="696AC220" w14:textId="77777777">
                  <w:pPr>
                    <w:spacing w:line="240" w:lineRule="auto"/>
                    <w:rPr>
                      <w:sz w:val="16"/>
                      <w:szCs w:val="20"/>
                    </w:rPr>
                  </w:pPr>
                  <w:r w:rsidRPr="00DB294C">
                    <w:rPr>
                      <w:sz w:val="16"/>
                      <w:szCs w:val="20"/>
                    </w:rPr>
                    <w:t>20</w:t>
                  </w:r>
                  <w:r w:rsidRPr="00D9394B">
                    <w:rPr>
                      <w:sz w:val="16"/>
                      <w:szCs w:val="20"/>
                    </w:rPr>
                    <w:t>25</w:t>
                  </w:r>
                </w:p>
              </w:tc>
              <w:tc>
                <w:tcPr>
                  <w:tcW w:w="530" w:type="dxa"/>
                </w:tcPr>
                <w:p w:rsidRPr="00D9394B" w:rsidR="00D9394B" w:rsidP="00D9394B" w14:paraId="3FA64694" w14:textId="77777777">
                  <w:pPr>
                    <w:spacing w:line="240" w:lineRule="auto"/>
                    <w:rPr>
                      <w:sz w:val="16"/>
                      <w:szCs w:val="20"/>
                    </w:rPr>
                  </w:pPr>
                  <w:r w:rsidRPr="00DB294C">
                    <w:rPr>
                      <w:sz w:val="16"/>
                      <w:szCs w:val="20"/>
                    </w:rPr>
                    <w:t>20</w:t>
                  </w:r>
                  <w:r w:rsidRPr="00D9394B">
                    <w:rPr>
                      <w:sz w:val="16"/>
                      <w:szCs w:val="20"/>
                    </w:rPr>
                    <w:t>26</w:t>
                  </w:r>
                </w:p>
              </w:tc>
              <w:tc>
                <w:tcPr>
                  <w:tcW w:w="489" w:type="dxa"/>
                </w:tcPr>
                <w:p w:rsidRPr="00D9394B" w:rsidR="00D9394B" w:rsidP="00D9394B" w14:paraId="68EE6664" w14:textId="77777777">
                  <w:pPr>
                    <w:spacing w:line="240" w:lineRule="auto"/>
                    <w:rPr>
                      <w:sz w:val="16"/>
                      <w:szCs w:val="20"/>
                    </w:rPr>
                  </w:pPr>
                  <w:r w:rsidRPr="00DB294C">
                    <w:rPr>
                      <w:sz w:val="16"/>
                      <w:szCs w:val="20"/>
                    </w:rPr>
                    <w:t>20</w:t>
                  </w:r>
                  <w:r w:rsidRPr="00D9394B">
                    <w:rPr>
                      <w:sz w:val="16"/>
                      <w:szCs w:val="20"/>
                    </w:rPr>
                    <w:t>27</w:t>
                  </w:r>
                </w:p>
              </w:tc>
              <w:tc>
                <w:tcPr>
                  <w:tcW w:w="490" w:type="dxa"/>
                </w:tcPr>
                <w:p w:rsidRPr="00D9394B" w:rsidR="00D9394B" w:rsidP="00D9394B" w14:paraId="1CDB073C" w14:textId="77777777">
                  <w:pPr>
                    <w:spacing w:line="240" w:lineRule="auto"/>
                    <w:rPr>
                      <w:sz w:val="16"/>
                      <w:szCs w:val="20"/>
                    </w:rPr>
                  </w:pPr>
                  <w:r w:rsidRPr="00DB294C">
                    <w:rPr>
                      <w:sz w:val="16"/>
                      <w:szCs w:val="20"/>
                    </w:rPr>
                    <w:t>20</w:t>
                  </w:r>
                  <w:r w:rsidRPr="00D9394B">
                    <w:rPr>
                      <w:sz w:val="16"/>
                      <w:szCs w:val="20"/>
                    </w:rPr>
                    <w:t>28</w:t>
                  </w:r>
                </w:p>
              </w:tc>
              <w:tc>
                <w:tcPr>
                  <w:tcW w:w="530" w:type="dxa"/>
                </w:tcPr>
                <w:p w:rsidRPr="00D9394B" w:rsidR="00D9394B" w:rsidP="00D9394B" w14:paraId="19B15AC5" w14:textId="77777777">
                  <w:pPr>
                    <w:spacing w:line="240" w:lineRule="auto"/>
                    <w:rPr>
                      <w:sz w:val="16"/>
                      <w:szCs w:val="20"/>
                    </w:rPr>
                  </w:pPr>
                  <w:r w:rsidRPr="00DB294C">
                    <w:rPr>
                      <w:sz w:val="16"/>
                      <w:szCs w:val="20"/>
                    </w:rPr>
                    <w:t>20</w:t>
                  </w:r>
                  <w:r w:rsidRPr="00D9394B">
                    <w:rPr>
                      <w:sz w:val="16"/>
                      <w:szCs w:val="20"/>
                    </w:rPr>
                    <w:t>29</w:t>
                  </w:r>
                </w:p>
              </w:tc>
              <w:tc>
                <w:tcPr>
                  <w:tcW w:w="490" w:type="dxa"/>
                </w:tcPr>
                <w:p w:rsidRPr="00D9394B" w:rsidR="00D9394B" w:rsidP="00D9394B" w14:paraId="43F40677" w14:textId="77777777">
                  <w:pPr>
                    <w:spacing w:line="240" w:lineRule="auto"/>
                    <w:rPr>
                      <w:sz w:val="16"/>
                      <w:szCs w:val="20"/>
                    </w:rPr>
                  </w:pPr>
                  <w:r w:rsidRPr="00DB294C">
                    <w:rPr>
                      <w:sz w:val="16"/>
                      <w:szCs w:val="20"/>
                    </w:rPr>
                    <w:t>20</w:t>
                  </w:r>
                  <w:r w:rsidRPr="00D9394B">
                    <w:rPr>
                      <w:sz w:val="16"/>
                      <w:szCs w:val="20"/>
                    </w:rPr>
                    <w:t>30</w:t>
                  </w:r>
                </w:p>
              </w:tc>
            </w:tr>
            <w:tr w:rsidTr="00D9394B" w14:paraId="690CCD37" w14:textId="77777777">
              <w:tblPrEx>
                <w:tblW w:w="0" w:type="auto"/>
                <w:tblInd w:w="0" w:type="dxa"/>
                <w:tblLook w:val="04A0"/>
              </w:tblPrEx>
              <w:trPr>
                <w:trHeight w:val="661"/>
              </w:trPr>
              <w:tc>
                <w:tcPr>
                  <w:tcW w:w="1306" w:type="dxa"/>
                </w:tcPr>
                <w:p w:rsidRPr="004D6221" w:rsidR="004D6221" w:rsidP="004D6221" w14:paraId="01BF9B7F" w14:textId="77777777">
                  <w:pPr>
                    <w:rPr>
                      <w:sz w:val="16"/>
                      <w:szCs w:val="20"/>
                    </w:rPr>
                  </w:pPr>
                  <w:r w:rsidRPr="004D6221">
                    <w:rPr>
                      <w:sz w:val="16"/>
                      <w:szCs w:val="20"/>
                    </w:rPr>
                    <w:t>Verduurzamingsaanpak Nij Begun maatregel 29</w:t>
                  </w:r>
                </w:p>
                <w:p w:rsidRPr="00D9394B" w:rsidR="00D9394B" w:rsidP="00D9394B" w14:paraId="2EBD1507" w14:textId="77777777">
                  <w:pPr>
                    <w:spacing w:line="240" w:lineRule="auto"/>
                    <w:rPr>
                      <w:sz w:val="16"/>
                      <w:szCs w:val="20"/>
                    </w:rPr>
                  </w:pPr>
                </w:p>
              </w:tc>
              <w:tc>
                <w:tcPr>
                  <w:tcW w:w="729" w:type="dxa"/>
                </w:tcPr>
                <w:p w:rsidRPr="00D9394B" w:rsidR="00D9394B" w:rsidP="00D9394B" w14:paraId="26DC88BC" w14:textId="77777777">
                  <w:pPr>
                    <w:spacing w:line="240" w:lineRule="auto"/>
                    <w:rPr>
                      <w:sz w:val="16"/>
                      <w:szCs w:val="20"/>
                    </w:rPr>
                  </w:pPr>
                  <w:r>
                    <w:rPr>
                      <w:sz w:val="16"/>
                      <w:szCs w:val="20"/>
                    </w:rPr>
                    <w:t xml:space="preserve"> 910</w:t>
                  </w:r>
                </w:p>
              </w:tc>
              <w:tc>
                <w:tcPr>
                  <w:tcW w:w="546" w:type="dxa"/>
                </w:tcPr>
                <w:p w:rsidRPr="00D9394B" w:rsidR="00D9394B" w:rsidP="00D9394B" w14:paraId="757660F2" w14:textId="77777777">
                  <w:pPr>
                    <w:spacing w:line="240" w:lineRule="auto"/>
                    <w:rPr>
                      <w:sz w:val="16"/>
                      <w:szCs w:val="20"/>
                    </w:rPr>
                  </w:pPr>
                  <w:r>
                    <w:rPr>
                      <w:sz w:val="16"/>
                      <w:szCs w:val="20"/>
                    </w:rPr>
                    <w:t>179</w:t>
                  </w:r>
                </w:p>
              </w:tc>
              <w:tc>
                <w:tcPr>
                  <w:tcW w:w="530" w:type="dxa"/>
                </w:tcPr>
                <w:p w:rsidRPr="00D9394B" w:rsidR="00D9394B" w:rsidP="00D9394B" w14:paraId="59721D26" w14:textId="77777777">
                  <w:pPr>
                    <w:spacing w:line="240" w:lineRule="auto"/>
                    <w:rPr>
                      <w:sz w:val="16"/>
                      <w:szCs w:val="20"/>
                    </w:rPr>
                  </w:pPr>
                  <w:r>
                    <w:rPr>
                      <w:sz w:val="16"/>
                      <w:szCs w:val="20"/>
                    </w:rPr>
                    <w:t>185,1</w:t>
                  </w:r>
                </w:p>
              </w:tc>
              <w:tc>
                <w:tcPr>
                  <w:tcW w:w="489" w:type="dxa"/>
                </w:tcPr>
                <w:p w:rsidRPr="00D9394B" w:rsidR="00D9394B" w:rsidP="00D9394B" w14:paraId="09D510C0" w14:textId="77777777">
                  <w:pPr>
                    <w:spacing w:line="240" w:lineRule="auto"/>
                    <w:rPr>
                      <w:sz w:val="16"/>
                      <w:szCs w:val="20"/>
                    </w:rPr>
                  </w:pPr>
                  <w:r>
                    <w:rPr>
                      <w:sz w:val="16"/>
                      <w:szCs w:val="20"/>
                    </w:rPr>
                    <w:t>194,7</w:t>
                  </w:r>
                </w:p>
              </w:tc>
              <w:tc>
                <w:tcPr>
                  <w:tcW w:w="490" w:type="dxa"/>
                </w:tcPr>
                <w:p w:rsidRPr="00D9394B" w:rsidR="00D9394B" w:rsidP="00D9394B" w14:paraId="4DF05656" w14:textId="77777777">
                  <w:pPr>
                    <w:spacing w:line="240" w:lineRule="auto"/>
                    <w:rPr>
                      <w:sz w:val="16"/>
                      <w:szCs w:val="20"/>
                    </w:rPr>
                  </w:pPr>
                  <w:r>
                    <w:rPr>
                      <w:sz w:val="16"/>
                      <w:szCs w:val="20"/>
                    </w:rPr>
                    <w:t>118</w:t>
                  </w:r>
                </w:p>
              </w:tc>
              <w:tc>
                <w:tcPr>
                  <w:tcW w:w="530" w:type="dxa"/>
                </w:tcPr>
                <w:p w:rsidRPr="00D9394B" w:rsidR="00D9394B" w:rsidP="00D9394B" w14:paraId="182D111D" w14:textId="77777777">
                  <w:pPr>
                    <w:spacing w:line="240" w:lineRule="auto"/>
                    <w:rPr>
                      <w:sz w:val="16"/>
                      <w:szCs w:val="20"/>
                    </w:rPr>
                  </w:pPr>
                  <w:r>
                    <w:rPr>
                      <w:sz w:val="16"/>
                      <w:szCs w:val="20"/>
                    </w:rPr>
                    <w:t>117,2</w:t>
                  </w:r>
                </w:p>
              </w:tc>
              <w:tc>
                <w:tcPr>
                  <w:tcW w:w="490" w:type="dxa"/>
                </w:tcPr>
                <w:p w:rsidRPr="00D9394B" w:rsidR="00D9394B" w:rsidP="00D9394B" w14:paraId="13F64048" w14:textId="77777777">
                  <w:pPr>
                    <w:spacing w:line="240" w:lineRule="auto"/>
                    <w:rPr>
                      <w:sz w:val="16"/>
                      <w:szCs w:val="20"/>
                    </w:rPr>
                  </w:pPr>
                  <w:r>
                    <w:rPr>
                      <w:sz w:val="16"/>
                      <w:szCs w:val="20"/>
                    </w:rPr>
                    <w:t>116</w:t>
                  </w:r>
                </w:p>
              </w:tc>
            </w:tr>
          </w:tbl>
          <w:p w:rsidR="00D9394B" w:rsidP="007E72F0" w14:paraId="2B29A6A0" w14:textId="77777777">
            <w:pPr>
              <w:spacing w:line="240" w:lineRule="auto"/>
              <w:rPr>
                <w:sz w:val="16"/>
                <w:szCs w:val="20"/>
              </w:rPr>
            </w:pPr>
          </w:p>
          <w:p w:rsidR="00D9394B" w:rsidP="007E72F0" w14:paraId="77EA1453" w14:textId="77777777">
            <w:pPr>
              <w:spacing w:line="240" w:lineRule="auto"/>
              <w:rPr>
                <w:sz w:val="16"/>
                <w:szCs w:val="20"/>
              </w:rPr>
            </w:pPr>
          </w:p>
          <w:p w:rsidRPr="004C3AEE" w:rsidR="004C3AEE" w:rsidP="004C3AEE" w14:paraId="6A1AA9F0" w14:textId="77777777">
            <w:pPr>
              <w:spacing w:line="240" w:lineRule="auto"/>
              <w:rPr>
                <w:sz w:val="16"/>
                <w:szCs w:val="20"/>
              </w:rPr>
            </w:pPr>
            <w:r w:rsidRPr="004C3AEE">
              <w:rPr>
                <w:sz w:val="16"/>
                <w:szCs w:val="20"/>
              </w:rPr>
              <w:t>Daarnaast wordt er in de 1e suppletoire begroting 2025 € 60 mln. overgeheveld van de Aanvullende Post naar de begroting van BZK voor de woningen met lichte versterkingsaanpak door het NCG.</w:t>
            </w:r>
          </w:p>
          <w:p w:rsidRPr="004C3AEE" w:rsidR="004C3AEE" w:rsidP="004C3AEE" w14:paraId="1BF64AB6" w14:textId="77777777">
            <w:pPr>
              <w:spacing w:line="240" w:lineRule="auto"/>
              <w:rPr>
                <w:sz w:val="16"/>
                <w:szCs w:val="20"/>
              </w:rPr>
            </w:pPr>
          </w:p>
          <w:p w:rsidR="007E72F0" w:rsidP="007E72F0" w14:paraId="529CD885" w14:textId="77777777">
            <w:pPr>
              <w:rPr>
                <w:sz w:val="16"/>
                <w:szCs w:val="20"/>
              </w:rPr>
            </w:pPr>
            <w:r w:rsidRPr="004C3AEE">
              <w:rPr>
                <w:sz w:val="16"/>
                <w:szCs w:val="20"/>
              </w:rPr>
              <w:t xml:space="preserve">Het restant, € 530 mln. over de periode 2031 -2035 blijft gereserveerd op de aanvullende post van het ministerie van Financiën. </w:t>
            </w:r>
          </w:p>
          <w:p w:rsidR="004C3AEE" w:rsidP="007E72F0" w14:paraId="662B4D31" w14:textId="77777777">
            <w:pPr>
              <w:rPr>
                <w:sz w:val="16"/>
                <w:szCs w:val="20"/>
              </w:rPr>
            </w:pPr>
          </w:p>
          <w:p w:rsidRPr="004B05F7" w:rsidR="007E72F0" w:rsidP="007E72F0" w14:paraId="263D39B4" w14:textId="77777777">
            <w:pPr>
              <w:rPr>
                <w:sz w:val="16"/>
                <w:szCs w:val="20"/>
              </w:rPr>
            </w:pPr>
            <w:r w:rsidRPr="004B05F7">
              <w:rPr>
                <w:i/>
                <w:iCs/>
                <w:sz w:val="16"/>
                <w:szCs w:val="20"/>
              </w:rPr>
              <w:t>ISDE</w:t>
            </w:r>
            <w:r w:rsidRPr="004B05F7">
              <w:rPr>
                <w:sz w:val="16"/>
                <w:szCs w:val="20"/>
              </w:rPr>
              <w:br/>
              <w:t>Voor maatregel 29</w:t>
            </w:r>
            <w:r w:rsidR="004C3AEE">
              <w:rPr>
                <w:sz w:val="16"/>
                <w:szCs w:val="20"/>
              </w:rPr>
              <w:t xml:space="preserve"> van Nij Begun</w:t>
            </w:r>
            <w:r w:rsidRPr="004B05F7">
              <w:rPr>
                <w:sz w:val="16"/>
                <w:szCs w:val="20"/>
              </w:rPr>
              <w:t xml:space="preserve"> wordt</w:t>
            </w:r>
            <w:r w:rsidR="00DD64E3">
              <w:rPr>
                <w:sz w:val="16"/>
                <w:szCs w:val="20"/>
              </w:rPr>
              <w:t xml:space="preserve"> ook</w:t>
            </w:r>
            <w:r w:rsidRPr="004B05F7">
              <w:rPr>
                <w:sz w:val="16"/>
                <w:szCs w:val="20"/>
              </w:rPr>
              <w:t xml:space="preserve"> isolatiebudget van ISDE door het ministerie van Klimaat en Groene Groei beschikbaar gesteld. </w:t>
            </w:r>
            <w:r w:rsidRPr="004C3AEE" w:rsidR="004C3AEE">
              <w:rPr>
                <w:sz w:val="16"/>
                <w:szCs w:val="20"/>
              </w:rPr>
              <w:t xml:space="preserve">Voor de jaren 2025 tot en met 2030 </w:t>
            </w:r>
            <w:r w:rsidR="00DD64E3">
              <w:rPr>
                <w:sz w:val="16"/>
                <w:szCs w:val="20"/>
              </w:rPr>
              <w:t>gaat dit</w:t>
            </w:r>
            <w:r w:rsidRPr="004C3AEE" w:rsidR="00DD64E3">
              <w:rPr>
                <w:sz w:val="16"/>
                <w:szCs w:val="20"/>
              </w:rPr>
              <w:t xml:space="preserve"> </w:t>
            </w:r>
            <w:r w:rsidRPr="004C3AEE" w:rsidR="004C3AEE">
              <w:rPr>
                <w:sz w:val="16"/>
                <w:szCs w:val="20"/>
              </w:rPr>
              <w:t>in totaal</w:t>
            </w:r>
            <w:r w:rsidR="00DD64E3">
              <w:rPr>
                <w:sz w:val="16"/>
                <w:szCs w:val="20"/>
              </w:rPr>
              <w:t xml:space="preserve"> om</w:t>
            </w:r>
            <w:r w:rsidRPr="004C3AEE" w:rsidR="004C3AEE">
              <w:rPr>
                <w:sz w:val="16"/>
                <w:szCs w:val="20"/>
              </w:rPr>
              <w:t xml:space="preserve"> € 127,5 mln</w:t>
            </w:r>
            <w:r w:rsidR="00DD64E3">
              <w:rPr>
                <w:sz w:val="16"/>
                <w:szCs w:val="20"/>
              </w:rPr>
              <w:t>.</w:t>
            </w:r>
            <w:r w:rsidRPr="004C3AEE" w:rsidR="004C3AEE">
              <w:rPr>
                <w:sz w:val="16"/>
                <w:szCs w:val="20"/>
              </w:rPr>
              <w:t xml:space="preserve"> </w:t>
            </w:r>
            <w:r w:rsidRPr="004B05F7">
              <w:rPr>
                <w:sz w:val="16"/>
                <w:szCs w:val="20"/>
              </w:rPr>
              <w:t xml:space="preserve">Een deel van </w:t>
            </w:r>
            <w:r w:rsidR="00652DF4">
              <w:rPr>
                <w:sz w:val="16"/>
                <w:szCs w:val="20"/>
              </w:rPr>
              <w:t>dit</w:t>
            </w:r>
            <w:r w:rsidRPr="004B05F7">
              <w:rPr>
                <w:sz w:val="16"/>
                <w:szCs w:val="20"/>
              </w:rPr>
              <w:t xml:space="preserve"> overeengekomen budget </w:t>
            </w:r>
            <w:r w:rsidR="004C3AEE">
              <w:rPr>
                <w:sz w:val="16"/>
                <w:szCs w:val="20"/>
              </w:rPr>
              <w:t>is</w:t>
            </w:r>
            <w:r w:rsidRPr="004B05F7" w:rsidR="004C3AEE">
              <w:rPr>
                <w:sz w:val="16"/>
                <w:szCs w:val="20"/>
              </w:rPr>
              <w:t xml:space="preserve"> </w:t>
            </w:r>
            <w:r w:rsidR="00DD64E3">
              <w:rPr>
                <w:sz w:val="16"/>
                <w:szCs w:val="20"/>
              </w:rPr>
              <w:t>via de 1</w:t>
            </w:r>
            <w:r w:rsidRPr="000541DE" w:rsidR="00DD64E3">
              <w:rPr>
                <w:sz w:val="16"/>
                <w:szCs w:val="20"/>
                <w:vertAlign w:val="superscript"/>
              </w:rPr>
              <w:t>e</w:t>
            </w:r>
            <w:r w:rsidR="00DD64E3">
              <w:rPr>
                <w:sz w:val="16"/>
                <w:szCs w:val="20"/>
              </w:rPr>
              <w:t xml:space="preserve"> suppletoire begroting</w:t>
            </w:r>
            <w:r w:rsidRPr="004B05F7" w:rsidR="00DD64E3">
              <w:rPr>
                <w:sz w:val="16"/>
                <w:szCs w:val="20"/>
              </w:rPr>
              <w:t xml:space="preserve"> </w:t>
            </w:r>
            <w:r w:rsidRPr="004B05F7">
              <w:rPr>
                <w:sz w:val="16"/>
                <w:szCs w:val="20"/>
              </w:rPr>
              <w:t xml:space="preserve">overgeheveld </w:t>
            </w:r>
            <w:r w:rsidR="00DD64E3">
              <w:rPr>
                <w:sz w:val="16"/>
                <w:szCs w:val="20"/>
              </w:rPr>
              <w:t>(</w:t>
            </w:r>
            <w:r w:rsidRPr="004B05F7">
              <w:rPr>
                <w:sz w:val="16"/>
                <w:szCs w:val="20"/>
              </w:rPr>
              <w:t>respectievelijk</w:t>
            </w:r>
            <w:r w:rsidR="00DD64E3">
              <w:rPr>
                <w:sz w:val="16"/>
                <w:szCs w:val="20"/>
              </w:rPr>
              <w:t xml:space="preserve"> € 16,5 mln. in</w:t>
            </w:r>
            <w:r w:rsidRPr="004B05F7">
              <w:rPr>
                <w:sz w:val="16"/>
                <w:szCs w:val="20"/>
              </w:rPr>
              <w:t xml:space="preserve"> 2025 en </w:t>
            </w:r>
            <w:r w:rsidR="00DD64E3">
              <w:rPr>
                <w:sz w:val="16"/>
                <w:szCs w:val="20"/>
              </w:rPr>
              <w:t xml:space="preserve">€ 23 mln. in </w:t>
            </w:r>
            <w:r w:rsidRPr="004B05F7">
              <w:rPr>
                <w:sz w:val="16"/>
                <w:szCs w:val="20"/>
              </w:rPr>
              <w:t>2026</w:t>
            </w:r>
            <w:r w:rsidR="00DD64E3">
              <w:rPr>
                <w:sz w:val="16"/>
                <w:szCs w:val="20"/>
              </w:rPr>
              <w:t>).</w:t>
            </w:r>
          </w:p>
          <w:p w:rsidRPr="009D55D2" w:rsidR="007E72F0" w:rsidP="007E72F0" w14:paraId="15DB6D42" w14:textId="77777777">
            <w:pPr>
              <w:contextualSpacing/>
              <w:rPr>
                <w:sz w:val="16"/>
                <w:szCs w:val="16"/>
              </w:rPr>
            </w:pPr>
          </w:p>
        </w:tc>
      </w:tr>
      <w:tr w:rsidTr="00C24A97" w14:paraId="626C0E67" w14:textId="77777777">
        <w:tblPrEx>
          <w:tblW w:w="0" w:type="auto"/>
          <w:shd w:val="clear" w:color="auto" w:fill="DEEAF6"/>
          <w:tblLook w:val="01E0"/>
        </w:tblPrEx>
        <w:trPr>
          <w:trHeight w:val="725"/>
        </w:trPr>
        <w:tc>
          <w:tcPr>
            <w:tcW w:w="2835" w:type="dxa"/>
            <w:tcBorders>
              <w:top w:val="single" w:color="FFFFFF" w:sz="4" w:space="0"/>
              <w:left w:val="nil"/>
              <w:bottom w:val="single" w:color="FFFFFF" w:sz="4" w:space="0"/>
              <w:right w:val="single" w:color="FFFFFF" w:sz="4" w:space="0"/>
            </w:tcBorders>
            <w:shd w:val="clear" w:color="auto" w:fill="DEEAF6"/>
          </w:tcPr>
          <w:p w:rsidRPr="009D55D2" w:rsidR="007E72F0" w:rsidP="007E72F0" w14:paraId="4AC6298F" w14:textId="77777777">
            <w:pPr>
              <w:contextualSpacing/>
              <w:rPr>
                <w:b/>
                <w:sz w:val="16"/>
                <w:szCs w:val="16"/>
              </w:rPr>
            </w:pPr>
          </w:p>
          <w:p w:rsidRPr="009D55D2" w:rsidR="007E72F0" w:rsidP="007E72F0" w14:paraId="2F3533C2" w14:textId="77777777">
            <w:pPr>
              <w:contextualSpacing/>
              <w:rPr>
                <w:b/>
                <w:sz w:val="16"/>
                <w:szCs w:val="16"/>
              </w:rPr>
            </w:pPr>
            <w:r>
              <w:rPr>
                <w:b/>
                <w:sz w:val="16"/>
                <w:szCs w:val="16"/>
              </w:rPr>
              <w:t>3</w:t>
            </w:r>
            <w:r w:rsidRPr="009D55D2">
              <w:rPr>
                <w:b/>
                <w:sz w:val="16"/>
                <w:szCs w:val="16"/>
              </w:rPr>
              <w:t xml:space="preserve">B. Financiële gevolgen voor maatschappelijke sectoren </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007E72F0" w:rsidP="007E72F0" w14:paraId="270F6707" w14:textId="77777777">
            <w:pPr>
              <w:contextualSpacing/>
              <w:rPr>
                <w:sz w:val="16"/>
                <w:szCs w:val="20"/>
              </w:rPr>
            </w:pPr>
            <w:r w:rsidRPr="006475CD">
              <w:rPr>
                <w:sz w:val="16"/>
                <w:szCs w:val="20"/>
              </w:rPr>
              <w:t>Maatschappelijke organisaties worden nauwgezet betrokken bij de uitwerking en uitvoering van de verduurzamingsaanpak in de regio, mede door gebruik te maken van de regionale samenwerkingsverbanden die al zijn opgetuigd voor bijvoorbeeld de Nationale Isolatieaanpak. Ook organisaties als de Groninger Bodem Beweging en het Gasberaad zijn betrokken</w:t>
            </w:r>
            <w:r>
              <w:rPr>
                <w:sz w:val="16"/>
                <w:szCs w:val="20"/>
              </w:rPr>
              <w:t xml:space="preserve"> in een klankbordgroep</w:t>
            </w:r>
            <w:r w:rsidRPr="006475CD">
              <w:rPr>
                <w:sz w:val="16"/>
                <w:szCs w:val="20"/>
              </w:rPr>
              <w:t xml:space="preserve">.  </w:t>
            </w:r>
          </w:p>
          <w:p w:rsidRPr="009D55D2" w:rsidR="004C3AEE" w:rsidP="007E72F0" w14:paraId="14F0514F" w14:textId="77777777">
            <w:pPr>
              <w:contextualSpacing/>
              <w:rPr>
                <w:sz w:val="16"/>
                <w:szCs w:val="16"/>
              </w:rPr>
            </w:pPr>
          </w:p>
        </w:tc>
      </w:tr>
      <w:tr w:rsidTr="00C24A97" w14:paraId="5E3FDABC" w14:textId="77777777">
        <w:tblPrEx>
          <w:tblW w:w="0" w:type="auto"/>
          <w:shd w:val="clear" w:color="auto" w:fill="DEEAF6"/>
          <w:tblLook w:val="01E0"/>
        </w:tblPrEx>
        <w:trPr>
          <w:trHeight w:val="778"/>
        </w:trPr>
        <w:tc>
          <w:tcPr>
            <w:tcW w:w="2835" w:type="dxa"/>
            <w:tcBorders>
              <w:top w:val="single" w:color="FFFFFF" w:sz="4" w:space="0"/>
              <w:left w:val="nil"/>
              <w:bottom w:val="single" w:color="FFFFFF" w:sz="4" w:space="0"/>
              <w:right w:val="single" w:color="FFFFFF" w:sz="4" w:space="0"/>
            </w:tcBorders>
            <w:shd w:val="clear" w:color="auto" w:fill="DEEAF6"/>
          </w:tcPr>
          <w:p w:rsidRPr="009D55D2" w:rsidR="007E72F0" w:rsidP="007E72F0" w14:paraId="667162ED" w14:textId="77777777">
            <w:pPr>
              <w:contextualSpacing/>
              <w:rPr>
                <w:b/>
                <w:sz w:val="16"/>
                <w:szCs w:val="16"/>
              </w:rPr>
            </w:pPr>
          </w:p>
          <w:p w:rsidRPr="009D55D2" w:rsidR="007E72F0" w:rsidP="00C24A97" w14:paraId="26ED1250" w14:textId="77777777">
            <w:pPr>
              <w:contextualSpacing/>
              <w:rPr>
                <w:b/>
                <w:sz w:val="16"/>
                <w:szCs w:val="16"/>
              </w:rPr>
            </w:pPr>
            <w:r>
              <w:rPr>
                <w:b/>
                <w:sz w:val="16"/>
                <w:szCs w:val="16"/>
              </w:rPr>
              <w:t>4.</w:t>
            </w:r>
            <w:r w:rsidRPr="009D55D2">
              <w:rPr>
                <w:b/>
                <w:sz w:val="16"/>
                <w:szCs w:val="16"/>
              </w:rPr>
              <w:t>Nagestreefde doeltreffendheid</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007E72F0" w:rsidP="007E72F0" w14:paraId="6FE45656" w14:textId="77777777">
            <w:pPr>
              <w:contextualSpacing/>
              <w:rPr>
                <w:sz w:val="16"/>
                <w:szCs w:val="20"/>
              </w:rPr>
            </w:pPr>
            <w:r w:rsidRPr="006475CD">
              <w:rPr>
                <w:sz w:val="16"/>
                <w:szCs w:val="20"/>
              </w:rPr>
              <w:t xml:space="preserve">De doelgroep van de aanpak zijn alle </w:t>
            </w:r>
            <w:r>
              <w:rPr>
                <w:sz w:val="16"/>
                <w:szCs w:val="20"/>
              </w:rPr>
              <w:t>woningeigenaren</w:t>
            </w:r>
            <w:r w:rsidRPr="006475CD">
              <w:rPr>
                <w:sz w:val="16"/>
                <w:szCs w:val="20"/>
              </w:rPr>
              <w:t xml:space="preserve"> van alle gemeenten in de provincie Groningen en de genoemde gemeenten in Noord-Drenthe. De verduurzamingsaanpak wordt in nauwe samenwerking tussen Rijk en regio uitgewerkt en ontwikkeld. Daarbij worden ook andere belangrijke stakeholders betrokken, zoals bijvoorbeeld bewoners</w:t>
            </w:r>
            <w:r>
              <w:rPr>
                <w:sz w:val="16"/>
                <w:szCs w:val="20"/>
              </w:rPr>
              <w:t>(vertegenwoordigers)</w:t>
            </w:r>
            <w:r w:rsidRPr="006475CD">
              <w:rPr>
                <w:sz w:val="16"/>
                <w:szCs w:val="20"/>
              </w:rPr>
              <w:t xml:space="preserve">, woningcoöperaties, de Nationaal Coördinator Groningen en het programma Verbouwstromen. Door in gezamenlijkheid met maatschappelijke organisaties en lokale overheden over te gaan op de uitvoering van de verduurzamingsstimulering, wordt ervoor gezorgd dat er geen onverklaarbare verschillen ontstaan en daarmee de hele regio geïsoleerd kan worden gemaakt. Op deze manier wordt gehoor gegeven aan het inlossen van de ereschuld jegens Groningen en Noord-Drenthe, omdat daarmee deze regio een toekomstbestendige energievoorziening en een lagere energierekening realiseert. </w:t>
            </w:r>
          </w:p>
          <w:p w:rsidRPr="009D55D2" w:rsidR="004C3AEE" w:rsidP="007E72F0" w14:paraId="25D101D4" w14:textId="77777777">
            <w:pPr>
              <w:contextualSpacing/>
              <w:rPr>
                <w:sz w:val="16"/>
                <w:szCs w:val="16"/>
              </w:rPr>
            </w:pPr>
          </w:p>
        </w:tc>
      </w:tr>
      <w:tr w:rsidTr="00C24A97" w14:paraId="3B57DB5C" w14:textId="77777777">
        <w:tblPrEx>
          <w:tblW w:w="0" w:type="auto"/>
          <w:shd w:val="clear" w:color="auto" w:fill="DEEAF6"/>
          <w:tblLook w:val="01E0"/>
        </w:tblPrEx>
        <w:trPr>
          <w:trHeight w:val="801"/>
        </w:trPr>
        <w:tc>
          <w:tcPr>
            <w:tcW w:w="2835" w:type="dxa"/>
            <w:tcBorders>
              <w:top w:val="single" w:color="FFFFFF" w:sz="4" w:space="0"/>
              <w:left w:val="nil"/>
              <w:bottom w:val="single" w:color="FFFFFF" w:sz="4" w:space="0"/>
              <w:right w:val="single" w:color="FFFFFF" w:sz="4" w:space="0"/>
            </w:tcBorders>
            <w:shd w:val="clear" w:color="auto" w:fill="DEEAF6"/>
          </w:tcPr>
          <w:p w:rsidRPr="009D55D2" w:rsidR="007E72F0" w:rsidP="007E72F0" w14:paraId="52B74B64" w14:textId="77777777">
            <w:pPr>
              <w:contextualSpacing/>
              <w:rPr>
                <w:sz w:val="16"/>
                <w:szCs w:val="16"/>
              </w:rPr>
            </w:pPr>
          </w:p>
          <w:p w:rsidRPr="009D55D2" w:rsidR="007E72F0" w:rsidP="00C24A97" w14:paraId="5CD42726" w14:textId="77777777">
            <w:pPr>
              <w:contextualSpacing/>
              <w:rPr>
                <w:b/>
                <w:sz w:val="16"/>
                <w:szCs w:val="16"/>
              </w:rPr>
            </w:pPr>
            <w:r>
              <w:rPr>
                <w:b/>
                <w:sz w:val="16"/>
                <w:szCs w:val="16"/>
              </w:rPr>
              <w:t>5.</w:t>
            </w:r>
            <w:r w:rsidRPr="009D55D2">
              <w:rPr>
                <w:b/>
                <w:sz w:val="16"/>
                <w:szCs w:val="16"/>
              </w:rPr>
              <w:t>Nagestreefde doelmatigheid</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00284932" w:rsidP="007E72F0" w14:paraId="51EEC541" w14:textId="77777777">
            <w:pPr>
              <w:rPr>
                <w:sz w:val="16"/>
                <w:szCs w:val="20"/>
              </w:rPr>
            </w:pPr>
            <w:r w:rsidRPr="006475CD">
              <w:rPr>
                <w:sz w:val="16"/>
                <w:szCs w:val="20"/>
              </w:rPr>
              <w:t xml:space="preserve">De verduurzamingsaanpak </w:t>
            </w:r>
            <w:r>
              <w:rPr>
                <w:sz w:val="16"/>
                <w:szCs w:val="20"/>
              </w:rPr>
              <w:t>is doelmatig en</w:t>
            </w:r>
            <w:r w:rsidRPr="006475CD">
              <w:rPr>
                <w:sz w:val="16"/>
                <w:szCs w:val="20"/>
              </w:rPr>
              <w:t xml:space="preserve"> effectie</w:t>
            </w:r>
            <w:r>
              <w:rPr>
                <w:sz w:val="16"/>
                <w:szCs w:val="20"/>
              </w:rPr>
              <w:t xml:space="preserve">f doordat bewoners actief worden ontzorgd en ondersteund.  </w:t>
            </w:r>
            <w:r w:rsidRPr="006475CD">
              <w:rPr>
                <w:sz w:val="16"/>
                <w:szCs w:val="20"/>
              </w:rPr>
              <w:t>Daarmee wordt het deelnemingspercentage vergroot, wat weer op haar beurt bijdraagt aan</w:t>
            </w:r>
            <w:r>
              <w:rPr>
                <w:sz w:val="16"/>
                <w:szCs w:val="20"/>
              </w:rPr>
              <w:t xml:space="preserve"> een versnelling van</w:t>
            </w:r>
            <w:r w:rsidRPr="006475CD">
              <w:rPr>
                <w:sz w:val="16"/>
                <w:szCs w:val="20"/>
              </w:rPr>
              <w:t xml:space="preserve"> de doelrealisatie. </w:t>
            </w:r>
            <w:r>
              <w:rPr>
                <w:sz w:val="16"/>
                <w:szCs w:val="20"/>
              </w:rPr>
              <w:t xml:space="preserve">Daarnaast is de verwachting dat </w:t>
            </w:r>
            <w:r w:rsidR="00AA652A">
              <w:rPr>
                <w:sz w:val="16"/>
                <w:szCs w:val="20"/>
              </w:rPr>
              <w:t xml:space="preserve">de </w:t>
            </w:r>
            <w:r>
              <w:rPr>
                <w:sz w:val="16"/>
                <w:szCs w:val="20"/>
              </w:rPr>
              <w:t>ondersteuning bijdraagt aan het gerichter en zelfstandiger stappen zetten</w:t>
            </w:r>
            <w:r w:rsidR="00AA652A">
              <w:rPr>
                <w:sz w:val="16"/>
                <w:szCs w:val="20"/>
              </w:rPr>
              <w:t xml:space="preserve"> door bewoners</w:t>
            </w:r>
            <w:r>
              <w:rPr>
                <w:sz w:val="16"/>
                <w:szCs w:val="20"/>
              </w:rPr>
              <w:t xml:space="preserve"> in het verduurzamingsproces wat bijdraagt aan een soepeler verloop van de uitvoering en onnodige vertragingen o</w:t>
            </w:r>
            <w:r w:rsidR="00AA652A">
              <w:rPr>
                <w:sz w:val="16"/>
                <w:szCs w:val="20"/>
              </w:rPr>
              <w:t>f eventueel</w:t>
            </w:r>
            <w:r>
              <w:rPr>
                <w:sz w:val="16"/>
                <w:szCs w:val="20"/>
              </w:rPr>
              <w:t xml:space="preserve"> herhaalwerk kan voorkomen. </w:t>
            </w:r>
            <w:r w:rsidRPr="006475CD">
              <w:rPr>
                <w:sz w:val="16"/>
                <w:szCs w:val="20"/>
              </w:rPr>
              <w:t xml:space="preserve">De belangrijkste uitwerking daarvan is de gebiedsgericht, lokale deur-tot-deur aanpak voor bewoners, waarbij de mogelijkheid bestaat om individueel aan de slag te gaan. </w:t>
            </w:r>
          </w:p>
          <w:p w:rsidRPr="006475CD" w:rsidR="007E72F0" w:rsidP="007E72F0" w14:paraId="50123065" w14:textId="77777777">
            <w:pPr>
              <w:rPr>
                <w:sz w:val="16"/>
                <w:szCs w:val="20"/>
              </w:rPr>
            </w:pPr>
            <w:r w:rsidRPr="006475CD">
              <w:rPr>
                <w:sz w:val="16"/>
                <w:szCs w:val="20"/>
              </w:rPr>
              <w:t xml:space="preserve">Daarmee is er voor zelfredzame bewoners die niet mee willen doen met de collectieve aanpak eveneens ondersteuning vanuit de regeling, zodat de lokale uitvoeringscapaciteit niet onnodig belast wordt. Over de mate waarop individuele verduurzaming in relatie tot collectieve verduurzaming nodig is, wordt op dit moment in de opschalingsaanpak nagedacht.  </w:t>
            </w:r>
          </w:p>
          <w:p w:rsidRPr="006475CD" w:rsidR="007E72F0" w:rsidP="007E72F0" w14:paraId="64D76E1A" w14:textId="77777777">
            <w:pPr>
              <w:rPr>
                <w:sz w:val="16"/>
                <w:szCs w:val="20"/>
              </w:rPr>
            </w:pPr>
            <w:r w:rsidRPr="006475CD">
              <w:rPr>
                <w:sz w:val="16"/>
                <w:szCs w:val="20"/>
              </w:rPr>
              <w:t>De communicatie over en het stimuleren van isolatie zal via verschillende manieren plaats vinden. Hierdoor is de kans groter dat alle doelgroepen daadwerkelijk worden bereikt en geactiveerd. Gemeenten hebben vanuit de regierol in de warmtetransitie een centrale rol en zij kennen de wijken en bewoners. De gemeenschappelijk aanpak via een (gemeenschappelijk) uitvoeringsorganisatie zorgt ervoor dat gemeenten ontzorgd worden. Hoe huurders en woningcorporaties hierbij betrokken worden, wordt op dit moment – ook met het oog op de huidige afspraken en staatsteunregels – verder met de regio uitgewerkt.</w:t>
            </w:r>
          </w:p>
          <w:p w:rsidRPr="009D55D2" w:rsidR="007E72F0" w:rsidP="007E72F0" w14:paraId="37A7CC5D" w14:textId="77777777">
            <w:pPr>
              <w:contextualSpacing/>
              <w:rPr>
                <w:sz w:val="16"/>
                <w:szCs w:val="16"/>
              </w:rPr>
            </w:pPr>
          </w:p>
        </w:tc>
      </w:tr>
      <w:tr w:rsidTr="00C24A97" w14:paraId="4E633BF2" w14:textId="77777777">
        <w:tblPrEx>
          <w:tblW w:w="0" w:type="auto"/>
          <w:shd w:val="clear" w:color="auto" w:fill="DEEAF6"/>
          <w:tblLook w:val="01E0"/>
        </w:tblPrEx>
        <w:trPr>
          <w:trHeight w:val="801"/>
        </w:trPr>
        <w:tc>
          <w:tcPr>
            <w:tcW w:w="2835" w:type="dxa"/>
            <w:tcBorders>
              <w:top w:val="single" w:color="FFFFFF" w:sz="4" w:space="0"/>
              <w:left w:val="nil"/>
              <w:bottom w:val="single" w:color="FFFFFF" w:sz="4" w:space="0"/>
              <w:right w:val="single" w:color="FFFFFF" w:sz="4" w:space="0"/>
            </w:tcBorders>
            <w:shd w:val="clear" w:color="auto" w:fill="DEEAF6"/>
          </w:tcPr>
          <w:p w:rsidRPr="009D55D2" w:rsidR="007E72F0" w:rsidP="007E72F0" w14:paraId="34872E84" w14:textId="77777777">
            <w:pPr>
              <w:contextualSpacing/>
              <w:rPr>
                <w:b/>
                <w:sz w:val="16"/>
                <w:szCs w:val="16"/>
              </w:rPr>
            </w:pPr>
          </w:p>
          <w:p w:rsidRPr="009D55D2" w:rsidR="007E72F0" w:rsidP="00C24A97" w14:paraId="41104C7A" w14:textId="77777777">
            <w:pPr>
              <w:contextualSpacing/>
              <w:rPr>
                <w:sz w:val="16"/>
                <w:szCs w:val="16"/>
              </w:rPr>
            </w:pPr>
            <w:r>
              <w:rPr>
                <w:b/>
                <w:sz w:val="16"/>
                <w:szCs w:val="16"/>
              </w:rPr>
              <w:t>6.</w:t>
            </w:r>
            <w:r w:rsidRPr="009D55D2">
              <w:rPr>
                <w:b/>
                <w:sz w:val="16"/>
                <w:szCs w:val="16"/>
              </w:rPr>
              <w:t>Evaluatieparagraaf</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A90" w:rsidR="007E72F0" w:rsidP="007E72F0" w14:paraId="2952CBF3" w14:textId="77777777">
            <w:pPr>
              <w:rPr>
                <w:rFonts w:cs="Verdana"/>
                <w:sz w:val="16"/>
                <w:szCs w:val="20"/>
              </w:rPr>
            </w:pPr>
            <w:r w:rsidRPr="006475CD">
              <w:rPr>
                <w:rFonts w:cs="Verdana"/>
                <w:sz w:val="16"/>
                <w:szCs w:val="20"/>
              </w:rPr>
              <w:t>In de Staat van Groningen wordt jaarlijks over alle maatregelen gerapporteerd, waaronder ook maatregel 29. Er wordt ook een aparte monitoring in samenwerking met de gemeenten opgesteld. Er zal in ieder geval gemonitord worden hoeveel woningen jaarlijks geïsoleerd worden, welke maatregelen genomen worden, tot welk niveau geïsoleerd wordt en hoe zich dit verhoudt tot de doelstelling. Daarnaast wordt gemonitord hoe de aanvragen en uitvoering van de subsidie aansluit bij de ramingen die gemaakt zijn in dit bestedingsplan, of de jaarlijkse bedragen aansluiten bij de praktijk.</w:t>
            </w:r>
            <w:r>
              <w:rPr>
                <w:rFonts w:cs="Verdana"/>
                <w:sz w:val="16"/>
                <w:szCs w:val="20"/>
              </w:rPr>
              <w:t xml:space="preserve"> </w:t>
            </w:r>
            <w:r w:rsidRPr="00C16A90">
              <w:rPr>
                <w:rFonts w:cs="Verdana"/>
                <w:sz w:val="16"/>
                <w:szCs w:val="20"/>
              </w:rPr>
              <w:t xml:space="preserve">De regeling zal vijf jaar na inwerkingtreding door een worden geëvalueerd. Tevens zal gemonitord worden door SNN en wordt periodiek door het ministerie van VRO over de uitvoering, het tempo hiervan, etc. geëvalueerd. </w:t>
            </w:r>
          </w:p>
          <w:p w:rsidRPr="009D55D2" w:rsidR="007E72F0" w:rsidP="007E72F0" w14:paraId="6866E4C5" w14:textId="77777777">
            <w:pPr>
              <w:contextualSpacing/>
              <w:rPr>
                <w:sz w:val="16"/>
                <w:szCs w:val="16"/>
              </w:rPr>
            </w:pPr>
          </w:p>
        </w:tc>
      </w:tr>
    </w:tbl>
    <w:p w:rsidR="006032D3" w:rsidP="0049251E" w14:paraId="4FFF9FB6" w14:textId="77777777">
      <w:pPr>
        <w:spacing w:line="240" w:lineRule="auto"/>
      </w:pPr>
    </w:p>
    <w:p w:rsidR="007E72F0" w:rsidP="0049251E" w14:paraId="1C9ED911" w14:textId="77777777">
      <w:pPr>
        <w:spacing w:line="240" w:lineRule="auto"/>
      </w:pPr>
    </w:p>
    <w:p w:rsidR="00FF510B" w:rsidP="0049251E" w14:paraId="14FA33C0" w14:textId="77777777">
      <w:pPr>
        <w:spacing w:line="240" w:lineRule="auto"/>
      </w:pPr>
    </w:p>
    <w:p w:rsidR="00FF510B" w:rsidP="0049251E" w14:paraId="5DA006AB" w14:textId="77777777">
      <w:pPr>
        <w:spacing w:line="240" w:lineRule="auto"/>
      </w:pPr>
    </w:p>
    <w:p w:rsidR="00FF510B" w:rsidP="0049251E" w14:paraId="5F2CB79E" w14:textId="77777777">
      <w:pPr>
        <w:spacing w:line="240" w:lineRule="auto"/>
      </w:pPr>
    </w:p>
    <w:p w:rsidR="00FF510B" w:rsidP="0049251E" w14:paraId="518D1F02" w14:textId="77777777">
      <w:pPr>
        <w:spacing w:line="240" w:lineRule="auto"/>
      </w:pPr>
    </w:p>
    <w:p w:rsidR="00FF510B" w:rsidP="0049251E" w14:paraId="2DEB7E2C" w14:textId="77777777">
      <w:pPr>
        <w:spacing w:line="240" w:lineRule="auto"/>
      </w:pPr>
    </w:p>
    <w:p w:rsidR="00FF510B" w:rsidP="0049251E" w14:paraId="3E542DC9" w14:textId="77777777">
      <w:pPr>
        <w:spacing w:line="240" w:lineRule="auto"/>
      </w:pPr>
    </w:p>
    <w:p w:rsidR="00FF510B" w:rsidP="0049251E" w14:paraId="3E6D3CA7" w14:textId="77777777">
      <w:pPr>
        <w:spacing w:line="240" w:lineRule="auto"/>
      </w:pPr>
    </w:p>
    <w:p w:rsidR="00FF510B" w:rsidP="0049251E" w14:paraId="7FBCBB30" w14:textId="77777777">
      <w:pPr>
        <w:spacing w:line="240" w:lineRule="auto"/>
      </w:pPr>
    </w:p>
    <w:p w:rsidR="00FF510B" w:rsidP="0049251E" w14:paraId="06662F8E" w14:textId="77777777">
      <w:pPr>
        <w:spacing w:line="240" w:lineRule="auto"/>
      </w:pPr>
    </w:p>
    <w:p w:rsidR="00FF510B" w:rsidP="0049251E" w14:paraId="193B0BAB" w14:textId="77777777">
      <w:pPr>
        <w:spacing w:line="240" w:lineRule="auto"/>
      </w:pPr>
    </w:p>
    <w:p w:rsidR="00FF510B" w:rsidP="0049251E" w14:paraId="093B51A0" w14:textId="77777777">
      <w:pPr>
        <w:spacing w:line="240" w:lineRule="auto"/>
      </w:pPr>
    </w:p>
    <w:p w:rsidR="00FF510B" w:rsidP="0049251E" w14:paraId="43B72AEF" w14:textId="77777777">
      <w:pPr>
        <w:spacing w:line="240" w:lineRule="auto"/>
      </w:pPr>
    </w:p>
    <w:p w:rsidR="00FF510B" w:rsidP="0049251E" w14:paraId="64F6FB6C" w14:textId="77777777">
      <w:pPr>
        <w:spacing w:line="240" w:lineRule="auto"/>
      </w:pPr>
    </w:p>
    <w:p w:rsidR="00FF510B" w:rsidP="0049251E" w14:paraId="72184DF3" w14:textId="77777777">
      <w:pPr>
        <w:spacing w:line="240" w:lineRule="auto"/>
      </w:pPr>
    </w:p>
    <w:p w:rsidR="000541DE" w:rsidP="0049251E" w14:paraId="29735CD0" w14:textId="77777777">
      <w:pPr>
        <w:spacing w:line="240" w:lineRule="auto"/>
      </w:pPr>
    </w:p>
    <w:p w:rsidR="00FF510B" w:rsidP="0049251E" w14:paraId="49BC6304" w14:textId="77777777">
      <w:pPr>
        <w:spacing w:line="240" w:lineRule="auto"/>
      </w:pPr>
    </w:p>
    <w:p w:rsidRPr="00FE1344" w:rsidR="006032D3" w:rsidP="006032D3" w14:paraId="5B2F66EB" w14:textId="77777777">
      <w:pPr>
        <w:pStyle w:val="ListParagraph"/>
        <w:numPr>
          <w:ilvl w:val="0"/>
          <w:numId w:val="8"/>
        </w:numPr>
        <w:rPr>
          <w:b/>
          <w:bCs/>
        </w:rPr>
      </w:pPr>
      <w:r>
        <w:rPr>
          <w:b/>
          <w:bCs/>
        </w:rPr>
        <w:t>Invoeringskosten Omgevingswet</w:t>
      </w:r>
    </w:p>
    <w:p w:rsidRPr="009D55D2" w:rsidR="006032D3" w:rsidP="006032D3" w14:paraId="448C36BD" w14:textId="77777777">
      <w:pPr>
        <w:contextualSpacing/>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425"/>
        <w:gridCol w:w="5111"/>
      </w:tblGrid>
      <w:tr w:rsidTr="00C24A97" w14:paraId="72686752" w14:textId="77777777">
        <w:tblPrEx>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863"/>
        </w:trPr>
        <w:tc>
          <w:tcPr>
            <w:tcW w:w="5000" w:type="pct"/>
            <w:gridSpan w:val="2"/>
            <w:tcBorders>
              <w:top w:val="single" w:color="FFFFFF" w:sz="4" w:space="0"/>
              <w:left w:val="nil"/>
              <w:bottom w:val="single" w:color="FFFFFF" w:sz="4" w:space="0"/>
              <w:right w:val="single" w:color="FFFFFF" w:sz="4" w:space="0"/>
            </w:tcBorders>
            <w:shd w:val="clear" w:color="auto" w:fill="DEEAF6"/>
            <w:vAlign w:val="center"/>
            <w:hideMark/>
          </w:tcPr>
          <w:p w:rsidRPr="009D55D2" w:rsidR="006032D3" w:rsidP="00E03784" w14:paraId="521CC3AE" w14:textId="77777777">
            <w:pPr>
              <w:contextualSpacing/>
              <w:rPr>
                <w:b/>
                <w:sz w:val="16"/>
                <w:szCs w:val="16"/>
              </w:rPr>
            </w:pPr>
            <w:r w:rsidRPr="009D55D2">
              <w:rPr>
                <w:b/>
                <w:sz w:val="16"/>
                <w:szCs w:val="16"/>
              </w:rPr>
              <w:t>Beleidskeuzes uitgelegd</w:t>
            </w:r>
            <w:r w:rsidRPr="009D55D2">
              <w:rPr>
                <w:sz w:val="16"/>
                <w:szCs w:val="16"/>
              </w:rPr>
              <w:t xml:space="preserve"> </w:t>
            </w:r>
          </w:p>
          <w:p w:rsidRPr="009D55D2" w:rsidR="006032D3" w:rsidP="00E03784" w14:paraId="348BCDF1" w14:textId="77777777">
            <w:pPr>
              <w:contextualSpacing/>
              <w:rPr>
                <w:sz w:val="16"/>
                <w:szCs w:val="16"/>
              </w:rPr>
            </w:pPr>
          </w:p>
        </w:tc>
      </w:tr>
      <w:tr w:rsidTr="00FF510B" w14:paraId="7790EA94" w14:textId="77777777">
        <w:tblPrEx>
          <w:tblW w:w="5000" w:type="pct"/>
          <w:shd w:val="clear" w:color="auto" w:fill="DEEAF6"/>
          <w:tblLook w:val="01E0"/>
        </w:tblPrEx>
        <w:trPr>
          <w:trHeight w:val="741"/>
        </w:trPr>
        <w:tc>
          <w:tcPr>
            <w:tcW w:w="1609" w:type="pct"/>
            <w:tcBorders>
              <w:top w:val="single" w:color="FFFFFF" w:sz="4" w:space="0"/>
              <w:left w:val="nil"/>
              <w:bottom w:val="single" w:color="FFFFFF" w:sz="4" w:space="0"/>
              <w:right w:val="single" w:color="FFFFFF" w:sz="4" w:space="0"/>
            </w:tcBorders>
            <w:shd w:val="clear" w:color="auto" w:fill="DEEAF6"/>
          </w:tcPr>
          <w:p w:rsidRPr="009D55D2" w:rsidR="006032D3" w:rsidP="00E03784" w14:paraId="2A50ADA6" w14:textId="77777777">
            <w:pPr>
              <w:contextualSpacing/>
              <w:rPr>
                <w:b/>
                <w:sz w:val="16"/>
                <w:szCs w:val="16"/>
              </w:rPr>
            </w:pPr>
          </w:p>
          <w:p w:rsidRPr="009D55D2" w:rsidR="006032D3" w:rsidP="00C24A97" w14:paraId="742292B1" w14:textId="77777777">
            <w:pPr>
              <w:contextualSpacing/>
              <w:rPr>
                <w:b/>
                <w:sz w:val="16"/>
                <w:szCs w:val="16"/>
              </w:rPr>
            </w:pPr>
            <w:r>
              <w:rPr>
                <w:b/>
                <w:sz w:val="16"/>
                <w:szCs w:val="16"/>
              </w:rPr>
              <w:t>1.</w:t>
            </w:r>
            <w:r w:rsidRPr="009D55D2">
              <w:rPr>
                <w:b/>
                <w:sz w:val="16"/>
                <w:szCs w:val="16"/>
              </w:rPr>
              <w:t xml:space="preserve">Doel(en) </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9D55D2" w:rsidR="006032D3" w:rsidP="00E03784" w14:paraId="6D6284E3" w14:textId="77777777">
            <w:pPr>
              <w:rPr>
                <w:sz w:val="16"/>
                <w:szCs w:val="16"/>
              </w:rPr>
            </w:pPr>
            <w:r w:rsidRPr="0049251E">
              <w:rPr>
                <w:sz w:val="16"/>
                <w:szCs w:val="16"/>
              </w:rPr>
              <w:t>N</w:t>
            </w:r>
            <w:r>
              <w:rPr>
                <w:sz w:val="16"/>
                <w:szCs w:val="16"/>
              </w:rPr>
              <w:t>a</w:t>
            </w:r>
            <w:r w:rsidR="00982621">
              <w:rPr>
                <w:sz w:val="16"/>
                <w:szCs w:val="16"/>
              </w:rPr>
              <w:t>ar</w:t>
            </w:r>
            <w:r>
              <w:rPr>
                <w:sz w:val="16"/>
                <w:szCs w:val="16"/>
              </w:rPr>
              <w:t xml:space="preserve"> aanleiding van</w:t>
            </w:r>
            <w:r w:rsidRPr="0049251E">
              <w:rPr>
                <w:sz w:val="16"/>
                <w:szCs w:val="16"/>
              </w:rPr>
              <w:t xml:space="preserve"> het Integraal Financieel beeld (IFB2021) en het KPMG rapport uit 2021 (onderzoek transitiekosten O</w:t>
            </w:r>
            <w:r>
              <w:rPr>
                <w:sz w:val="16"/>
                <w:szCs w:val="16"/>
              </w:rPr>
              <w:t>mgevingswet</w:t>
            </w:r>
            <w:r w:rsidRPr="0049251E">
              <w:rPr>
                <w:sz w:val="16"/>
                <w:szCs w:val="16"/>
              </w:rPr>
              <w:t>) heeft het kabinet besloten om middelen vanuit het Rijk ter beschikking te stellen als bijdrage in de transitiekosten van bevoegd gezagen om de invoering van de Omgevingswet niet in gevaar te laten komen. Deze middelen kunnen ingezet worden ten behoeve van activiteiten voor het (leren) werken met de Omgevingswet door de gemeenten.</w:t>
            </w:r>
            <w:r w:rsidR="001F22C3">
              <w:rPr>
                <w:sz w:val="16"/>
                <w:szCs w:val="16"/>
              </w:rPr>
              <w:t xml:space="preserve"> </w:t>
            </w:r>
            <w:r w:rsidRPr="001F22C3" w:rsidR="001F22C3">
              <w:rPr>
                <w:sz w:val="16"/>
                <w:szCs w:val="16"/>
              </w:rPr>
              <w:t xml:space="preserve">Met het uitkeren van </w:t>
            </w:r>
            <w:r w:rsidR="001F22C3">
              <w:rPr>
                <w:sz w:val="16"/>
                <w:szCs w:val="16"/>
              </w:rPr>
              <w:t xml:space="preserve">deze middelen </w:t>
            </w:r>
            <w:r w:rsidRPr="001F22C3" w:rsidR="001F22C3">
              <w:rPr>
                <w:sz w:val="16"/>
                <w:szCs w:val="16"/>
              </w:rPr>
              <w:t>kunnen de ontvangende partijen in hun transitie ervoor zorgdragen dat ze aangesloten, geoefend en ingeregeld zijn en voldoen aan de in de Omgevingswet gestelde eisen.</w:t>
            </w:r>
            <w:r w:rsidRPr="0049251E">
              <w:rPr>
                <w:sz w:val="16"/>
                <w:szCs w:val="16"/>
              </w:rPr>
              <w:t xml:space="preserve"> De overeengekomen overgangstermijn voor gemeentelijke omgevingsplannen loopt tot 1 januari 2032.</w:t>
            </w:r>
          </w:p>
        </w:tc>
      </w:tr>
      <w:tr w:rsidTr="00FF510B" w14:paraId="42095DF3" w14:textId="77777777">
        <w:tblPrEx>
          <w:tblW w:w="5000" w:type="pct"/>
          <w:shd w:val="clear" w:color="auto" w:fill="DEEAF6"/>
          <w:tblLook w:val="01E0"/>
        </w:tblPrEx>
        <w:trPr>
          <w:trHeight w:val="565"/>
        </w:trPr>
        <w:tc>
          <w:tcPr>
            <w:tcW w:w="1609" w:type="pct"/>
            <w:tcBorders>
              <w:top w:val="single" w:color="FFFFFF" w:sz="4" w:space="0"/>
              <w:left w:val="nil"/>
              <w:bottom w:val="single" w:color="FFFFFF" w:sz="4" w:space="0"/>
              <w:right w:val="single" w:color="FFFFFF" w:sz="4" w:space="0"/>
            </w:tcBorders>
            <w:shd w:val="clear" w:color="auto" w:fill="DEEAF6"/>
          </w:tcPr>
          <w:p w:rsidRPr="009D55D2" w:rsidR="006032D3" w:rsidP="00E03784" w14:paraId="0D84222F" w14:textId="77777777">
            <w:pPr>
              <w:contextualSpacing/>
              <w:rPr>
                <w:b/>
                <w:sz w:val="16"/>
                <w:szCs w:val="16"/>
              </w:rPr>
            </w:pPr>
          </w:p>
          <w:p w:rsidRPr="009D55D2" w:rsidR="006032D3" w:rsidP="00C24A97" w14:paraId="212026A4" w14:textId="77777777">
            <w:pPr>
              <w:contextualSpacing/>
              <w:rPr>
                <w:b/>
                <w:sz w:val="16"/>
                <w:szCs w:val="16"/>
              </w:rPr>
            </w:pPr>
            <w:r>
              <w:rPr>
                <w:b/>
                <w:sz w:val="16"/>
                <w:szCs w:val="16"/>
              </w:rPr>
              <w:t>2.</w:t>
            </w:r>
            <w:r w:rsidRPr="009D55D2">
              <w:rPr>
                <w:b/>
                <w:sz w:val="16"/>
                <w:szCs w:val="16"/>
              </w:rPr>
              <w:t>Beleidsinstrument(en)</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004C3AEE" w:rsidP="0049251E" w14:paraId="69771294" w14:textId="77777777">
            <w:pPr>
              <w:contextualSpacing/>
              <w:rPr>
                <w:sz w:val="16"/>
                <w:szCs w:val="16"/>
              </w:rPr>
            </w:pPr>
            <w:r w:rsidRPr="001F22C3">
              <w:rPr>
                <w:sz w:val="16"/>
                <w:szCs w:val="16"/>
              </w:rPr>
              <w:t xml:space="preserve">• </w:t>
            </w:r>
            <w:r>
              <w:rPr>
                <w:sz w:val="16"/>
                <w:szCs w:val="16"/>
              </w:rPr>
              <w:t>De middelen worden</w:t>
            </w:r>
            <w:r w:rsidRPr="001F22C3">
              <w:rPr>
                <w:sz w:val="16"/>
                <w:szCs w:val="16"/>
              </w:rPr>
              <w:t xml:space="preserve"> via het Gemeentefonds ter beschikking gesteld aan gemeenten in de meicirculaire 2025. </w:t>
            </w:r>
          </w:p>
          <w:p w:rsidRPr="0049251E" w:rsidR="0049251E" w:rsidP="0049251E" w14:paraId="1810B007" w14:textId="77777777">
            <w:pPr>
              <w:contextualSpacing/>
              <w:rPr>
                <w:sz w:val="16"/>
                <w:szCs w:val="16"/>
              </w:rPr>
            </w:pPr>
            <w:r w:rsidRPr="0049251E">
              <w:rPr>
                <w:sz w:val="16"/>
                <w:szCs w:val="16"/>
              </w:rPr>
              <w:t>•</w:t>
            </w:r>
            <w:r>
              <w:rPr>
                <w:sz w:val="16"/>
                <w:szCs w:val="16"/>
              </w:rPr>
              <w:t xml:space="preserve"> </w:t>
            </w:r>
            <w:r w:rsidRPr="0049251E">
              <w:rPr>
                <w:sz w:val="16"/>
                <w:szCs w:val="16"/>
              </w:rPr>
              <w:t xml:space="preserve">Interbestuurlijk is een zorgvuldig monitoringsproces overeengekomen. Afgesproken is eerst de transitiekosten te evalueren. Dit rapport </w:t>
            </w:r>
            <w:r w:rsidR="004C3AEE">
              <w:rPr>
                <w:sz w:val="16"/>
                <w:szCs w:val="16"/>
              </w:rPr>
              <w:t>is</w:t>
            </w:r>
            <w:r w:rsidRPr="0049251E" w:rsidR="004C3AEE">
              <w:rPr>
                <w:sz w:val="16"/>
                <w:szCs w:val="16"/>
              </w:rPr>
              <w:t xml:space="preserve"> </w:t>
            </w:r>
            <w:r w:rsidRPr="0049251E">
              <w:rPr>
                <w:sz w:val="16"/>
                <w:szCs w:val="16"/>
              </w:rPr>
              <w:t>medio april met de beide Kamers gedeeld tezamen met de Nulmeting van de structurele taken</w:t>
            </w:r>
            <w:r w:rsidR="00865E4A">
              <w:rPr>
                <w:sz w:val="16"/>
                <w:szCs w:val="16"/>
              </w:rPr>
              <w:t xml:space="preserve"> (Kamerstuk 33118, nr. 292)</w:t>
            </w:r>
            <w:r w:rsidRPr="0049251E">
              <w:rPr>
                <w:sz w:val="16"/>
                <w:szCs w:val="16"/>
              </w:rPr>
              <w:t>. Vervolgens zullen twee integrale financiele evaluaties worden opgeleverd na één en vijf jaar inwerkingtreding van de O</w:t>
            </w:r>
            <w:r>
              <w:rPr>
                <w:sz w:val="16"/>
                <w:szCs w:val="16"/>
              </w:rPr>
              <w:t>mgevingswet</w:t>
            </w:r>
            <w:r w:rsidRPr="0049251E">
              <w:rPr>
                <w:sz w:val="16"/>
                <w:szCs w:val="16"/>
              </w:rPr>
              <w:t>.</w:t>
            </w:r>
          </w:p>
          <w:p w:rsidRPr="0049251E" w:rsidR="0049251E" w:rsidP="0049251E" w14:paraId="533DC479" w14:textId="77777777">
            <w:pPr>
              <w:contextualSpacing/>
              <w:rPr>
                <w:sz w:val="16"/>
                <w:szCs w:val="16"/>
              </w:rPr>
            </w:pPr>
            <w:r w:rsidRPr="0049251E">
              <w:rPr>
                <w:sz w:val="16"/>
                <w:szCs w:val="16"/>
              </w:rPr>
              <w:t>•</w:t>
            </w:r>
            <w:r>
              <w:rPr>
                <w:sz w:val="16"/>
                <w:szCs w:val="16"/>
              </w:rPr>
              <w:t xml:space="preserve"> </w:t>
            </w:r>
            <w:r w:rsidRPr="0049251E">
              <w:rPr>
                <w:sz w:val="16"/>
                <w:szCs w:val="16"/>
              </w:rPr>
              <w:t>Met de evaluaties wordt stilgestaan bij de vraag of wordt voldaan aan het uitgangspunt dat overheden financieel niet beter hoeven te worden van de Omgevingswet, maar er ook niet op achteruit hoeven te gaan.</w:t>
            </w:r>
          </w:p>
          <w:p w:rsidRPr="009D55D2" w:rsidR="001F22C3" w:rsidP="0049251E" w14:paraId="03A73E30" w14:textId="77777777">
            <w:pPr>
              <w:contextualSpacing/>
              <w:rPr>
                <w:sz w:val="16"/>
                <w:szCs w:val="16"/>
              </w:rPr>
            </w:pPr>
            <w:r w:rsidRPr="0049251E">
              <w:rPr>
                <w:sz w:val="16"/>
                <w:szCs w:val="16"/>
              </w:rPr>
              <w:t>•</w:t>
            </w:r>
            <w:r>
              <w:rPr>
                <w:sz w:val="16"/>
                <w:szCs w:val="16"/>
              </w:rPr>
              <w:t xml:space="preserve"> </w:t>
            </w:r>
            <w:r w:rsidRPr="0049251E">
              <w:rPr>
                <w:sz w:val="16"/>
                <w:szCs w:val="16"/>
              </w:rPr>
              <w:t>Interbestuurlijk zijn partijen in overleg over scherpere sturing op de financiën.</w:t>
            </w:r>
          </w:p>
        </w:tc>
      </w:tr>
      <w:tr w:rsidTr="00FF510B" w14:paraId="128B70B2" w14:textId="77777777">
        <w:tblPrEx>
          <w:tblW w:w="5000" w:type="pct"/>
          <w:shd w:val="clear" w:color="auto" w:fill="DEEAF6"/>
          <w:tblLook w:val="01E0"/>
        </w:tblPrEx>
        <w:trPr>
          <w:trHeight w:val="655"/>
        </w:trPr>
        <w:tc>
          <w:tcPr>
            <w:tcW w:w="1609" w:type="pct"/>
            <w:tcBorders>
              <w:top w:val="single" w:color="FFFFFF" w:sz="4" w:space="0"/>
              <w:left w:val="nil"/>
              <w:bottom w:val="single" w:color="FFFFFF" w:sz="4" w:space="0"/>
              <w:right w:val="single" w:color="FFFFFF" w:sz="4" w:space="0"/>
            </w:tcBorders>
            <w:shd w:val="clear" w:color="auto" w:fill="DEEAF6"/>
          </w:tcPr>
          <w:p w:rsidRPr="009D55D2" w:rsidR="006032D3" w:rsidP="00E03784" w14:paraId="7C661B0D" w14:textId="77777777">
            <w:pPr>
              <w:contextualSpacing/>
              <w:rPr>
                <w:b/>
                <w:sz w:val="16"/>
                <w:szCs w:val="16"/>
              </w:rPr>
            </w:pPr>
          </w:p>
          <w:p w:rsidRPr="009D55D2" w:rsidR="006032D3" w:rsidP="00C24A97" w14:paraId="7428B183" w14:textId="77777777">
            <w:pPr>
              <w:contextualSpacing/>
              <w:rPr>
                <w:b/>
                <w:sz w:val="16"/>
                <w:szCs w:val="16"/>
              </w:rPr>
            </w:pPr>
            <w:r>
              <w:rPr>
                <w:b/>
                <w:sz w:val="16"/>
                <w:szCs w:val="16"/>
              </w:rPr>
              <w:t>3</w:t>
            </w:r>
            <w:r w:rsidRPr="009D55D2">
              <w:rPr>
                <w:b/>
                <w:sz w:val="16"/>
                <w:szCs w:val="16"/>
              </w:rPr>
              <w:t>A. Financiële gevolgen voor het Rijk</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49251E" w:rsidR="0049251E" w:rsidP="0049251E" w14:paraId="582EEF17" w14:textId="77777777">
            <w:pPr>
              <w:rPr>
                <w:sz w:val="16"/>
                <w:szCs w:val="16"/>
              </w:rPr>
            </w:pPr>
            <w:r w:rsidRPr="0049251E">
              <w:rPr>
                <w:sz w:val="16"/>
                <w:szCs w:val="16"/>
              </w:rPr>
              <w:t xml:space="preserve">Deze middelen </w:t>
            </w:r>
            <w:r>
              <w:rPr>
                <w:sz w:val="16"/>
                <w:szCs w:val="16"/>
              </w:rPr>
              <w:t>waren</w:t>
            </w:r>
            <w:r w:rsidRPr="0049251E">
              <w:rPr>
                <w:sz w:val="16"/>
                <w:szCs w:val="16"/>
              </w:rPr>
              <w:t xml:space="preserve"> gereserveerd op de aanvullende post. Het betreft een totaal bedrag van € 80,</w:t>
            </w:r>
            <w:r w:rsidR="00E431E9">
              <w:rPr>
                <w:sz w:val="16"/>
                <w:szCs w:val="16"/>
              </w:rPr>
              <w:t>7</w:t>
            </w:r>
            <w:r w:rsidRPr="0049251E" w:rsidR="00E431E9">
              <w:rPr>
                <w:sz w:val="16"/>
                <w:szCs w:val="16"/>
              </w:rPr>
              <w:t xml:space="preserve"> </w:t>
            </w:r>
            <w:r w:rsidRPr="0049251E">
              <w:rPr>
                <w:sz w:val="16"/>
                <w:szCs w:val="16"/>
              </w:rPr>
              <w:t xml:space="preserve">mln. in 2025. </w:t>
            </w:r>
          </w:p>
          <w:p w:rsidRPr="009D55D2" w:rsidR="006032D3" w:rsidP="00E03784" w14:paraId="1B9732FA" w14:textId="77777777">
            <w:pPr>
              <w:contextualSpacing/>
              <w:rPr>
                <w:sz w:val="16"/>
                <w:szCs w:val="16"/>
              </w:rPr>
            </w:pPr>
          </w:p>
        </w:tc>
      </w:tr>
      <w:tr w:rsidTr="00FF510B" w14:paraId="2F9E27E5" w14:textId="77777777">
        <w:tblPrEx>
          <w:tblW w:w="5000" w:type="pct"/>
          <w:shd w:val="clear" w:color="auto" w:fill="DEEAF6"/>
          <w:tblLook w:val="01E0"/>
        </w:tblPrEx>
        <w:trPr>
          <w:trHeight w:val="725"/>
        </w:trPr>
        <w:tc>
          <w:tcPr>
            <w:tcW w:w="1609" w:type="pct"/>
            <w:tcBorders>
              <w:top w:val="single" w:color="FFFFFF" w:sz="4" w:space="0"/>
              <w:left w:val="nil"/>
              <w:bottom w:val="single" w:color="FFFFFF" w:sz="4" w:space="0"/>
              <w:right w:val="single" w:color="FFFFFF" w:sz="4" w:space="0"/>
            </w:tcBorders>
            <w:shd w:val="clear" w:color="auto" w:fill="DEEAF6"/>
          </w:tcPr>
          <w:p w:rsidRPr="009D55D2" w:rsidR="006032D3" w:rsidP="00E03784" w14:paraId="0A6F2845" w14:textId="77777777">
            <w:pPr>
              <w:contextualSpacing/>
              <w:rPr>
                <w:b/>
                <w:sz w:val="16"/>
                <w:szCs w:val="16"/>
              </w:rPr>
            </w:pPr>
          </w:p>
          <w:p w:rsidRPr="009D55D2" w:rsidR="006032D3" w:rsidP="00E03784" w14:paraId="65689D1B" w14:textId="77777777">
            <w:pPr>
              <w:contextualSpacing/>
              <w:rPr>
                <w:b/>
                <w:sz w:val="16"/>
                <w:szCs w:val="16"/>
              </w:rPr>
            </w:pPr>
            <w:r>
              <w:rPr>
                <w:b/>
                <w:sz w:val="16"/>
                <w:szCs w:val="16"/>
              </w:rPr>
              <w:t>3</w:t>
            </w:r>
            <w:r w:rsidRPr="009D55D2">
              <w:rPr>
                <w:b/>
                <w:sz w:val="16"/>
                <w:szCs w:val="16"/>
              </w:rPr>
              <w:t xml:space="preserve">B. Financiële gevolgen voor maatschappelijke sectoren </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49251E" w:rsidR="0049251E" w:rsidP="0049251E" w14:paraId="795FFDEE" w14:textId="77777777">
            <w:pPr>
              <w:contextualSpacing/>
              <w:rPr>
                <w:sz w:val="16"/>
                <w:szCs w:val="16"/>
              </w:rPr>
            </w:pPr>
            <w:r w:rsidRPr="0049251E">
              <w:rPr>
                <w:sz w:val="16"/>
                <w:szCs w:val="16"/>
              </w:rPr>
              <w:t>De financiele gevolgen van de invoering van de Omgevingswet voor de maatschappij zijn aanzienlijk.</w:t>
            </w:r>
          </w:p>
          <w:p w:rsidRPr="0049251E" w:rsidR="0049251E" w:rsidP="0049251E" w14:paraId="729D8D97" w14:textId="77777777">
            <w:pPr>
              <w:contextualSpacing/>
              <w:rPr>
                <w:sz w:val="16"/>
                <w:szCs w:val="16"/>
              </w:rPr>
            </w:pPr>
          </w:p>
          <w:p w:rsidRPr="0049251E" w:rsidR="0049251E" w:rsidP="0049251E" w14:paraId="214DDD0F" w14:textId="77777777">
            <w:pPr>
              <w:contextualSpacing/>
              <w:rPr>
                <w:sz w:val="16"/>
                <w:szCs w:val="16"/>
              </w:rPr>
            </w:pPr>
            <w:r w:rsidRPr="0049251E">
              <w:rPr>
                <w:sz w:val="16"/>
                <w:szCs w:val="16"/>
              </w:rPr>
              <w:t>Bij het beoordelen van alle financiële effecten van de Omgevingswet voor bevoegde gezagen is het belangrijk om de bedoeling in ogenschouw te houden, dat burgers en bedrijven meer mogelijkheden krijgen. Zoals in het Integraal Financieel Beeld 2021 staat, kan de Omgevingswet relatief grote positieve effecten veroorzaken. In de meest vergaande variant (2a) is destijds het financieel effect van de O</w:t>
            </w:r>
            <w:r>
              <w:rPr>
                <w:sz w:val="16"/>
                <w:szCs w:val="16"/>
              </w:rPr>
              <w:t>mgevingswet</w:t>
            </w:r>
            <w:r w:rsidRPr="0049251E">
              <w:rPr>
                <w:sz w:val="16"/>
                <w:szCs w:val="16"/>
              </w:rPr>
              <w:t xml:space="preserve"> voor overheden, burgers en </w:t>
            </w:r>
            <w:r w:rsidRPr="0049251E">
              <w:rPr>
                <w:sz w:val="16"/>
                <w:szCs w:val="16"/>
              </w:rPr>
              <w:t>bedrijven op een structurele besparing van ongeveer € 1,5 mld. (prijspeil 2022) geraamd. De realisatie daarvan is afhankelijk van de keuzes die bevoegde gezagen maken bij de invulling van hun decentrale beleidsruimte in het stelsel van de O</w:t>
            </w:r>
            <w:r>
              <w:rPr>
                <w:sz w:val="16"/>
                <w:szCs w:val="16"/>
              </w:rPr>
              <w:t>mgevingswet.</w:t>
            </w:r>
          </w:p>
          <w:p w:rsidRPr="0049251E" w:rsidR="0049251E" w:rsidP="0049251E" w14:paraId="43263E06" w14:textId="77777777">
            <w:pPr>
              <w:contextualSpacing/>
              <w:rPr>
                <w:sz w:val="16"/>
                <w:szCs w:val="16"/>
              </w:rPr>
            </w:pPr>
          </w:p>
          <w:p w:rsidRPr="009D55D2" w:rsidR="006032D3" w:rsidP="0049251E" w14:paraId="2D264126" w14:textId="77777777">
            <w:pPr>
              <w:contextualSpacing/>
              <w:rPr>
                <w:sz w:val="16"/>
                <w:szCs w:val="16"/>
              </w:rPr>
            </w:pPr>
            <w:r w:rsidRPr="0049251E">
              <w:rPr>
                <w:sz w:val="16"/>
                <w:szCs w:val="16"/>
              </w:rPr>
              <w:t>De transitiekosten voor de invoering van de Omgevingswet, die door bevoegde gezagen worden gemaakt ter grootte van eenmalig € 2 tot 3 mld., zijn in absolute zin zeer omvangrijk. Overheden hebben deze budgetten de afgelopen jaren uit lopende exploitaties vrij moeten maken, terwijl er ook vele andere prioriteiten waren. Het is goed deze transitiekosten van € 2 tot 3 mld. voor de invoering van de Omgevingswet in het perspectief van de verwachte maatschappelijk besparing voor overheden, burgers en bedrijven van structureel € 1,5 mld. per jaar te plaatsen.</w:t>
            </w:r>
          </w:p>
        </w:tc>
      </w:tr>
      <w:tr w:rsidTr="00FF510B" w14:paraId="3FA576B7" w14:textId="77777777">
        <w:tblPrEx>
          <w:tblW w:w="5000" w:type="pct"/>
          <w:shd w:val="clear" w:color="auto" w:fill="DEEAF6"/>
          <w:tblLook w:val="01E0"/>
        </w:tblPrEx>
        <w:trPr>
          <w:trHeight w:val="778"/>
        </w:trPr>
        <w:tc>
          <w:tcPr>
            <w:tcW w:w="1609" w:type="pct"/>
            <w:tcBorders>
              <w:top w:val="single" w:color="FFFFFF" w:sz="4" w:space="0"/>
              <w:left w:val="nil"/>
              <w:bottom w:val="single" w:color="FFFFFF" w:sz="4" w:space="0"/>
              <w:right w:val="single" w:color="FFFFFF" w:sz="4" w:space="0"/>
            </w:tcBorders>
            <w:shd w:val="clear" w:color="auto" w:fill="DEEAF6"/>
          </w:tcPr>
          <w:p w:rsidRPr="009D55D2" w:rsidR="006032D3" w:rsidP="00E03784" w14:paraId="616D54E8" w14:textId="77777777">
            <w:pPr>
              <w:contextualSpacing/>
              <w:rPr>
                <w:b/>
                <w:sz w:val="16"/>
                <w:szCs w:val="16"/>
              </w:rPr>
            </w:pPr>
          </w:p>
          <w:p w:rsidRPr="009D55D2" w:rsidR="006032D3" w:rsidP="00C24A97" w14:paraId="3A5F2485" w14:textId="77777777">
            <w:pPr>
              <w:contextualSpacing/>
              <w:rPr>
                <w:b/>
                <w:sz w:val="16"/>
                <w:szCs w:val="16"/>
              </w:rPr>
            </w:pPr>
            <w:r>
              <w:rPr>
                <w:b/>
                <w:sz w:val="16"/>
                <w:szCs w:val="16"/>
              </w:rPr>
              <w:t>4.</w:t>
            </w:r>
            <w:r w:rsidRPr="009D55D2">
              <w:rPr>
                <w:b/>
                <w:sz w:val="16"/>
                <w:szCs w:val="16"/>
              </w:rPr>
              <w:t>Nagestreefde doeltreffendheid</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9D55D2" w:rsidR="006032D3" w:rsidP="00E03784" w14:paraId="6F08CCCB" w14:textId="77777777">
            <w:pPr>
              <w:contextualSpacing/>
              <w:rPr>
                <w:sz w:val="16"/>
                <w:szCs w:val="16"/>
              </w:rPr>
            </w:pPr>
            <w:r w:rsidRPr="0049251E">
              <w:rPr>
                <w:sz w:val="16"/>
                <w:szCs w:val="16"/>
              </w:rPr>
              <w:t xml:space="preserve">De doeltreffendheid is geborgd via de financiele evaluaties conform de interbestuurlijke afspraken. De onderzoeken worden door onafhankelijke adviseurs uitgevoerd en de resultaten zullen worden gedeeld met het </w:t>
            </w:r>
            <w:r>
              <w:rPr>
                <w:sz w:val="16"/>
                <w:szCs w:val="16"/>
              </w:rPr>
              <w:t>m</w:t>
            </w:r>
            <w:r w:rsidRPr="0049251E">
              <w:rPr>
                <w:sz w:val="16"/>
                <w:szCs w:val="16"/>
              </w:rPr>
              <w:t>inisterie van Financiën. Met het bekend worden van de onderzoeksresultaten zal ook gekeken worden of meer concrete afspraken gemaakt kunnen worden ten aanzien van de doeltreffendheid.</w:t>
            </w:r>
          </w:p>
        </w:tc>
      </w:tr>
      <w:tr w:rsidTr="00FF510B" w14:paraId="6E5BFFDB" w14:textId="77777777">
        <w:tblPrEx>
          <w:tblW w:w="5000" w:type="pct"/>
          <w:shd w:val="clear" w:color="auto" w:fill="DEEAF6"/>
          <w:tblLook w:val="01E0"/>
        </w:tblPrEx>
        <w:trPr>
          <w:trHeight w:val="801"/>
        </w:trPr>
        <w:tc>
          <w:tcPr>
            <w:tcW w:w="1609" w:type="pct"/>
            <w:tcBorders>
              <w:top w:val="single" w:color="FFFFFF" w:sz="4" w:space="0"/>
              <w:left w:val="nil"/>
              <w:bottom w:val="single" w:color="FFFFFF" w:sz="4" w:space="0"/>
              <w:right w:val="single" w:color="FFFFFF" w:sz="4" w:space="0"/>
            </w:tcBorders>
            <w:shd w:val="clear" w:color="auto" w:fill="DEEAF6"/>
          </w:tcPr>
          <w:p w:rsidRPr="009D55D2" w:rsidR="006032D3" w:rsidP="00E03784" w14:paraId="49C824C5" w14:textId="77777777">
            <w:pPr>
              <w:contextualSpacing/>
              <w:rPr>
                <w:sz w:val="16"/>
                <w:szCs w:val="16"/>
              </w:rPr>
            </w:pPr>
          </w:p>
          <w:p w:rsidRPr="009D55D2" w:rsidR="006032D3" w:rsidP="00C24A97" w14:paraId="1E376EB0" w14:textId="77777777">
            <w:pPr>
              <w:contextualSpacing/>
              <w:rPr>
                <w:b/>
                <w:sz w:val="16"/>
                <w:szCs w:val="16"/>
              </w:rPr>
            </w:pPr>
            <w:r>
              <w:rPr>
                <w:b/>
                <w:sz w:val="16"/>
                <w:szCs w:val="16"/>
              </w:rPr>
              <w:t>5.</w:t>
            </w:r>
            <w:r w:rsidRPr="009D55D2">
              <w:rPr>
                <w:b/>
                <w:sz w:val="16"/>
                <w:szCs w:val="16"/>
              </w:rPr>
              <w:t>Nagestreefde doelmatigheid</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49251E" w:rsidR="0049251E" w:rsidP="0049251E" w14:paraId="4F9E169A" w14:textId="77777777">
            <w:pPr>
              <w:rPr>
                <w:sz w:val="16"/>
                <w:szCs w:val="16"/>
              </w:rPr>
            </w:pPr>
            <w:r w:rsidRPr="0049251E">
              <w:rPr>
                <w:sz w:val="16"/>
                <w:szCs w:val="16"/>
              </w:rPr>
              <w:t>De doelmatigheid is geborgd via de financiele evaluaties conform de interbestuurlijke afspraken. De onderzoeken worden door onafhankelijke adviseurs uitgevoerd worden en de resultaten zullen worden gedeeld met het ministerie van Financiën. Met het bekend worden van de onderzoeksresultaten zal ook gekeken worden of meer concrete afspraken gemaakt kunnen worden ten aanzien van de doelmatigheid.</w:t>
            </w:r>
          </w:p>
          <w:p w:rsidRPr="009D55D2" w:rsidR="006032D3" w:rsidP="00E03784" w14:paraId="7ED5E26A" w14:textId="77777777">
            <w:pPr>
              <w:contextualSpacing/>
              <w:rPr>
                <w:sz w:val="16"/>
                <w:szCs w:val="16"/>
              </w:rPr>
            </w:pPr>
          </w:p>
        </w:tc>
      </w:tr>
      <w:tr w:rsidTr="00FF510B" w14:paraId="45D0E8E0" w14:textId="77777777">
        <w:tblPrEx>
          <w:tblW w:w="5000" w:type="pct"/>
          <w:shd w:val="clear" w:color="auto" w:fill="DEEAF6"/>
          <w:tblLook w:val="01E0"/>
        </w:tblPrEx>
        <w:trPr>
          <w:trHeight w:val="801"/>
        </w:trPr>
        <w:tc>
          <w:tcPr>
            <w:tcW w:w="1609" w:type="pct"/>
            <w:tcBorders>
              <w:top w:val="single" w:color="FFFFFF" w:sz="4" w:space="0"/>
              <w:left w:val="nil"/>
              <w:bottom w:val="single" w:color="FFFFFF" w:sz="4" w:space="0"/>
              <w:right w:val="single" w:color="FFFFFF" w:sz="4" w:space="0"/>
            </w:tcBorders>
            <w:shd w:val="clear" w:color="auto" w:fill="DEEAF6"/>
          </w:tcPr>
          <w:p w:rsidRPr="009D55D2" w:rsidR="006032D3" w:rsidP="00E03784" w14:paraId="5A735E6E" w14:textId="77777777">
            <w:pPr>
              <w:contextualSpacing/>
              <w:rPr>
                <w:b/>
                <w:sz w:val="16"/>
                <w:szCs w:val="16"/>
              </w:rPr>
            </w:pPr>
          </w:p>
          <w:p w:rsidRPr="009D55D2" w:rsidR="006032D3" w:rsidP="00C24A97" w14:paraId="16FA9521" w14:textId="77777777">
            <w:pPr>
              <w:contextualSpacing/>
              <w:rPr>
                <w:sz w:val="16"/>
                <w:szCs w:val="16"/>
              </w:rPr>
            </w:pPr>
            <w:r>
              <w:rPr>
                <w:b/>
                <w:sz w:val="16"/>
                <w:szCs w:val="16"/>
              </w:rPr>
              <w:t>6.</w:t>
            </w:r>
            <w:r w:rsidRPr="009D55D2">
              <w:rPr>
                <w:b/>
                <w:sz w:val="16"/>
                <w:szCs w:val="16"/>
              </w:rPr>
              <w:t>Evaluatieparagraaf</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9D55D2" w:rsidR="006032D3" w:rsidP="00E03784" w14:paraId="2637CD6F" w14:textId="77777777">
            <w:pPr>
              <w:contextualSpacing/>
              <w:rPr>
                <w:sz w:val="16"/>
                <w:szCs w:val="16"/>
              </w:rPr>
            </w:pPr>
            <w:bookmarkStart w:name="_Hlk197959611" w:id="3"/>
            <w:r w:rsidRPr="0049251E">
              <w:rPr>
                <w:sz w:val="16"/>
                <w:szCs w:val="16"/>
              </w:rPr>
              <w:t>Het geactualiseerde Integraal financieel beeld 2023 was gebaseerd op ramingen en bevatte om die reden nog veel onzekerheden. Vervolgens is gestart met een zorgvuldig monitoringproces. Rijk en koepels hebben afgesproken de transitiekosten te evalueren na inwerkingtreding van de O</w:t>
            </w:r>
            <w:r>
              <w:rPr>
                <w:sz w:val="16"/>
                <w:szCs w:val="16"/>
              </w:rPr>
              <w:t>mgevingswet</w:t>
            </w:r>
            <w:r w:rsidRPr="0049251E">
              <w:rPr>
                <w:sz w:val="16"/>
                <w:szCs w:val="16"/>
              </w:rPr>
              <w:t xml:space="preserve"> en twee integrale financiële evaluaties uit te voeren na één en vijf jaar inwerkingtreding van de </w:t>
            </w:r>
            <w:r w:rsidR="00EC3DE1">
              <w:rPr>
                <w:sz w:val="16"/>
                <w:szCs w:val="16"/>
              </w:rPr>
              <w:t>Omgevingswet</w:t>
            </w:r>
            <w:r w:rsidRPr="0049251E">
              <w:rPr>
                <w:sz w:val="16"/>
                <w:szCs w:val="16"/>
              </w:rPr>
              <w:t xml:space="preserve">. </w:t>
            </w:r>
            <w:r w:rsidR="00EC3DE1">
              <w:rPr>
                <w:sz w:val="16"/>
                <w:szCs w:val="16"/>
              </w:rPr>
              <w:t>In april is een onderzoek naar de actualisatie van de transitiekosten Omgevingswet gedeeld met de Tweede Kamer (</w:t>
            </w:r>
            <w:r w:rsidRPr="00EC3DE1" w:rsidR="00EC3DE1">
              <w:rPr>
                <w:sz w:val="16"/>
                <w:szCs w:val="16"/>
              </w:rPr>
              <w:t xml:space="preserve">Kamerstuk 33118, nr. 292). </w:t>
            </w:r>
            <w:r w:rsidR="00EC3DE1">
              <w:rPr>
                <w:sz w:val="16"/>
                <w:szCs w:val="16"/>
              </w:rPr>
              <w:t xml:space="preserve">)  </w:t>
            </w:r>
            <w:bookmarkEnd w:id="3"/>
          </w:p>
        </w:tc>
      </w:tr>
    </w:tbl>
    <w:p w:rsidR="006032D3" w:rsidP="006032D3" w14:paraId="7A82B323" w14:textId="77777777">
      <w:pPr>
        <w:contextualSpacing/>
      </w:pPr>
    </w:p>
    <w:p w:rsidR="006032D3" w:rsidP="006032D3" w14:paraId="031F36C9" w14:textId="77777777">
      <w:pPr>
        <w:contextualSpacing/>
      </w:pPr>
    </w:p>
    <w:p w:rsidR="007E72F0" w:rsidP="007E72F0" w14:paraId="5F85743D" w14:textId="77777777">
      <w:pPr>
        <w:spacing w:line="240" w:lineRule="auto"/>
      </w:pPr>
    </w:p>
    <w:p w:rsidR="00FF510B" w:rsidP="007E72F0" w14:paraId="1DC94359" w14:textId="77777777">
      <w:pPr>
        <w:spacing w:line="240" w:lineRule="auto"/>
      </w:pPr>
    </w:p>
    <w:p w:rsidR="00FF510B" w:rsidP="007E72F0" w14:paraId="4D296920" w14:textId="77777777">
      <w:pPr>
        <w:spacing w:line="240" w:lineRule="auto"/>
      </w:pPr>
    </w:p>
    <w:p w:rsidR="00FF510B" w:rsidP="007E72F0" w14:paraId="48B2C884" w14:textId="77777777">
      <w:pPr>
        <w:spacing w:line="240" w:lineRule="auto"/>
      </w:pPr>
    </w:p>
    <w:p w:rsidR="007E72F0" w:rsidP="007E72F0" w14:paraId="0DC34C45" w14:textId="77777777">
      <w:pPr>
        <w:spacing w:line="240" w:lineRule="auto"/>
      </w:pPr>
    </w:p>
    <w:p w:rsidRPr="00D528DA" w:rsidR="007E72F0" w:rsidP="007E72F0" w14:paraId="18519E27" w14:textId="77777777">
      <w:pPr>
        <w:pStyle w:val="ListParagraph"/>
        <w:numPr>
          <w:ilvl w:val="0"/>
          <w:numId w:val="8"/>
        </w:numPr>
        <w:rPr>
          <w:b/>
          <w:bCs/>
        </w:rPr>
      </w:pPr>
      <w:bookmarkStart w:name="_Hlk195701991" w:id="4"/>
      <w:r w:rsidRPr="00D528DA">
        <w:rPr>
          <w:b/>
          <w:bCs/>
        </w:rPr>
        <w:t>Boodschappenbonus door verhoging huurtoeslag</w:t>
      </w:r>
    </w:p>
    <w:p w:rsidR="001C19AE" w:rsidP="006032D3" w14:paraId="0E2D02A8" w14:textId="77777777">
      <w:pPr>
        <w:contextualSpacing/>
      </w:pPr>
    </w:p>
    <w:tbl>
      <w:tblPr>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860"/>
        <w:gridCol w:w="4558"/>
      </w:tblGrid>
      <w:tr w:rsidTr="00C24A97" w14:paraId="0D80F9DB" w14:textId="77777777">
        <w:tblPrEx>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863"/>
        </w:trPr>
        <w:tc>
          <w:tcPr>
            <w:tcW w:w="0" w:type="auto"/>
            <w:gridSpan w:val="2"/>
            <w:tcBorders>
              <w:top w:val="single" w:color="FFFFFF" w:sz="4" w:space="0"/>
              <w:left w:val="nil"/>
              <w:bottom w:val="single" w:color="FFFFFF" w:sz="4" w:space="0"/>
              <w:right w:val="single" w:color="FFFFFF" w:sz="4" w:space="0"/>
            </w:tcBorders>
            <w:shd w:val="clear" w:color="auto" w:fill="DEEAF6"/>
            <w:vAlign w:val="center"/>
            <w:hideMark/>
          </w:tcPr>
          <w:p w:rsidRPr="009D55D2" w:rsidR="001C19AE" w:rsidP="00385463" w14:paraId="6FCB9B41" w14:textId="77777777">
            <w:pPr>
              <w:contextualSpacing/>
              <w:rPr>
                <w:b/>
                <w:sz w:val="16"/>
                <w:szCs w:val="16"/>
              </w:rPr>
            </w:pPr>
            <w:r w:rsidRPr="009D55D2">
              <w:rPr>
                <w:b/>
                <w:sz w:val="16"/>
                <w:szCs w:val="16"/>
              </w:rPr>
              <w:t>Beleidskeuzes uitgelegd</w:t>
            </w:r>
            <w:r w:rsidRPr="009D55D2">
              <w:rPr>
                <w:sz w:val="16"/>
                <w:szCs w:val="16"/>
              </w:rPr>
              <w:t xml:space="preserve"> </w:t>
            </w:r>
          </w:p>
          <w:p w:rsidRPr="009D55D2" w:rsidR="001C19AE" w:rsidP="00385463" w14:paraId="710FFD9A" w14:textId="77777777">
            <w:pPr>
              <w:contextualSpacing/>
              <w:rPr>
                <w:sz w:val="16"/>
                <w:szCs w:val="16"/>
              </w:rPr>
            </w:pPr>
          </w:p>
        </w:tc>
      </w:tr>
      <w:tr w:rsidTr="00C24A97" w14:paraId="628F90AB" w14:textId="77777777">
        <w:tblPrEx>
          <w:tblW w:w="0" w:type="auto"/>
          <w:tblInd w:w="118" w:type="dxa"/>
          <w:shd w:val="clear" w:color="auto" w:fill="DEEAF6"/>
          <w:tblLook w:val="01E0"/>
        </w:tblPrEx>
        <w:trPr>
          <w:trHeight w:val="741"/>
        </w:trPr>
        <w:tc>
          <w:tcPr>
            <w:tcW w:w="0" w:type="auto"/>
            <w:tcBorders>
              <w:top w:val="single" w:color="FFFFFF" w:sz="4" w:space="0"/>
              <w:left w:val="nil"/>
              <w:bottom w:val="single" w:color="FFFFFF" w:sz="4" w:space="0"/>
              <w:right w:val="single" w:color="FFFFFF" w:sz="4" w:space="0"/>
            </w:tcBorders>
            <w:shd w:val="clear" w:color="auto" w:fill="DEEAF6"/>
          </w:tcPr>
          <w:p w:rsidRPr="009D55D2" w:rsidR="007B2C3B" w:rsidP="007B2C3B" w14:paraId="27FDF23E" w14:textId="77777777">
            <w:pPr>
              <w:contextualSpacing/>
              <w:rPr>
                <w:b/>
                <w:sz w:val="16"/>
                <w:szCs w:val="16"/>
              </w:rPr>
            </w:pPr>
          </w:p>
          <w:p w:rsidRPr="009D55D2" w:rsidR="007B2C3B" w:rsidP="007B2C3B" w14:paraId="54430A64" w14:textId="77777777">
            <w:pPr>
              <w:numPr>
                <w:ilvl w:val="0"/>
                <w:numId w:val="17"/>
              </w:numPr>
              <w:contextualSpacing/>
              <w:rPr>
                <w:b/>
                <w:sz w:val="16"/>
                <w:szCs w:val="16"/>
              </w:rPr>
            </w:pPr>
            <w:r w:rsidRPr="009D55D2">
              <w:rPr>
                <w:b/>
                <w:sz w:val="16"/>
                <w:szCs w:val="16"/>
              </w:rPr>
              <w:t xml:space="preserve">Doel(en) </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007B2C3B" w:rsidP="007B2C3B" w14:paraId="2AF27E50" w14:textId="77777777">
            <w:pPr>
              <w:rPr>
                <w:sz w:val="16"/>
                <w:szCs w:val="16"/>
              </w:rPr>
            </w:pPr>
            <w:r>
              <w:rPr>
                <w:sz w:val="16"/>
                <w:szCs w:val="16"/>
              </w:rPr>
              <w:t>Deze maatregel</w:t>
            </w:r>
            <w:r w:rsidRPr="0095004C">
              <w:rPr>
                <w:sz w:val="16"/>
                <w:szCs w:val="16"/>
              </w:rPr>
              <w:t xml:space="preserve"> beoogd de inkomenspositie van huishoudens met de laagste inkomens te verbeteren middels een tijdelijke tegemoetkoming voor de gestegen kosten van levensonderhoud in 2026.  </w:t>
            </w:r>
          </w:p>
          <w:p w:rsidRPr="009D55D2" w:rsidR="00FF510B" w:rsidP="007B2C3B" w14:paraId="33E490B0" w14:textId="77777777">
            <w:pPr>
              <w:rPr>
                <w:sz w:val="16"/>
                <w:szCs w:val="16"/>
              </w:rPr>
            </w:pPr>
          </w:p>
        </w:tc>
      </w:tr>
      <w:tr w:rsidTr="00C24A97" w14:paraId="366EBD3E" w14:textId="77777777">
        <w:tblPrEx>
          <w:tblW w:w="0" w:type="auto"/>
          <w:tblInd w:w="118" w:type="dxa"/>
          <w:shd w:val="clear" w:color="auto" w:fill="DEEAF6"/>
          <w:tblLook w:val="01E0"/>
        </w:tblPrEx>
        <w:trPr>
          <w:trHeight w:val="565"/>
        </w:trPr>
        <w:tc>
          <w:tcPr>
            <w:tcW w:w="0" w:type="auto"/>
            <w:tcBorders>
              <w:top w:val="single" w:color="FFFFFF" w:sz="4" w:space="0"/>
              <w:left w:val="nil"/>
              <w:bottom w:val="single" w:color="FFFFFF" w:sz="4" w:space="0"/>
              <w:right w:val="single" w:color="FFFFFF" w:sz="4" w:space="0"/>
            </w:tcBorders>
            <w:shd w:val="clear" w:color="auto" w:fill="DEEAF6"/>
          </w:tcPr>
          <w:p w:rsidRPr="009D55D2" w:rsidR="007B2C3B" w:rsidP="007B2C3B" w14:paraId="38ADDD11" w14:textId="77777777">
            <w:pPr>
              <w:contextualSpacing/>
              <w:rPr>
                <w:b/>
                <w:sz w:val="16"/>
                <w:szCs w:val="16"/>
              </w:rPr>
            </w:pPr>
          </w:p>
          <w:p w:rsidRPr="009D55D2" w:rsidR="007B2C3B" w:rsidP="007B2C3B" w14:paraId="0106B311" w14:textId="77777777">
            <w:pPr>
              <w:numPr>
                <w:ilvl w:val="0"/>
                <w:numId w:val="17"/>
              </w:numPr>
              <w:contextualSpacing/>
              <w:rPr>
                <w:b/>
                <w:sz w:val="16"/>
                <w:szCs w:val="16"/>
              </w:rPr>
            </w:pPr>
            <w:r w:rsidRPr="009D55D2">
              <w:rPr>
                <w:b/>
                <w:sz w:val="16"/>
                <w:szCs w:val="16"/>
              </w:rPr>
              <w:t>Beleidsinstrument(en)</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007B2C3B" w:rsidP="007B2C3B" w14:paraId="79103723" w14:textId="77777777">
            <w:pPr>
              <w:contextualSpacing/>
              <w:rPr>
                <w:sz w:val="16"/>
                <w:szCs w:val="16"/>
              </w:rPr>
            </w:pPr>
            <w:r w:rsidRPr="00130CC1">
              <w:rPr>
                <w:sz w:val="16"/>
                <w:szCs w:val="16"/>
              </w:rPr>
              <w:t xml:space="preserve">De huurtoeslag bereikt een groot deel van de huishoudens binnen de laagste inkomensgroepen. Deze huishoudens worden </w:t>
            </w:r>
            <w:r>
              <w:rPr>
                <w:sz w:val="16"/>
                <w:szCs w:val="16"/>
              </w:rPr>
              <w:t xml:space="preserve">relatief gezien </w:t>
            </w:r>
            <w:r w:rsidRPr="00130CC1">
              <w:rPr>
                <w:sz w:val="16"/>
                <w:szCs w:val="16"/>
              </w:rPr>
              <w:t xml:space="preserve">het hardst getroffen door de gestegen kosten van levensonderhoud. In 2023 en 2024 is de huurtoeslag ook al eens ingezet voor een algemene koopkrachtverbetering voor de laagste inkomens. Een verlaging van de eigen bijdrage </w:t>
            </w:r>
            <w:r>
              <w:rPr>
                <w:sz w:val="16"/>
                <w:szCs w:val="16"/>
              </w:rPr>
              <w:t xml:space="preserve">in de huurtoeslag </w:t>
            </w:r>
            <w:r w:rsidRPr="00130CC1">
              <w:rPr>
                <w:sz w:val="16"/>
                <w:szCs w:val="16"/>
              </w:rPr>
              <w:t xml:space="preserve">is voor huurders de meest begrijpelijke manier om de huurtoeslag voor de hele huurtoeslagpopulatie te verhogen. Met de beschikbaar gestelde middelen uit de voorjaarsnota zal de eigen bijdrage in 2026 worden verlaagd met </w:t>
            </w:r>
            <w:r>
              <w:rPr>
                <w:sz w:val="16"/>
                <w:szCs w:val="16"/>
              </w:rPr>
              <w:t xml:space="preserve">€ </w:t>
            </w:r>
            <w:r w:rsidRPr="00130CC1">
              <w:rPr>
                <w:sz w:val="16"/>
                <w:szCs w:val="16"/>
              </w:rPr>
              <w:t xml:space="preserve">50 per maand. </w:t>
            </w:r>
          </w:p>
          <w:p w:rsidRPr="009D55D2" w:rsidR="00FF510B" w:rsidP="007B2C3B" w14:paraId="7E20411C" w14:textId="77777777">
            <w:pPr>
              <w:contextualSpacing/>
              <w:rPr>
                <w:sz w:val="16"/>
                <w:szCs w:val="16"/>
              </w:rPr>
            </w:pPr>
          </w:p>
        </w:tc>
      </w:tr>
      <w:tr w:rsidTr="00C24A97" w14:paraId="0B7208E5" w14:textId="77777777">
        <w:tblPrEx>
          <w:tblW w:w="0" w:type="auto"/>
          <w:tblInd w:w="118" w:type="dxa"/>
          <w:shd w:val="clear" w:color="auto" w:fill="DEEAF6"/>
          <w:tblLook w:val="01E0"/>
        </w:tblPrEx>
        <w:trPr>
          <w:trHeight w:val="655"/>
        </w:trPr>
        <w:tc>
          <w:tcPr>
            <w:tcW w:w="0" w:type="auto"/>
            <w:tcBorders>
              <w:top w:val="single" w:color="FFFFFF" w:sz="4" w:space="0"/>
              <w:left w:val="nil"/>
              <w:bottom w:val="single" w:color="FFFFFF" w:sz="4" w:space="0"/>
              <w:right w:val="single" w:color="FFFFFF" w:sz="4" w:space="0"/>
            </w:tcBorders>
            <w:shd w:val="clear" w:color="auto" w:fill="DEEAF6"/>
          </w:tcPr>
          <w:p w:rsidRPr="009D55D2" w:rsidR="007B2C3B" w:rsidP="007B2C3B" w14:paraId="515EC6EB" w14:textId="77777777">
            <w:pPr>
              <w:contextualSpacing/>
              <w:rPr>
                <w:b/>
                <w:sz w:val="16"/>
                <w:szCs w:val="16"/>
              </w:rPr>
            </w:pPr>
          </w:p>
          <w:p w:rsidRPr="009D55D2" w:rsidR="007B2C3B" w:rsidP="007B2C3B" w14:paraId="3C020594" w14:textId="77777777">
            <w:pPr>
              <w:numPr>
                <w:ilvl w:val="0"/>
                <w:numId w:val="17"/>
              </w:numPr>
              <w:contextualSpacing/>
              <w:rPr>
                <w:b/>
                <w:sz w:val="16"/>
                <w:szCs w:val="16"/>
              </w:rPr>
            </w:pPr>
            <w:r w:rsidRPr="009D55D2">
              <w:rPr>
                <w:b/>
                <w:sz w:val="16"/>
                <w:szCs w:val="16"/>
              </w:rPr>
              <w:t>A. Financiële gevolgen voor het Rijk</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007B2C3B" w:rsidP="007B2C3B" w14:paraId="349CE14C" w14:textId="77777777">
            <w:pPr>
              <w:contextualSpacing/>
              <w:rPr>
                <w:sz w:val="16"/>
                <w:szCs w:val="16"/>
              </w:rPr>
            </w:pPr>
            <w:r w:rsidRPr="0095004C">
              <w:rPr>
                <w:sz w:val="16"/>
                <w:szCs w:val="16"/>
              </w:rPr>
              <w:t>In de voorjaarsnota is € 1 miljard gereserveerd. Hiervan wordt € 83 miljoen uitgegeven in december 2025, vanwege de voorschotbetaling voor januari</w:t>
            </w:r>
            <w:r w:rsidR="00E431E9">
              <w:rPr>
                <w:sz w:val="16"/>
                <w:szCs w:val="16"/>
              </w:rPr>
              <w:t xml:space="preserve"> 2026</w:t>
            </w:r>
            <w:r w:rsidRPr="0095004C">
              <w:rPr>
                <w:sz w:val="16"/>
                <w:szCs w:val="16"/>
              </w:rPr>
              <w:t xml:space="preserve"> en € 917 miljoen in 2026.</w:t>
            </w:r>
            <w:r>
              <w:rPr>
                <w:sz w:val="16"/>
                <w:szCs w:val="16"/>
              </w:rPr>
              <w:t xml:space="preserve"> Bijkomende uitvoeringskosten worden ook betaald uit deze middelen.</w:t>
            </w:r>
          </w:p>
          <w:p w:rsidRPr="009D55D2" w:rsidR="00FF510B" w:rsidP="007B2C3B" w14:paraId="017BF4FC" w14:textId="77777777">
            <w:pPr>
              <w:contextualSpacing/>
              <w:rPr>
                <w:sz w:val="16"/>
                <w:szCs w:val="16"/>
              </w:rPr>
            </w:pPr>
          </w:p>
        </w:tc>
      </w:tr>
      <w:tr w:rsidTr="00C24A97" w14:paraId="260BDDCC" w14:textId="77777777">
        <w:tblPrEx>
          <w:tblW w:w="0" w:type="auto"/>
          <w:tblInd w:w="118" w:type="dxa"/>
          <w:shd w:val="clear" w:color="auto" w:fill="DEEAF6"/>
          <w:tblLook w:val="01E0"/>
        </w:tblPrEx>
        <w:trPr>
          <w:trHeight w:val="725"/>
        </w:trPr>
        <w:tc>
          <w:tcPr>
            <w:tcW w:w="0" w:type="auto"/>
            <w:tcBorders>
              <w:top w:val="single" w:color="FFFFFF" w:sz="4" w:space="0"/>
              <w:left w:val="nil"/>
              <w:bottom w:val="single" w:color="FFFFFF" w:sz="4" w:space="0"/>
              <w:right w:val="single" w:color="FFFFFF" w:sz="4" w:space="0"/>
            </w:tcBorders>
            <w:shd w:val="clear" w:color="auto" w:fill="DEEAF6"/>
          </w:tcPr>
          <w:p w:rsidRPr="009D55D2" w:rsidR="003F35BB" w:rsidP="003F35BB" w14:paraId="30CBE627" w14:textId="77777777">
            <w:pPr>
              <w:contextualSpacing/>
              <w:rPr>
                <w:b/>
                <w:sz w:val="16"/>
                <w:szCs w:val="16"/>
              </w:rPr>
            </w:pPr>
            <w:r>
              <w:rPr>
                <w:b/>
                <w:sz w:val="16"/>
                <w:szCs w:val="16"/>
              </w:rPr>
              <w:t>3</w:t>
            </w:r>
            <w:r w:rsidRPr="009D55D2">
              <w:rPr>
                <w:b/>
                <w:sz w:val="16"/>
                <w:szCs w:val="16"/>
              </w:rPr>
              <w:t xml:space="preserve">B. </w:t>
            </w:r>
            <w:r>
              <w:rPr>
                <w:b/>
                <w:sz w:val="16"/>
                <w:szCs w:val="16"/>
              </w:rPr>
              <w:t xml:space="preserve"> </w:t>
            </w:r>
            <w:r w:rsidRPr="009D55D2">
              <w:rPr>
                <w:b/>
                <w:sz w:val="16"/>
                <w:szCs w:val="16"/>
              </w:rPr>
              <w:t xml:space="preserve">Financiële gevolgen </w:t>
            </w:r>
            <w:r>
              <w:rPr>
                <w:b/>
                <w:sz w:val="16"/>
                <w:szCs w:val="16"/>
              </w:rPr>
              <w:t xml:space="preserve"> </w:t>
            </w:r>
            <w:r w:rsidRPr="009D55D2">
              <w:rPr>
                <w:b/>
                <w:sz w:val="16"/>
                <w:szCs w:val="16"/>
              </w:rPr>
              <w:t xml:space="preserve">voor maatschappelijke sectoren </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9D55D2" w:rsidR="003F35BB" w:rsidP="003F35BB" w14:paraId="1949248C" w14:textId="77777777">
            <w:pPr>
              <w:contextualSpacing/>
              <w:rPr>
                <w:sz w:val="16"/>
                <w:szCs w:val="16"/>
              </w:rPr>
            </w:pPr>
          </w:p>
        </w:tc>
      </w:tr>
      <w:tr w:rsidTr="00C24A97" w14:paraId="740C7AD7" w14:textId="77777777">
        <w:tblPrEx>
          <w:tblW w:w="0" w:type="auto"/>
          <w:tblInd w:w="118" w:type="dxa"/>
          <w:shd w:val="clear" w:color="auto" w:fill="DEEAF6"/>
          <w:tblLook w:val="01E0"/>
        </w:tblPrEx>
        <w:trPr>
          <w:trHeight w:val="778"/>
        </w:trPr>
        <w:tc>
          <w:tcPr>
            <w:tcW w:w="0" w:type="auto"/>
            <w:tcBorders>
              <w:top w:val="single" w:color="FFFFFF" w:sz="4" w:space="0"/>
              <w:left w:val="nil"/>
              <w:bottom w:val="single" w:color="FFFFFF" w:sz="4" w:space="0"/>
              <w:right w:val="single" w:color="FFFFFF" w:sz="4" w:space="0"/>
            </w:tcBorders>
            <w:shd w:val="clear" w:color="auto" w:fill="DEEAF6"/>
          </w:tcPr>
          <w:p w:rsidRPr="009D55D2" w:rsidR="003F35BB" w:rsidP="003F35BB" w14:paraId="3048AF84" w14:textId="77777777">
            <w:pPr>
              <w:contextualSpacing/>
              <w:rPr>
                <w:b/>
                <w:sz w:val="16"/>
                <w:szCs w:val="16"/>
              </w:rPr>
            </w:pPr>
          </w:p>
          <w:p w:rsidRPr="009D55D2" w:rsidR="003F35BB" w:rsidP="003F35BB" w14:paraId="6F823953" w14:textId="77777777">
            <w:pPr>
              <w:numPr>
                <w:ilvl w:val="0"/>
                <w:numId w:val="17"/>
              </w:numPr>
              <w:contextualSpacing/>
              <w:rPr>
                <w:b/>
                <w:sz w:val="16"/>
                <w:szCs w:val="16"/>
              </w:rPr>
            </w:pPr>
            <w:r w:rsidRPr="009D55D2">
              <w:rPr>
                <w:b/>
                <w:sz w:val="16"/>
                <w:szCs w:val="16"/>
              </w:rPr>
              <w:t>Nagestreefde doeltreffendheid</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0095004C" w:rsidP="0095004C" w14:paraId="71DE0997" w14:textId="77777777">
            <w:pPr>
              <w:contextualSpacing/>
              <w:rPr>
                <w:sz w:val="16"/>
                <w:szCs w:val="16"/>
              </w:rPr>
            </w:pPr>
            <w:r w:rsidRPr="007B2C3B">
              <w:rPr>
                <w:sz w:val="16"/>
                <w:szCs w:val="16"/>
              </w:rPr>
              <w:t>De huurtoeslag is een sterk gerichte inkomensafhankelijke regeling en wordt geëvalueerd als doeltreffend. Het bereikt in principe alleen de huishoudens die het meest behoefte hebben aan een tegemoetkoming voor de gestegen kosten van levensonderhoud. Circa 1,6 miljoen huishoudens ontvangen huurtoeslag. De huurtoeslag heeft geen harde inkomensgrenzen. Het inkomensbereik loopt tot huishoudinkomen van circa €45 duizend voor eenpersoonshuishouden en circa €58 duizend voor meerpersoonshuishoudens. Niet-gebruik van de huurtoeslag doet enigszins af aan deze doeltreffendheid.</w:t>
            </w:r>
          </w:p>
          <w:p w:rsidRPr="0095004C" w:rsidR="007B2C3B" w:rsidP="0095004C" w14:paraId="6E22E5C1" w14:textId="77777777">
            <w:pPr>
              <w:contextualSpacing/>
              <w:rPr>
                <w:sz w:val="16"/>
                <w:szCs w:val="16"/>
              </w:rPr>
            </w:pPr>
          </w:p>
          <w:p w:rsidR="003F35BB" w:rsidP="0095004C" w14:paraId="4BD51FB7" w14:textId="77777777">
            <w:pPr>
              <w:contextualSpacing/>
              <w:rPr>
                <w:sz w:val="16"/>
                <w:szCs w:val="16"/>
              </w:rPr>
            </w:pPr>
            <w:r w:rsidRPr="007B2C3B">
              <w:rPr>
                <w:sz w:val="16"/>
                <w:szCs w:val="16"/>
              </w:rPr>
              <w:t xml:space="preserve">Daarnaast is de huurtoeslag echter alleen toegankelijk voor huishoudens die woonachtig zijn in een zelfstandige huurwoning. Huishoudens met een laag inkomen woonachtig in een koopwoning of onzelfstandige huurwoning worden niet bereikt terwijl ook zij geconfronteerd worden met de gestegen kosten van levensonderhoud. </w:t>
            </w:r>
          </w:p>
          <w:p w:rsidRPr="009D55D2" w:rsidR="00FF510B" w:rsidP="0095004C" w14:paraId="4A2E7A09" w14:textId="77777777">
            <w:pPr>
              <w:contextualSpacing/>
              <w:rPr>
                <w:sz w:val="16"/>
                <w:szCs w:val="16"/>
              </w:rPr>
            </w:pPr>
          </w:p>
        </w:tc>
      </w:tr>
      <w:tr w:rsidTr="00C24A97" w14:paraId="2AE73324" w14:textId="77777777">
        <w:tblPrEx>
          <w:tblW w:w="0" w:type="auto"/>
          <w:tblInd w:w="118" w:type="dxa"/>
          <w:shd w:val="clear" w:color="auto" w:fill="DEEAF6"/>
          <w:tblLook w:val="01E0"/>
        </w:tblPrEx>
        <w:trPr>
          <w:trHeight w:val="801"/>
        </w:trPr>
        <w:tc>
          <w:tcPr>
            <w:tcW w:w="0" w:type="auto"/>
            <w:tcBorders>
              <w:top w:val="single" w:color="FFFFFF" w:sz="4" w:space="0"/>
              <w:left w:val="nil"/>
              <w:bottom w:val="single" w:color="FFFFFF" w:sz="4" w:space="0"/>
              <w:right w:val="single" w:color="FFFFFF" w:sz="4" w:space="0"/>
            </w:tcBorders>
            <w:shd w:val="clear" w:color="auto" w:fill="DEEAF6"/>
          </w:tcPr>
          <w:p w:rsidRPr="009D55D2" w:rsidR="003F35BB" w:rsidP="003F35BB" w14:paraId="1DD18690" w14:textId="77777777">
            <w:pPr>
              <w:contextualSpacing/>
              <w:rPr>
                <w:sz w:val="16"/>
                <w:szCs w:val="16"/>
              </w:rPr>
            </w:pPr>
          </w:p>
          <w:p w:rsidRPr="009D55D2" w:rsidR="003F35BB" w:rsidP="003F35BB" w14:paraId="0A2410EA" w14:textId="77777777">
            <w:pPr>
              <w:numPr>
                <w:ilvl w:val="0"/>
                <w:numId w:val="17"/>
              </w:numPr>
              <w:contextualSpacing/>
              <w:rPr>
                <w:b/>
                <w:sz w:val="16"/>
                <w:szCs w:val="16"/>
              </w:rPr>
            </w:pPr>
            <w:r w:rsidRPr="009D55D2">
              <w:rPr>
                <w:b/>
                <w:sz w:val="16"/>
                <w:szCs w:val="16"/>
              </w:rPr>
              <w:t>Nagestreefde doelmatigheid</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7B2C3B" w:rsidR="007B2C3B" w:rsidP="007B2C3B" w14:paraId="24A9A93E" w14:textId="77777777">
            <w:pPr>
              <w:contextualSpacing/>
              <w:rPr>
                <w:sz w:val="16"/>
                <w:szCs w:val="16"/>
              </w:rPr>
            </w:pPr>
            <w:r w:rsidRPr="007B2C3B">
              <w:rPr>
                <w:sz w:val="16"/>
                <w:szCs w:val="16"/>
              </w:rPr>
              <w:t xml:space="preserve">De beschikbaar gestelde middelen komen vrijwel volledig terecht bij huurtoeslagontvangers. Het betreft een incidentele verhoging van de huurtoeslag in 2026, de daarop volgende verlaging van de huurtoeslag in 2027 zal leiden tot onduidelijkheid bij huurtoeslagontvangers en dus meer vragen/klantcontact/communicatie voor de uitvoering. </w:t>
            </w:r>
          </w:p>
          <w:p w:rsidRPr="007B2C3B" w:rsidR="007B2C3B" w:rsidP="007B2C3B" w14:paraId="1BCE66E6" w14:textId="77777777">
            <w:pPr>
              <w:contextualSpacing/>
              <w:rPr>
                <w:sz w:val="16"/>
                <w:szCs w:val="16"/>
              </w:rPr>
            </w:pPr>
          </w:p>
          <w:p w:rsidRPr="007B2C3B" w:rsidR="007B2C3B" w:rsidP="007B2C3B" w14:paraId="584E41F2" w14:textId="77777777">
            <w:pPr>
              <w:contextualSpacing/>
              <w:rPr>
                <w:sz w:val="16"/>
                <w:szCs w:val="16"/>
              </w:rPr>
            </w:pPr>
            <w:r w:rsidRPr="007B2C3B">
              <w:rPr>
                <w:sz w:val="16"/>
                <w:szCs w:val="16"/>
              </w:rPr>
              <w:t>Daarnaast zullen circa 25</w:t>
            </w:r>
            <w:r w:rsidR="00FF510B">
              <w:rPr>
                <w:sz w:val="16"/>
                <w:szCs w:val="16"/>
              </w:rPr>
              <w:t>.000</w:t>
            </w:r>
            <w:r w:rsidRPr="007B2C3B">
              <w:rPr>
                <w:sz w:val="16"/>
                <w:szCs w:val="16"/>
              </w:rPr>
              <w:t xml:space="preserve"> extra huishoudens recht krijgen op huurtoeslag als gevolg van deze verruiming. In 2027 zal dit recht in de meeste gevallen weer vervallen.</w:t>
            </w:r>
          </w:p>
          <w:p w:rsidRPr="007B2C3B" w:rsidR="007B2C3B" w:rsidP="007B2C3B" w14:paraId="4D44CA30" w14:textId="77777777">
            <w:pPr>
              <w:contextualSpacing/>
              <w:rPr>
                <w:sz w:val="16"/>
                <w:szCs w:val="16"/>
              </w:rPr>
            </w:pPr>
          </w:p>
          <w:p w:rsidR="003F35BB" w:rsidP="007B2C3B" w14:paraId="630D7524" w14:textId="77777777">
            <w:pPr>
              <w:contextualSpacing/>
              <w:rPr>
                <w:sz w:val="16"/>
                <w:szCs w:val="16"/>
              </w:rPr>
            </w:pPr>
            <w:r w:rsidRPr="007B2C3B">
              <w:rPr>
                <w:sz w:val="16"/>
                <w:szCs w:val="16"/>
              </w:rPr>
              <w:t>Dit vraagt extra capaciteit van Dienst Toeslagen, de bijkomende kosten worden gedekt uit de beschikbaar gestelde middelen.</w:t>
            </w:r>
          </w:p>
          <w:p w:rsidRPr="009D55D2" w:rsidR="00FF510B" w:rsidP="007B2C3B" w14:paraId="1653E0E3" w14:textId="77777777">
            <w:pPr>
              <w:contextualSpacing/>
              <w:rPr>
                <w:sz w:val="16"/>
                <w:szCs w:val="16"/>
              </w:rPr>
            </w:pPr>
          </w:p>
        </w:tc>
      </w:tr>
      <w:tr w:rsidTr="00C24A97" w14:paraId="16524B67" w14:textId="77777777">
        <w:tblPrEx>
          <w:tblW w:w="0" w:type="auto"/>
          <w:tblInd w:w="118" w:type="dxa"/>
          <w:shd w:val="clear" w:color="auto" w:fill="DEEAF6"/>
          <w:tblLook w:val="01E0"/>
        </w:tblPrEx>
        <w:trPr>
          <w:trHeight w:val="801"/>
        </w:trPr>
        <w:tc>
          <w:tcPr>
            <w:tcW w:w="0" w:type="auto"/>
            <w:tcBorders>
              <w:top w:val="single" w:color="FFFFFF" w:sz="4" w:space="0"/>
              <w:left w:val="nil"/>
              <w:bottom w:val="single" w:color="FFFFFF" w:sz="4" w:space="0"/>
              <w:right w:val="single" w:color="FFFFFF" w:sz="4" w:space="0"/>
            </w:tcBorders>
            <w:shd w:val="clear" w:color="auto" w:fill="DEEAF6"/>
          </w:tcPr>
          <w:p w:rsidRPr="009D55D2" w:rsidR="003F35BB" w:rsidP="003F35BB" w14:paraId="02A1BB48" w14:textId="77777777">
            <w:pPr>
              <w:contextualSpacing/>
              <w:rPr>
                <w:b/>
                <w:sz w:val="16"/>
                <w:szCs w:val="16"/>
              </w:rPr>
            </w:pPr>
          </w:p>
          <w:p w:rsidRPr="009D55D2" w:rsidR="003F35BB" w:rsidP="003F35BB" w14:paraId="119A6C69" w14:textId="77777777">
            <w:pPr>
              <w:numPr>
                <w:ilvl w:val="0"/>
                <w:numId w:val="17"/>
              </w:numPr>
              <w:contextualSpacing/>
              <w:rPr>
                <w:sz w:val="16"/>
                <w:szCs w:val="16"/>
              </w:rPr>
            </w:pPr>
            <w:r w:rsidRPr="009D55D2">
              <w:rPr>
                <w:b/>
                <w:sz w:val="16"/>
                <w:szCs w:val="16"/>
              </w:rPr>
              <w:t>Evaluatieparagraaf</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9D55D2" w:rsidR="003F35BB" w:rsidP="003F35BB" w14:paraId="6C3DB4E9" w14:textId="77777777">
            <w:pPr>
              <w:contextualSpacing/>
              <w:rPr>
                <w:sz w:val="16"/>
                <w:szCs w:val="16"/>
              </w:rPr>
            </w:pPr>
            <w:r w:rsidRPr="00C24A97">
              <w:rPr>
                <w:sz w:val="16"/>
                <w:szCs w:val="16"/>
              </w:rPr>
              <w:t xml:space="preserve">De boodschappenbonus wordt niet afzonderlijk geëvalueerd, maar de evaluatie wordt betrokken in de reguliere evaluatie van de (Wet op de) huurtoeslag </w:t>
            </w:r>
            <w:r w:rsidR="0095004C">
              <w:rPr>
                <w:sz w:val="16"/>
                <w:szCs w:val="16"/>
              </w:rPr>
              <w:t>in</w:t>
            </w:r>
            <w:r w:rsidR="008D619A">
              <w:rPr>
                <w:sz w:val="16"/>
                <w:szCs w:val="16"/>
              </w:rPr>
              <w:t xml:space="preserve"> de volgende Periodieke Rapportage (voorheen beleidsdoorlichting) over de Woningmarkt. Deze staat gepland in 2027.</w:t>
            </w:r>
          </w:p>
        </w:tc>
      </w:tr>
    </w:tbl>
    <w:p w:rsidR="001C19AE" w:rsidP="006032D3" w14:paraId="6E237286" w14:textId="77777777">
      <w:pPr>
        <w:contextualSpacing/>
      </w:pPr>
    </w:p>
    <w:bookmarkEnd w:id="4"/>
    <w:p w:rsidR="009D55D2" w14:paraId="60ED8327" w14:textId="77777777"/>
    <w:p w:rsidR="007C0B56" w14:paraId="12CD4E68" w14:textId="77777777"/>
    <w:p w:rsidR="00FF510B" w14:paraId="69459A16" w14:textId="77777777">
      <w:r>
        <w:t xml:space="preserve">De minister van </w:t>
      </w:r>
      <w:r w:rsidR="00DA7AA7">
        <w:t>Volkshuisvesting en Ruimtelijke Ordening</w:t>
      </w:r>
      <w:r>
        <w:t>,</w:t>
      </w:r>
      <w:r>
        <w:br/>
      </w:r>
      <w:r>
        <w:br/>
      </w:r>
    </w:p>
    <w:p w:rsidR="000541DE" w14:paraId="2E352193" w14:textId="77777777">
      <w:r>
        <w:br/>
      </w:r>
    </w:p>
    <w:p w:rsidR="00A536C4" w14:paraId="4755C73D" w14:textId="77777777">
      <w:r>
        <w:br/>
      </w:r>
      <w:r w:rsidR="00DA7AA7">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64E3" w14:paraId="5EBBDD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64E3" w14:paraId="78E5F9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64E3" w14:paraId="433A7D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1140" w14:paraId="034E1ED3" w14:textId="77777777">
      <w:pPr>
        <w:spacing w:line="240" w:lineRule="auto"/>
      </w:pPr>
      <w:r>
        <w:separator/>
      </w:r>
    </w:p>
  </w:footnote>
  <w:footnote w:type="continuationSeparator" w:id="1">
    <w:p w:rsidR="003F1140" w14:paraId="32691778" w14:textId="77777777">
      <w:pPr>
        <w:spacing w:line="240" w:lineRule="auto"/>
      </w:pPr>
      <w:r>
        <w:continuationSeparator/>
      </w:r>
    </w:p>
  </w:footnote>
  <w:footnote w:id="2">
    <w:p w:rsidR="007E72F0" w:rsidRPr="00147400" w:rsidP="001472E8" w14:paraId="2868A970" w14:textId="77777777">
      <w:pPr>
        <w:pStyle w:val="FootnoteText"/>
        <w:rPr>
          <w:rFonts w:ascii="Calibri" w:hAnsi="Calibri" w:cs="Calibri"/>
          <w:sz w:val="16"/>
          <w:szCs w:val="16"/>
        </w:rPr>
      </w:pPr>
      <w:r w:rsidRPr="00147400">
        <w:rPr>
          <w:rStyle w:val="FootnoteReference"/>
          <w:sz w:val="16"/>
          <w:szCs w:val="16"/>
        </w:rPr>
        <w:footnoteRef/>
      </w:r>
      <w:r w:rsidRPr="00147400">
        <w:rPr>
          <w:rStyle w:val="FootnoteReference"/>
          <w:sz w:val="16"/>
          <w:szCs w:val="16"/>
        </w:rPr>
        <w:t xml:space="preserve"> </w:t>
      </w:r>
      <w:r w:rsidRPr="00147400">
        <w:rPr>
          <w:sz w:val="16"/>
          <w:szCs w:val="16"/>
        </w:rPr>
        <w:t>Het doel is de energiezuinigheid te verbeteren naar de standaard voor isolatie, conform de Standaard en Streefwaarden voor Woningisolatie (rvo.nl).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64E3" w14:paraId="6BA52F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6C4" w14:paraId="659CB60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70D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970DC" w14:paraId="6D6A5F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6C4" w14:textId="77777777">
                          <w:pPr>
                            <w:pStyle w:val="Referentiegegevensbold"/>
                          </w:pPr>
                          <w:r>
                            <w:t>Mensen &amp; Middelen, Bestuursondersteuning</w:t>
                          </w:r>
                        </w:p>
                        <w:p w:rsidR="00A536C4" w14:textId="77777777">
                          <w:pPr>
                            <w:pStyle w:val="Referentiegegevens"/>
                          </w:pPr>
                          <w:r>
                            <w:t>MM-Financieel-Economische Zaken</w:t>
                          </w:r>
                        </w:p>
                        <w:p w:rsidR="00A536C4" w14:textId="77777777">
                          <w:pPr>
                            <w:pStyle w:val="Referentiegegevens"/>
                          </w:pPr>
                          <w:r>
                            <w:t>MM-FEZ-Begrotingszaken</w:t>
                          </w:r>
                        </w:p>
                        <w:p w:rsidR="00A536C4" w14:textId="77777777">
                          <w:pPr>
                            <w:pStyle w:val="WitregelW2"/>
                          </w:pPr>
                        </w:p>
                        <w:p w:rsidR="00A536C4" w14:textId="77777777">
                          <w:pPr>
                            <w:pStyle w:val="Referentiegegevensbold"/>
                          </w:pPr>
                          <w:r>
                            <w:t>Datum</w:t>
                          </w:r>
                        </w:p>
                        <w:p w:rsidR="00A536C4" w14:textId="77777777">
                          <w:pPr>
                            <w:pStyle w:val="WitregelW1"/>
                          </w:pPr>
                        </w:p>
                        <w:p w:rsidR="00A536C4" w14:textId="77777777">
                          <w:pPr>
                            <w:pStyle w:val="Referentiegegevensbold"/>
                          </w:pPr>
                          <w:r>
                            <w:t>Onze referentie</w:t>
                          </w:r>
                        </w:p>
                        <w:p w:rsidR="00C970DC" w14:textId="77777777">
                          <w:pPr>
                            <w:pStyle w:val="Referentiegegevens"/>
                          </w:pPr>
                          <w:r>
                            <w:fldChar w:fldCharType="begin"/>
                          </w:r>
                          <w:r>
                            <w:instrText xml:space="preserve"> DOCPROPERTY  "Kenmerk"  \* MERGEFORMAT </w:instrText>
                          </w:r>
                          <w:r>
                            <w:fldChar w:fldCharType="separate"/>
                          </w:r>
                          <w:r>
                            <w:t>2025-0000337009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536C4" w14:paraId="0C540A96" w14:textId="77777777">
                    <w:pPr>
                      <w:pStyle w:val="Referentiegegevensbold"/>
                    </w:pPr>
                    <w:r>
                      <w:t>Mensen &amp; Middelen, Bestuursondersteuning</w:t>
                    </w:r>
                  </w:p>
                  <w:p w:rsidR="00A536C4" w14:paraId="0F26CFE5" w14:textId="77777777">
                    <w:pPr>
                      <w:pStyle w:val="Referentiegegevens"/>
                    </w:pPr>
                    <w:r>
                      <w:t>MM-Financieel-Economische Zaken</w:t>
                    </w:r>
                  </w:p>
                  <w:p w:rsidR="00A536C4" w14:paraId="5F024EE5" w14:textId="77777777">
                    <w:pPr>
                      <w:pStyle w:val="Referentiegegevens"/>
                    </w:pPr>
                    <w:r>
                      <w:t>MM-FEZ-Begrotingszaken</w:t>
                    </w:r>
                  </w:p>
                  <w:p w:rsidR="00A536C4" w14:paraId="769984B3" w14:textId="77777777">
                    <w:pPr>
                      <w:pStyle w:val="WitregelW2"/>
                    </w:pPr>
                  </w:p>
                  <w:p w:rsidR="00A536C4" w14:paraId="7A84BB3D" w14:textId="77777777">
                    <w:pPr>
                      <w:pStyle w:val="Referentiegegevensbold"/>
                    </w:pPr>
                    <w:r>
                      <w:t>Datum</w:t>
                    </w:r>
                  </w:p>
                  <w:p w:rsidR="00A536C4" w14:paraId="511008DF" w14:textId="77777777">
                    <w:pPr>
                      <w:pStyle w:val="WitregelW1"/>
                    </w:pPr>
                  </w:p>
                  <w:p w:rsidR="00A536C4" w14:paraId="6F313AA3" w14:textId="77777777">
                    <w:pPr>
                      <w:pStyle w:val="Referentiegegevensbold"/>
                    </w:pPr>
                    <w:r>
                      <w:t>Onze referentie</w:t>
                    </w:r>
                  </w:p>
                  <w:p w:rsidR="00C970DC" w14:paraId="4EA36112" w14:textId="77777777">
                    <w:pPr>
                      <w:pStyle w:val="Referentiegegevens"/>
                    </w:pPr>
                    <w:r>
                      <w:fldChar w:fldCharType="begin"/>
                    </w:r>
                    <w:r>
                      <w:instrText xml:space="preserve"> DOCPROPERTY  "Kenmerk"  \* MERGEFORMAT </w:instrText>
                    </w:r>
                    <w:r>
                      <w:fldChar w:fldCharType="separate"/>
                    </w:r>
                    <w:r>
                      <w:t>2025-0000337009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70D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970DC" w14:paraId="7BBAD0E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970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C970DC" w14:paraId="511D09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6C4" w14:paraId="1EB30FB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536C4" w14:textId="77777777">
                          <w:pPr>
                            <w:spacing w:line="240" w:lineRule="auto"/>
                          </w:pPr>
                          <w:r>
                            <w:rPr>
                              <w:noProof/>
                            </w:rPr>
                            <w:drawing>
                              <wp:inline distT="0" distB="0" distL="0" distR="0">
                                <wp:extent cx="467995" cy="1583865"/>
                                <wp:effectExtent l="0" t="0" r="0" b="0"/>
                                <wp:docPr id="3549743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549743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536C4" w14:paraId="75BFFB3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536C4" w14:textId="77777777">
                          <w:pPr>
                            <w:spacing w:line="240" w:lineRule="auto"/>
                          </w:pPr>
                          <w:r>
                            <w:rPr>
                              <w:noProof/>
                            </w:rPr>
                            <w:drawing>
                              <wp:inline distT="0" distB="0" distL="0" distR="0">
                                <wp:extent cx="2339975" cy="1582420"/>
                                <wp:effectExtent l="0" t="0" r="3175" b="0"/>
                                <wp:docPr id="83532570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35325708"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536C4" w14:paraId="3A2859A0" w14:textId="77777777">
                    <w:pPr>
                      <w:spacing w:line="240" w:lineRule="auto"/>
                    </w:pPr>
                    <w:drawing>
                      <wp:inline distT="0" distB="0" distL="0" distR="0">
                        <wp:extent cx="2339975" cy="1582420"/>
                        <wp:effectExtent l="0" t="0" r="3175"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36C4" w14:textId="77777777">
                          <w:pPr>
                            <w:pStyle w:val="Referentiegegevens"/>
                          </w:pPr>
                          <w:r>
                            <w:t>&gt; Retouradres</w:t>
                          </w:r>
                          <w:r w:rsidR="00C24A97">
                            <w:t xml:space="preserve"> </w:t>
                          </w:r>
                          <w:r w:rsidRPr="00C24A97" w:rsidR="00C24A97">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536C4" w14:paraId="48DD0230" w14:textId="77777777">
                    <w:pPr>
                      <w:pStyle w:val="Referentiegegevens"/>
                    </w:pPr>
                    <w:r>
                      <w:t>&gt; Retouradres</w:t>
                    </w:r>
                    <w:r w:rsidR="00C24A97">
                      <w:t xml:space="preserve"> </w:t>
                    </w:r>
                    <w:r w:rsidRPr="00C24A97" w:rsidR="00C24A97">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970D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536C4" w14:textId="71170AD7">
                          <w:r>
                            <w:t xml:space="preserve"> </w:t>
                          </w:r>
                          <w:r w:rsidR="00C36E8A">
                            <w:t>De Voorzitter van de Tweede Kamer der Staten-Generaal</w:t>
                          </w:r>
                        </w:p>
                        <w:p w:rsidR="00C36E8A" w14:textId="609AE039">
                          <w:r>
                            <w:t xml:space="preserve"> Postbus 20018</w:t>
                          </w:r>
                        </w:p>
                        <w:p w:rsidR="00C36E8A" w14:textId="340F01EB">
                          <w:r>
                            <w:t xml:space="preserve"> 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970DC" w14:paraId="48CB68E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536C4" w14:paraId="3E8500B3" w14:textId="71170AD7">
                    <w:r>
                      <w:t xml:space="preserve"> </w:t>
                    </w:r>
                    <w:r w:rsidR="00C36E8A">
                      <w:t>De Voorzitter van de Tweede Kamer der Staten-Generaal</w:t>
                    </w:r>
                  </w:p>
                  <w:p w:rsidR="00C36E8A" w14:paraId="70C8430D" w14:textId="609AE039">
                    <w:r>
                      <w:t xml:space="preserve"> Postbus 20018</w:t>
                    </w:r>
                  </w:p>
                  <w:p w:rsidR="00C36E8A" w14:paraId="7487492D" w14:textId="340F01EB">
                    <w:r>
                      <w:t xml:space="preserve"> 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6000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00075"/>
                      </a:xfrm>
                      <a:prstGeom prst="rect">
                        <a:avLst/>
                      </a:prstGeom>
                      <a:noFill/>
                    </wps:spPr>
                    <wps:txbx>
                      <w:txbxContent>
                        <w:tbl>
                          <w:tblPr>
                            <w:tblW w:w="0" w:type="auto"/>
                            <w:tblLayout w:type="fixed"/>
                            <w:tblLook w:val="07E0"/>
                          </w:tblPr>
                          <w:tblGrid>
                            <w:gridCol w:w="1140"/>
                            <w:gridCol w:w="5918"/>
                          </w:tblGrid>
                          <w:tr w14:paraId="1509B93F" w14:textId="77777777">
                            <w:tblPrEx>
                              <w:tblW w:w="0" w:type="auto"/>
                              <w:tblLayout w:type="fixed"/>
                              <w:tblLook w:val="07E0"/>
                            </w:tblPrEx>
                            <w:trPr>
                              <w:trHeight w:val="240"/>
                            </w:trPr>
                            <w:tc>
                              <w:tcPr>
                                <w:tcW w:w="1140" w:type="dxa"/>
                              </w:tcPr>
                              <w:p w:rsidR="00A536C4" w14:textId="77777777">
                                <w:r>
                                  <w:t>Datum</w:t>
                                </w:r>
                              </w:p>
                            </w:tc>
                            <w:tc>
                              <w:tcPr>
                                <w:tcW w:w="5918" w:type="dxa"/>
                              </w:tcPr>
                              <w:p w:rsidR="00A536C4" w14:textId="778DD06F">
                                <w:r>
                                  <w:t>20 mei 2025</w:t>
                                </w:r>
                              </w:p>
                            </w:tc>
                          </w:tr>
                          <w:tr w14:paraId="4022A350" w14:textId="77777777">
                            <w:tblPrEx>
                              <w:tblW w:w="0" w:type="auto"/>
                              <w:tblLayout w:type="fixed"/>
                              <w:tblLook w:val="07E0"/>
                            </w:tblPrEx>
                            <w:trPr>
                              <w:trHeight w:val="240"/>
                            </w:trPr>
                            <w:tc>
                              <w:tcPr>
                                <w:tcW w:w="1140" w:type="dxa"/>
                              </w:tcPr>
                              <w:p w:rsidR="00A536C4" w14:textId="77777777">
                                <w:r>
                                  <w:t>Betreft</w:t>
                                </w:r>
                              </w:p>
                            </w:tc>
                            <w:tc>
                              <w:tcPr>
                                <w:tcW w:w="5918" w:type="dxa"/>
                              </w:tcPr>
                              <w:p w:rsidR="00A536C4" w:rsidP="007C0B56" w14:textId="77777777">
                                <w:r>
                                  <w:t>Beleidsvoorstellen uit de 1</w:t>
                                </w:r>
                                <w:r w:rsidRPr="007C0B56">
                                  <w:rPr>
                                    <w:vertAlign w:val="superscript"/>
                                  </w:rPr>
                                  <w:t>e</w:t>
                                </w:r>
                                <w:r>
                                  <w:t xml:space="preserve"> suppletoire begroting 2025 van </w:t>
                                </w:r>
                                <w:r w:rsidR="00C24A97">
                                  <w:t>Begrotingshoofdstuk XXII</w:t>
                                </w:r>
                                <w:r w:rsidR="009D55D2">
                                  <w:t xml:space="preserve"> </w:t>
                                </w:r>
                                <w:r>
                                  <w:t>met CW 3.1. kaders</w:t>
                                </w:r>
                              </w:p>
                            </w:tc>
                          </w:tr>
                        </w:tbl>
                        <w:p w:rsidR="001D212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7.2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1509B93F" w14:textId="77777777">
                      <w:tblPrEx>
                        <w:tblW w:w="0" w:type="auto"/>
                        <w:tblLayout w:type="fixed"/>
                        <w:tblLook w:val="07E0"/>
                      </w:tblPrEx>
                      <w:trPr>
                        <w:trHeight w:val="240"/>
                      </w:trPr>
                      <w:tc>
                        <w:tcPr>
                          <w:tcW w:w="1140" w:type="dxa"/>
                        </w:tcPr>
                        <w:p w:rsidR="00A536C4" w14:paraId="20BDF2A7" w14:textId="77777777">
                          <w:r>
                            <w:t>Datum</w:t>
                          </w:r>
                        </w:p>
                      </w:tc>
                      <w:tc>
                        <w:tcPr>
                          <w:tcW w:w="5918" w:type="dxa"/>
                        </w:tcPr>
                        <w:p w:rsidR="00A536C4" w14:paraId="3212C484" w14:textId="778DD06F">
                          <w:r>
                            <w:t>20 mei 2025</w:t>
                          </w:r>
                        </w:p>
                      </w:tc>
                    </w:tr>
                    <w:tr w14:paraId="4022A350" w14:textId="77777777">
                      <w:tblPrEx>
                        <w:tblW w:w="0" w:type="auto"/>
                        <w:tblLayout w:type="fixed"/>
                        <w:tblLook w:val="07E0"/>
                      </w:tblPrEx>
                      <w:trPr>
                        <w:trHeight w:val="240"/>
                      </w:trPr>
                      <w:tc>
                        <w:tcPr>
                          <w:tcW w:w="1140" w:type="dxa"/>
                        </w:tcPr>
                        <w:p w:rsidR="00A536C4" w14:paraId="31146FB1" w14:textId="77777777">
                          <w:r>
                            <w:t>Betreft</w:t>
                          </w:r>
                        </w:p>
                      </w:tc>
                      <w:tc>
                        <w:tcPr>
                          <w:tcW w:w="5918" w:type="dxa"/>
                        </w:tcPr>
                        <w:p w:rsidR="00A536C4" w:rsidP="007C0B56" w14:paraId="780DAFEA" w14:textId="77777777">
                          <w:r>
                            <w:t>Beleidsvoorstellen uit de 1</w:t>
                          </w:r>
                          <w:r w:rsidRPr="007C0B56">
                            <w:rPr>
                              <w:vertAlign w:val="superscript"/>
                            </w:rPr>
                            <w:t>e</w:t>
                          </w:r>
                          <w:r>
                            <w:t xml:space="preserve"> suppletoire begroting 2025 van </w:t>
                          </w:r>
                          <w:r w:rsidR="00C24A97">
                            <w:t>Begrotingshoofdstuk XXII</w:t>
                          </w:r>
                          <w:r w:rsidR="009D55D2">
                            <w:t xml:space="preserve"> </w:t>
                          </w:r>
                          <w:r>
                            <w:t>met CW 3.1. kaders</w:t>
                          </w:r>
                        </w:p>
                      </w:tc>
                    </w:tr>
                  </w:tbl>
                  <w:p w:rsidR="001D2121" w14:paraId="0BDFFEE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6C4" w14:textId="77777777">
                          <w:pPr>
                            <w:pStyle w:val="Referentiegegevensbold"/>
                          </w:pPr>
                          <w:r>
                            <w:t>Mensen &amp; Middelen, Bestuursondersteuning</w:t>
                          </w:r>
                        </w:p>
                        <w:p w:rsidR="00A536C4" w14:textId="77777777">
                          <w:pPr>
                            <w:pStyle w:val="Referentiegegevens"/>
                          </w:pPr>
                          <w:r>
                            <w:t>MM-Financieel-Economische Zaken</w:t>
                          </w:r>
                        </w:p>
                        <w:p w:rsidR="00A536C4" w14:textId="77777777">
                          <w:pPr>
                            <w:pStyle w:val="Referentiegegevens"/>
                          </w:pPr>
                          <w:r>
                            <w:t>MM-FEZ-Begrotingszaken</w:t>
                          </w:r>
                        </w:p>
                        <w:p w:rsidR="00A536C4" w14:textId="77777777">
                          <w:pPr>
                            <w:pStyle w:val="WitregelW1"/>
                          </w:pPr>
                        </w:p>
                        <w:p w:rsidR="00A536C4" w14:textId="77777777">
                          <w:pPr>
                            <w:pStyle w:val="Referentiegegevens"/>
                          </w:pPr>
                          <w:r>
                            <w:t>Turfmarkt 147</w:t>
                          </w:r>
                        </w:p>
                        <w:p w:rsidR="00A536C4" w14:textId="77777777">
                          <w:pPr>
                            <w:pStyle w:val="Referentiegegevens"/>
                          </w:pPr>
                          <w:r>
                            <w:t>2511 DP  Den Haag</w:t>
                          </w:r>
                        </w:p>
                        <w:p w:rsidR="00A536C4" w14:textId="77777777">
                          <w:pPr>
                            <w:pStyle w:val="WitregelW1"/>
                          </w:pPr>
                        </w:p>
                        <w:p w:rsidR="00C24A97" w14:textId="77777777">
                          <w:pPr>
                            <w:pStyle w:val="Referentiegegevensbold"/>
                          </w:pPr>
                        </w:p>
                        <w:p w:rsidR="00A536C4" w14:textId="77777777">
                          <w:pPr>
                            <w:pStyle w:val="Referentiegegevensbold"/>
                          </w:pPr>
                          <w:r>
                            <w:t>Onze referentie</w:t>
                          </w:r>
                        </w:p>
                        <w:p w:rsidR="00C970DC" w14:textId="77777777">
                          <w:pPr>
                            <w:pStyle w:val="Referentiegegevens"/>
                          </w:pPr>
                          <w:r>
                            <w:fldChar w:fldCharType="begin"/>
                          </w:r>
                          <w:r>
                            <w:instrText xml:space="preserve"> DOCPROPERTY  "Kenmerk"  \* MERGEFORMAT </w:instrText>
                          </w:r>
                          <w:r>
                            <w:fldChar w:fldCharType="separate"/>
                          </w:r>
                          <w:r>
                            <w:t>2025-0000337009</w:t>
                          </w:r>
                          <w:r>
                            <w:fldChar w:fldCharType="end"/>
                          </w:r>
                        </w:p>
                        <w:p w:rsidR="00A536C4" w14:textId="77777777">
                          <w:pPr>
                            <w:pStyle w:val="WitregelW1"/>
                          </w:pPr>
                        </w:p>
                        <w:p w:rsidR="00A536C4" w14:textId="77777777">
                          <w:pPr>
                            <w:pStyle w:val="Referentiegegevensbold"/>
                          </w:pPr>
                          <w:r>
                            <w:t>Uw referentie</w:t>
                          </w:r>
                        </w:p>
                        <w:p w:rsidR="00C970DC"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536C4" w14:paraId="4E59481D" w14:textId="77777777">
                    <w:pPr>
                      <w:pStyle w:val="Referentiegegevensbold"/>
                    </w:pPr>
                    <w:r>
                      <w:t>Mensen &amp; Middelen, Bestuursondersteuning</w:t>
                    </w:r>
                  </w:p>
                  <w:p w:rsidR="00A536C4" w14:paraId="5230508F" w14:textId="77777777">
                    <w:pPr>
                      <w:pStyle w:val="Referentiegegevens"/>
                    </w:pPr>
                    <w:r>
                      <w:t>MM-Financieel-Economische Zaken</w:t>
                    </w:r>
                  </w:p>
                  <w:p w:rsidR="00A536C4" w14:paraId="228F577E" w14:textId="77777777">
                    <w:pPr>
                      <w:pStyle w:val="Referentiegegevens"/>
                    </w:pPr>
                    <w:r>
                      <w:t>MM-FEZ-Begrotingszaken</w:t>
                    </w:r>
                  </w:p>
                  <w:p w:rsidR="00A536C4" w14:paraId="701C3292" w14:textId="77777777">
                    <w:pPr>
                      <w:pStyle w:val="WitregelW1"/>
                    </w:pPr>
                  </w:p>
                  <w:p w:rsidR="00A536C4" w14:paraId="04CCF4EB" w14:textId="77777777">
                    <w:pPr>
                      <w:pStyle w:val="Referentiegegevens"/>
                    </w:pPr>
                    <w:r>
                      <w:t>Turfmarkt 147</w:t>
                    </w:r>
                  </w:p>
                  <w:p w:rsidR="00A536C4" w14:paraId="45DC81CF" w14:textId="77777777">
                    <w:pPr>
                      <w:pStyle w:val="Referentiegegevens"/>
                    </w:pPr>
                    <w:r>
                      <w:t>2511 DP  Den Haag</w:t>
                    </w:r>
                  </w:p>
                  <w:p w:rsidR="00A536C4" w14:paraId="376CC302" w14:textId="77777777">
                    <w:pPr>
                      <w:pStyle w:val="WitregelW1"/>
                    </w:pPr>
                  </w:p>
                  <w:p w:rsidR="00C24A97" w14:paraId="6281F147" w14:textId="77777777">
                    <w:pPr>
                      <w:pStyle w:val="Referentiegegevensbold"/>
                    </w:pPr>
                  </w:p>
                  <w:p w:rsidR="00A536C4" w14:paraId="2E120A8F" w14:textId="77777777">
                    <w:pPr>
                      <w:pStyle w:val="Referentiegegevensbold"/>
                    </w:pPr>
                    <w:r>
                      <w:t>Onze referentie</w:t>
                    </w:r>
                  </w:p>
                  <w:p w:rsidR="00C970DC" w14:paraId="052BDAA8" w14:textId="77777777">
                    <w:pPr>
                      <w:pStyle w:val="Referentiegegevens"/>
                    </w:pPr>
                    <w:r>
                      <w:fldChar w:fldCharType="begin"/>
                    </w:r>
                    <w:r>
                      <w:instrText xml:space="preserve"> DOCPROPERTY  "Kenmerk"  \* MERGEFORMAT </w:instrText>
                    </w:r>
                    <w:r>
                      <w:fldChar w:fldCharType="separate"/>
                    </w:r>
                    <w:r>
                      <w:t>2025-0000337009</w:t>
                    </w:r>
                    <w:r>
                      <w:fldChar w:fldCharType="end"/>
                    </w:r>
                  </w:p>
                  <w:p w:rsidR="00A536C4" w14:paraId="7E70162D" w14:textId="77777777">
                    <w:pPr>
                      <w:pStyle w:val="WitregelW1"/>
                    </w:pPr>
                  </w:p>
                  <w:p w:rsidR="00A536C4" w14:paraId="2D0FB090" w14:textId="77777777">
                    <w:pPr>
                      <w:pStyle w:val="Referentiegegevensbold"/>
                    </w:pPr>
                    <w:r>
                      <w:t>Uw referentie</w:t>
                    </w:r>
                  </w:p>
                  <w:p w:rsidR="00C970DC" w14:paraId="4DF553A9"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970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C970DC" w14:paraId="65955B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2121"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D2121" w14:paraId="5EF215E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E5E2697"/>
    <w:multiLevelType w:val="multilevel"/>
    <w:tmpl w:val="019385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16E0C44"/>
    <w:multiLevelType w:val="multilevel"/>
    <w:tmpl w:val="2A2D30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0585D69"/>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3">
    <w:nsid w:val="09663397"/>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4">
    <w:nsid w:val="0AA514FA"/>
    <w:multiLevelType w:val="multilevel"/>
    <w:tmpl w:val="40B17B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58C46AA"/>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6">
    <w:nsid w:val="1F373923"/>
    <w:multiLevelType w:val="hybridMultilevel"/>
    <w:tmpl w:val="F12A78EE"/>
    <w:lvl w:ilvl="0">
      <w:start w:val="50"/>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EA26DF"/>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8">
    <w:nsid w:val="4D587A73"/>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9">
    <w:nsid w:val="59F9633A"/>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0">
    <w:nsid w:val="609A5142"/>
    <w:multiLevelType w:val="multilevel"/>
    <w:tmpl w:val="48FDB7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nsid w:val="63F90ADD"/>
    <w:multiLevelType w:val="hybridMultilevel"/>
    <w:tmpl w:val="59EE7E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C408EF"/>
    <w:multiLevelType w:val="multilevel"/>
    <w:tmpl w:val="6B2129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740365E7"/>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4">
    <w:nsid w:val="781E6D4E"/>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5">
    <w:nsid w:val="7CDB3A8C"/>
    <w:multiLevelType w:val="hybridMultilevel"/>
    <w:tmpl w:val="E0B40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0"/>
  </w:num>
  <w:num w:numId="5">
    <w:abstractNumId w:val="4"/>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9"/>
  </w:num>
  <w:num w:numId="11">
    <w:abstractNumId w:val="3"/>
  </w:num>
  <w:num w:numId="12">
    <w:abstractNumId w:val="7"/>
  </w:num>
  <w:num w:numId="13">
    <w:abstractNumId w:val="8"/>
  </w:num>
  <w:num w:numId="14">
    <w:abstractNumId w:val="2"/>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2"/>
    <w:rsid w:val="0002674C"/>
    <w:rsid w:val="000541DE"/>
    <w:rsid w:val="00073E83"/>
    <w:rsid w:val="000B14BB"/>
    <w:rsid w:val="000C5490"/>
    <w:rsid w:val="000D42BD"/>
    <w:rsid w:val="000E17AF"/>
    <w:rsid w:val="0010376E"/>
    <w:rsid w:val="00130CC1"/>
    <w:rsid w:val="00136760"/>
    <w:rsid w:val="001472E8"/>
    <w:rsid w:val="00147400"/>
    <w:rsid w:val="0017257D"/>
    <w:rsid w:val="00191AC1"/>
    <w:rsid w:val="001C19AE"/>
    <w:rsid w:val="001C56A1"/>
    <w:rsid w:val="001C6D34"/>
    <w:rsid w:val="001D2121"/>
    <w:rsid w:val="001D5A24"/>
    <w:rsid w:val="001F22C3"/>
    <w:rsid w:val="00220907"/>
    <w:rsid w:val="002345EF"/>
    <w:rsid w:val="00243979"/>
    <w:rsid w:val="002455C4"/>
    <w:rsid w:val="002814D2"/>
    <w:rsid w:val="00284932"/>
    <w:rsid w:val="002C051C"/>
    <w:rsid w:val="002C6808"/>
    <w:rsid w:val="00322A91"/>
    <w:rsid w:val="003537D0"/>
    <w:rsid w:val="00385463"/>
    <w:rsid w:val="003D364C"/>
    <w:rsid w:val="003E61B3"/>
    <w:rsid w:val="003F1140"/>
    <w:rsid w:val="003F35BB"/>
    <w:rsid w:val="00447867"/>
    <w:rsid w:val="0048215E"/>
    <w:rsid w:val="0049251E"/>
    <w:rsid w:val="004B05F7"/>
    <w:rsid w:val="004C3AEE"/>
    <w:rsid w:val="004D6221"/>
    <w:rsid w:val="004E38CD"/>
    <w:rsid w:val="004E79B0"/>
    <w:rsid w:val="004F4741"/>
    <w:rsid w:val="004F588A"/>
    <w:rsid w:val="0054488E"/>
    <w:rsid w:val="00583FDB"/>
    <w:rsid w:val="005A13CE"/>
    <w:rsid w:val="005A711D"/>
    <w:rsid w:val="005D5BB5"/>
    <w:rsid w:val="006032D3"/>
    <w:rsid w:val="00640198"/>
    <w:rsid w:val="006475CD"/>
    <w:rsid w:val="00652DF4"/>
    <w:rsid w:val="00655745"/>
    <w:rsid w:val="00660F73"/>
    <w:rsid w:val="006D356E"/>
    <w:rsid w:val="0070486C"/>
    <w:rsid w:val="0073048A"/>
    <w:rsid w:val="007407A4"/>
    <w:rsid w:val="00745027"/>
    <w:rsid w:val="00760BCD"/>
    <w:rsid w:val="007B2C3B"/>
    <w:rsid w:val="007C0B56"/>
    <w:rsid w:val="007E72F0"/>
    <w:rsid w:val="008404B2"/>
    <w:rsid w:val="008431B3"/>
    <w:rsid w:val="00865E4A"/>
    <w:rsid w:val="008D3D97"/>
    <w:rsid w:val="008D619A"/>
    <w:rsid w:val="008E4228"/>
    <w:rsid w:val="00941437"/>
    <w:rsid w:val="0095004C"/>
    <w:rsid w:val="00982621"/>
    <w:rsid w:val="009A0AC4"/>
    <w:rsid w:val="009B337D"/>
    <w:rsid w:val="009B77C9"/>
    <w:rsid w:val="009C0E19"/>
    <w:rsid w:val="009D55D2"/>
    <w:rsid w:val="00A536C4"/>
    <w:rsid w:val="00A6449C"/>
    <w:rsid w:val="00AA652A"/>
    <w:rsid w:val="00AC2AC1"/>
    <w:rsid w:val="00AC5ED3"/>
    <w:rsid w:val="00AD2533"/>
    <w:rsid w:val="00AD71C6"/>
    <w:rsid w:val="00B16383"/>
    <w:rsid w:val="00B20A14"/>
    <w:rsid w:val="00B55285"/>
    <w:rsid w:val="00B75C2F"/>
    <w:rsid w:val="00BB04EA"/>
    <w:rsid w:val="00C16A90"/>
    <w:rsid w:val="00C24A97"/>
    <w:rsid w:val="00C36E8A"/>
    <w:rsid w:val="00C447CB"/>
    <w:rsid w:val="00C66B9D"/>
    <w:rsid w:val="00C970DC"/>
    <w:rsid w:val="00CF161D"/>
    <w:rsid w:val="00D06A96"/>
    <w:rsid w:val="00D528DA"/>
    <w:rsid w:val="00D55237"/>
    <w:rsid w:val="00D9394B"/>
    <w:rsid w:val="00D953A4"/>
    <w:rsid w:val="00DA7AA7"/>
    <w:rsid w:val="00DB294C"/>
    <w:rsid w:val="00DD64E3"/>
    <w:rsid w:val="00E03784"/>
    <w:rsid w:val="00E13F26"/>
    <w:rsid w:val="00E431E9"/>
    <w:rsid w:val="00E632D6"/>
    <w:rsid w:val="00E70522"/>
    <w:rsid w:val="00E72A45"/>
    <w:rsid w:val="00EA1AF4"/>
    <w:rsid w:val="00EC3DE1"/>
    <w:rsid w:val="00FC1E6D"/>
    <w:rsid w:val="00FE1344"/>
    <w:rsid w:val="00FF510B"/>
    <w:rsid w:val="00FF7C5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719515"/>
  <w15:docId w15:val="{9B8B0A05-6BE0-4664-B138-494D26EC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383"/>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404B2"/>
    <w:pPr>
      <w:tabs>
        <w:tab w:val="center" w:pos="4536"/>
        <w:tab w:val="right" w:pos="9072"/>
      </w:tabs>
      <w:spacing w:line="240" w:lineRule="auto"/>
    </w:pPr>
  </w:style>
  <w:style w:type="character" w:customStyle="1" w:styleId="KoptekstChar">
    <w:name w:val="Koptekst Char"/>
    <w:basedOn w:val="DefaultParagraphFont"/>
    <w:link w:val="Header"/>
    <w:uiPriority w:val="99"/>
    <w:rsid w:val="008404B2"/>
    <w:rPr>
      <w:rFonts w:ascii="Verdana" w:hAnsi="Verdana"/>
      <w:color w:val="000000"/>
      <w:sz w:val="18"/>
      <w:szCs w:val="18"/>
    </w:rPr>
  </w:style>
  <w:style w:type="paragraph" w:styleId="Footer">
    <w:name w:val="footer"/>
    <w:basedOn w:val="Normal"/>
    <w:link w:val="VoettekstChar"/>
    <w:uiPriority w:val="99"/>
    <w:unhideWhenUsed/>
    <w:rsid w:val="008404B2"/>
    <w:pPr>
      <w:tabs>
        <w:tab w:val="center" w:pos="4536"/>
        <w:tab w:val="right" w:pos="9072"/>
      </w:tabs>
      <w:spacing w:line="240" w:lineRule="auto"/>
    </w:pPr>
  </w:style>
  <w:style w:type="character" w:customStyle="1" w:styleId="VoettekstChar">
    <w:name w:val="Voettekst Char"/>
    <w:basedOn w:val="DefaultParagraphFont"/>
    <w:link w:val="Footer"/>
    <w:uiPriority w:val="99"/>
    <w:rsid w:val="008404B2"/>
    <w:rPr>
      <w:rFonts w:ascii="Verdana" w:hAnsi="Verdana"/>
      <w:color w:val="000000"/>
      <w:sz w:val="18"/>
      <w:szCs w:val="18"/>
    </w:rPr>
  </w:style>
  <w:style w:type="paragraph" w:styleId="ListParagraph">
    <w:name w:val="List Paragraph"/>
    <w:aliases w:val="Bullet 1,Bullet Points,Colorful List - Accent 11,Dot pt,F5 List Paragraph,Indicator Text,List Paragraph Char Char Char,List Paragraph1,List Paragraph2,MAIN CONTENT,No Spacing1,Normal numbere,Numbered Para 1,Párrafo de lista,Recommendation"/>
    <w:basedOn w:val="Normal"/>
    <w:link w:val="LijstalineaChar"/>
    <w:uiPriority w:val="34"/>
    <w:qFormat/>
    <w:rsid w:val="007C0B56"/>
    <w:pPr>
      <w:ind w:left="720"/>
      <w:contextualSpacing/>
    </w:pPr>
  </w:style>
  <w:style w:type="table" w:customStyle="1" w:styleId="TableNormal0">
    <w:name w:val="Table Normal_0"/>
    <w:uiPriority w:val="2"/>
    <w:semiHidden/>
    <w:qFormat/>
    <w:rsid w:val="009D55D2"/>
    <w:pPr>
      <w:widowControl w:val="0"/>
      <w:autoSpaceDE w:val="0"/>
      <w:textAlignment w:val="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paragraph" w:styleId="FootnoteText">
    <w:name w:val="footnote text"/>
    <w:basedOn w:val="Normal"/>
    <w:link w:val="VoetnoottekstChar"/>
    <w:uiPriority w:val="99"/>
    <w:semiHidden/>
    <w:unhideWhenUsed/>
    <w:rsid w:val="00FE1344"/>
    <w:pPr>
      <w:spacing w:line="240" w:lineRule="auto"/>
    </w:pPr>
    <w:rPr>
      <w:sz w:val="20"/>
      <w:szCs w:val="20"/>
    </w:rPr>
  </w:style>
  <w:style w:type="character" w:customStyle="1" w:styleId="VoetnoottekstChar">
    <w:name w:val="Voetnoottekst Char"/>
    <w:basedOn w:val="DefaultParagraphFont"/>
    <w:link w:val="FootnoteText"/>
    <w:uiPriority w:val="99"/>
    <w:semiHidden/>
    <w:rsid w:val="00FE1344"/>
    <w:rPr>
      <w:rFonts w:ascii="Verdana" w:hAnsi="Verdana"/>
      <w:color w:val="000000"/>
    </w:rPr>
  </w:style>
  <w:style w:type="character" w:styleId="FootnoteReference">
    <w:name w:val="footnote reference"/>
    <w:basedOn w:val="DefaultParagraphFont"/>
    <w:uiPriority w:val="99"/>
    <w:semiHidden/>
    <w:unhideWhenUsed/>
    <w:rsid w:val="00FE1344"/>
    <w:rPr>
      <w:vertAlign w:val="superscript"/>
    </w:rPr>
  </w:style>
  <w:style w:type="character" w:customStyle="1" w:styleId="LijstalineaChar">
    <w:name w:val="Lijstalinea Char"/>
    <w:aliases w:val="Bullet 1 Char,Bullet Points Char,Dot pt Char,F5 List Paragraph Char,Indicator Text Char,List Paragraph Char Char Char Char,List Paragraph1 Char,MAIN CONTENT Char,No Spacing1 Char,Numbered Para 1 Char,Párrafo de lista Char"/>
    <w:basedOn w:val="DefaultParagraphFont"/>
    <w:link w:val="ListParagraph"/>
    <w:uiPriority w:val="34"/>
    <w:locked/>
    <w:rsid w:val="00BB04EA"/>
    <w:rPr>
      <w:rFonts w:ascii="Verdana" w:hAnsi="Verdana"/>
      <w:color w:val="000000"/>
      <w:sz w:val="18"/>
      <w:szCs w:val="18"/>
    </w:rPr>
  </w:style>
  <w:style w:type="paragraph" w:styleId="CommentText">
    <w:name w:val="annotation text"/>
    <w:basedOn w:val="Normal"/>
    <w:link w:val="TekstopmerkingChar"/>
    <w:uiPriority w:val="99"/>
    <w:unhideWhenUsed/>
    <w:rsid w:val="00D9394B"/>
    <w:pPr>
      <w:spacing w:line="240" w:lineRule="auto"/>
    </w:pPr>
    <w:rPr>
      <w:sz w:val="20"/>
      <w:szCs w:val="20"/>
    </w:rPr>
  </w:style>
  <w:style w:type="character" w:customStyle="1" w:styleId="TekstopmerkingChar">
    <w:name w:val="Tekst opmerking Char"/>
    <w:basedOn w:val="DefaultParagraphFont"/>
    <w:link w:val="CommentText"/>
    <w:uiPriority w:val="99"/>
    <w:rsid w:val="00D9394B"/>
    <w:rPr>
      <w:rFonts w:ascii="Verdana" w:hAnsi="Verdana"/>
      <w:color w:val="000000"/>
    </w:rPr>
  </w:style>
  <w:style w:type="character" w:styleId="CommentReference">
    <w:name w:val="annotation reference"/>
    <w:basedOn w:val="DefaultParagraphFont"/>
    <w:uiPriority w:val="99"/>
    <w:semiHidden/>
    <w:unhideWhenUsed/>
    <w:rsid w:val="00D9394B"/>
    <w:rPr>
      <w:sz w:val="16"/>
      <w:szCs w:val="16"/>
    </w:rPr>
  </w:style>
  <w:style w:type="paragraph" w:styleId="Revision">
    <w:name w:val="Revision"/>
    <w:hidden/>
    <w:uiPriority w:val="99"/>
    <w:semiHidden/>
    <w:rsid w:val="00D9394B"/>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136760"/>
    <w:rPr>
      <w:b/>
      <w:bCs/>
    </w:rPr>
  </w:style>
  <w:style w:type="character" w:customStyle="1" w:styleId="OnderwerpvanopmerkingChar">
    <w:name w:val="Onderwerp van opmerking Char"/>
    <w:basedOn w:val="TekstopmerkingChar"/>
    <w:link w:val="CommentSubject"/>
    <w:uiPriority w:val="99"/>
    <w:semiHidden/>
    <w:rsid w:val="0013676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2618</ap:Words>
  <ap:Characters>14399</ap:Characters>
  <ap:DocSecurity>0</ap:DocSecurity>
  <ap:Lines>119</ap:Lines>
  <ap:Paragraphs>33</ap:Paragraphs>
  <ap:ScaleCrop>false</ap:ScaleCrop>
  <ap:HeadingPairs>
    <vt:vector baseType="variant" size="2">
      <vt:variant>
        <vt:lpstr>Titel</vt:lpstr>
      </vt:variant>
      <vt:variant>
        <vt:i4>1</vt:i4>
      </vt:variant>
    </vt:vector>
  </ap:HeadingPairs>
  <ap:LinksUpToDate>false</ap:LinksUpToDate>
  <ap:CharactersWithSpaces>16984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2025-05-13T12:49:00.0000000Z</dcterms:created>
  <dcterms:modified xsi:type="dcterms:W3CDTF">2025-05-20T07:19:00.0000000Z</dcterms:modified>
  <dc:creator/>
  <lastModifiedBy/>
  <dc:description>------------------------</dc:description>
  <dc:subject/>
  <keywords/>
  <version/>
  <category/>
</coreProperties>
</file>