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68E" w:rsidRDefault="0027768E" w14:paraId="5F65B383" w14:textId="77777777"/>
    <w:p w:rsidRPr="00B5049D" w:rsidR="00656E6D" w:rsidRDefault="004F1BE1" w14:paraId="1101D7B8" w14:textId="44CFA4A2">
      <w:r w:rsidRPr="00B5049D">
        <w:t>Bij het wetsvoorstel Verzamelwet gegevensbescherming</w:t>
      </w:r>
      <w:r w:rsidRPr="00B5049D" w:rsidR="00816144">
        <w:t xml:space="preserve"> (Kamerstukken </w:t>
      </w:r>
      <w:r w:rsidRPr="00B5049D">
        <w:t>36264</w:t>
      </w:r>
      <w:r w:rsidRPr="00B5049D" w:rsidR="00816144">
        <w:t>)</w:t>
      </w:r>
      <w:r w:rsidRPr="00B5049D">
        <w:t xml:space="preserve"> zijn twee gewijzigde amendementen ingediend. Tijdens de plenaire behandeling van dit wetsvoorstel op 15 april jongstleden heb ik de </w:t>
      </w:r>
      <w:r w:rsidRPr="00B5049D" w:rsidR="00816144">
        <w:t xml:space="preserve">oorspronkelijke versie van deze </w:t>
      </w:r>
      <w:r w:rsidRPr="00B5049D">
        <w:t xml:space="preserve">amendementen ontraden, omdat er nog wetstechnische opmerkingen waren en omdat ik met de Autoriteit Persoonsgegevens (AP) van gedachten zou willen wisselen over de impact van de amendementen op de AP. </w:t>
      </w:r>
      <w:r w:rsidRPr="00B5049D" w:rsidR="008D2591">
        <w:t>In deze brief geef ik mijn appreciatie over deze gewijzigde amendementen.</w:t>
      </w:r>
    </w:p>
    <w:p w:rsidRPr="00B5049D" w:rsidR="004F1BE1" w:rsidRDefault="004F1BE1" w14:paraId="52794BBC" w14:textId="77777777"/>
    <w:p w:rsidRPr="00B5049D" w:rsidR="00BB237A" w:rsidP="00BB237A" w:rsidRDefault="00BB237A" w14:paraId="48927684" w14:textId="099F138F">
      <w:pPr>
        <w:spacing w:line="276" w:lineRule="auto"/>
        <w:rPr>
          <w:rFonts w:eastAsia="Times New Roman"/>
          <w:i/>
          <w:iCs/>
        </w:rPr>
      </w:pPr>
      <w:r w:rsidRPr="00B5049D">
        <w:rPr>
          <w:rFonts w:eastAsia="Times New Roman"/>
          <w:i/>
          <w:iCs/>
        </w:rPr>
        <w:t>Gewijzigd amendement-Six Dijkstra over een verplichting tot openbaarmaking van een door de Autoriteit Persoonsgegevens opgelegde bestuurlijke sanctie</w:t>
      </w:r>
      <w:r w:rsidRPr="00B5049D" w:rsidR="00851BAC">
        <w:rPr>
          <w:rFonts w:eastAsia="Times New Roman"/>
          <w:i/>
          <w:iCs/>
        </w:rPr>
        <w:t xml:space="preserve"> </w:t>
      </w:r>
      <w:r w:rsidRPr="00B5049D">
        <w:rPr>
          <w:rFonts w:eastAsia="Times New Roman"/>
          <w:i/>
          <w:iCs/>
        </w:rPr>
        <w:t>(Kamerstukken II 2024/25, 36264, nr. 19)</w:t>
      </w:r>
    </w:p>
    <w:p w:rsidRPr="00B5049D" w:rsidR="00BB237A" w:rsidRDefault="00BB237A" w14:paraId="62754986" w14:textId="77777777"/>
    <w:p w:rsidRPr="00B5049D" w:rsidR="00144F0D" w:rsidRDefault="004F1BE1" w14:paraId="4C864BFF" w14:textId="582445B2">
      <w:pPr>
        <w:rPr>
          <w:rFonts w:eastAsia="Times New Roman"/>
        </w:rPr>
      </w:pPr>
      <w:r w:rsidRPr="00B5049D">
        <w:t xml:space="preserve">Het amendement is gewijzigd op de noodzakelijke wetstechnische aspecten, waardoor mijn appreciatie nu oordeel Kamer </w:t>
      </w:r>
      <w:r w:rsidRPr="00B5049D" w:rsidR="005514C5">
        <w:t xml:space="preserve">is geworden. </w:t>
      </w:r>
      <w:r w:rsidRPr="00B5049D" w:rsidR="008A7EB3">
        <w:t xml:space="preserve">Openbaarmaking </w:t>
      </w:r>
      <w:r w:rsidRPr="00B5049D" w:rsidR="00872CB6">
        <w:t xml:space="preserve">van sanctiebesluiten geschiedt </w:t>
      </w:r>
      <w:r w:rsidRPr="00B5049D" w:rsidR="008A7EB3">
        <w:t xml:space="preserve">nu </w:t>
      </w:r>
      <w:r w:rsidRPr="00B5049D" w:rsidR="00872CB6">
        <w:t xml:space="preserve">reeds </w:t>
      </w:r>
      <w:r w:rsidRPr="00B5049D" w:rsidR="008A7EB3">
        <w:t xml:space="preserve">op </w:t>
      </w:r>
      <w:r w:rsidRPr="00B5049D" w:rsidR="00872CB6">
        <w:t xml:space="preserve">basis </w:t>
      </w:r>
      <w:r w:rsidRPr="00B5049D" w:rsidR="008A7EB3">
        <w:t>van artikel 3.1 van de Wet open overheid (</w:t>
      </w:r>
      <w:proofErr w:type="spellStart"/>
      <w:r w:rsidRPr="00B5049D" w:rsidR="008A7EB3">
        <w:t>Woo</w:t>
      </w:r>
      <w:proofErr w:type="spellEnd"/>
      <w:r w:rsidRPr="00B5049D" w:rsidR="008A7EB3">
        <w:t xml:space="preserve">). </w:t>
      </w:r>
      <w:r w:rsidRPr="00B5049D" w:rsidR="008A15BE">
        <w:t xml:space="preserve">Het </w:t>
      </w:r>
      <w:r w:rsidRPr="00B5049D" w:rsidR="00816144">
        <w:t xml:space="preserve">amendement </w:t>
      </w:r>
      <w:r w:rsidRPr="00B5049D" w:rsidR="002F5501">
        <w:t>bevestigt de</w:t>
      </w:r>
      <w:r w:rsidRPr="00B5049D" w:rsidR="008A15BE">
        <w:t xml:space="preserve"> </w:t>
      </w:r>
      <w:r w:rsidRPr="00B5049D" w:rsidR="00816144">
        <w:t>vaste jurisprudentie van de Afdeling bestuursrechtspraak van de Raad van State</w:t>
      </w:r>
      <w:r w:rsidRPr="00B5049D" w:rsidR="00BF4D04">
        <w:t xml:space="preserve"> </w:t>
      </w:r>
      <w:r w:rsidRPr="00B5049D" w:rsidR="008A7EB3">
        <w:t>hierover,</w:t>
      </w:r>
      <w:r w:rsidRPr="00B5049D" w:rsidR="008A15BE">
        <w:t xml:space="preserve"> die inhoudt dat </w:t>
      </w:r>
      <w:r w:rsidRPr="00B5049D" w:rsidR="00816144">
        <w:t xml:space="preserve">het belang van openbaarmaking </w:t>
      </w:r>
      <w:r w:rsidRPr="00B5049D" w:rsidR="00BF4D04">
        <w:t xml:space="preserve">van het sanctiebesluit </w:t>
      </w:r>
      <w:r w:rsidRPr="00B5049D" w:rsidR="00816144">
        <w:t xml:space="preserve">vrijwel altijd zwaarder weegt dan bijvoorbeeld de dreigende reputatieschade voor de overtreder, tenzij </w:t>
      </w:r>
      <w:r w:rsidRPr="00B5049D" w:rsidR="00F33A7A">
        <w:t xml:space="preserve">de voorzieningenrechter </w:t>
      </w:r>
      <w:r w:rsidRPr="00B5049D" w:rsidR="00816144">
        <w:t xml:space="preserve">ernstige twijfels </w:t>
      </w:r>
      <w:r w:rsidRPr="00B5049D" w:rsidR="00F33A7A">
        <w:t xml:space="preserve">heeft </w:t>
      </w:r>
      <w:r w:rsidRPr="00B5049D" w:rsidR="00816144">
        <w:t>over de rechtmatigheid van het sanctiebesluit.</w:t>
      </w:r>
      <w:r w:rsidRPr="00B5049D" w:rsidR="00816144">
        <w:rPr>
          <w:rStyle w:val="Voetnootmarkering"/>
        </w:rPr>
        <w:footnoteReference w:id="1"/>
      </w:r>
      <w:r w:rsidRPr="00B5049D" w:rsidR="00816144">
        <w:t xml:space="preserve"> </w:t>
      </w:r>
      <w:r w:rsidRPr="00B5049D" w:rsidR="00C82AC2">
        <w:rPr>
          <w:rFonts w:eastAsia="Times New Roman"/>
        </w:rPr>
        <w:t>E</w:t>
      </w:r>
      <w:r w:rsidRPr="00B5049D" w:rsidR="00144F0D">
        <w:rPr>
          <w:rFonts w:eastAsia="Times New Roman"/>
        </w:rPr>
        <w:t xml:space="preserve">en </w:t>
      </w:r>
      <w:r w:rsidRPr="00B5049D" w:rsidR="00816144">
        <w:rPr>
          <w:rFonts w:eastAsia="Times New Roman"/>
        </w:rPr>
        <w:t xml:space="preserve">wettelijke </w:t>
      </w:r>
      <w:r w:rsidRPr="00B5049D" w:rsidR="00BF4D04">
        <w:rPr>
          <w:rFonts w:eastAsia="Times New Roman"/>
        </w:rPr>
        <w:t xml:space="preserve">openbaarmakingsplicht </w:t>
      </w:r>
      <w:r w:rsidRPr="00B5049D" w:rsidR="00DC3614">
        <w:rPr>
          <w:rFonts w:eastAsia="Times New Roman"/>
        </w:rPr>
        <w:t xml:space="preserve">verduidelijkt </w:t>
      </w:r>
      <w:r w:rsidRPr="00B5049D" w:rsidR="00816144">
        <w:rPr>
          <w:rFonts w:eastAsia="Times New Roman"/>
        </w:rPr>
        <w:t>dat openbaarmaking de standaard is</w:t>
      </w:r>
      <w:r w:rsidRPr="00B5049D" w:rsidR="00144F0D">
        <w:rPr>
          <w:rFonts w:eastAsia="Times New Roman"/>
        </w:rPr>
        <w:t xml:space="preserve">, zodat </w:t>
      </w:r>
      <w:r w:rsidRPr="00B5049D" w:rsidR="00816144">
        <w:rPr>
          <w:rFonts w:eastAsia="Times New Roman"/>
        </w:rPr>
        <w:t xml:space="preserve">procedures over openbaarmaking </w:t>
      </w:r>
      <w:r w:rsidRPr="00B5049D" w:rsidR="001B688F">
        <w:rPr>
          <w:rFonts w:eastAsia="Times New Roman"/>
        </w:rPr>
        <w:t>eenvoudiger en korter kunnen worden</w:t>
      </w:r>
      <w:r w:rsidRPr="00B5049D" w:rsidR="00816144">
        <w:rPr>
          <w:rFonts w:eastAsia="Times New Roman"/>
        </w:rPr>
        <w:t>.</w:t>
      </w:r>
      <w:r w:rsidRPr="00B5049D" w:rsidR="00BF4D04">
        <w:rPr>
          <w:rFonts w:eastAsia="Times New Roman"/>
        </w:rPr>
        <w:t xml:space="preserve"> </w:t>
      </w:r>
    </w:p>
    <w:p w:rsidRPr="00B5049D" w:rsidR="00F33A7A" w:rsidP="001B688F" w:rsidRDefault="005074F4" w14:paraId="70BB602B" w14:textId="3A9ABEB7">
      <w:r w:rsidRPr="00B5049D">
        <w:rPr>
          <w:rFonts w:eastAsia="Times New Roman"/>
        </w:rPr>
        <w:t>M</w:t>
      </w:r>
      <w:r w:rsidRPr="00B5049D" w:rsidR="00144F0D">
        <w:rPr>
          <w:rFonts w:eastAsia="Times New Roman"/>
        </w:rPr>
        <w:t xml:space="preserve">et het amendement </w:t>
      </w:r>
      <w:r w:rsidRPr="00B5049D" w:rsidR="001B688F">
        <w:rPr>
          <w:rFonts w:eastAsia="Times New Roman"/>
        </w:rPr>
        <w:t xml:space="preserve">wordt </w:t>
      </w:r>
      <w:r w:rsidRPr="00B5049D" w:rsidR="00144F0D">
        <w:rPr>
          <w:rFonts w:eastAsia="Times New Roman"/>
        </w:rPr>
        <w:t>verduidelijkt dat in de belangenafweging een groot gewicht moet worden toegekend aan openbaarmaking, tenzij sprake is van voornoemde ernstige twijfels.</w:t>
      </w:r>
      <w:r w:rsidRPr="00B5049D" w:rsidR="001B688F">
        <w:rPr>
          <w:rFonts w:eastAsia="Times New Roman"/>
        </w:rPr>
        <w:t xml:space="preserve"> </w:t>
      </w:r>
      <w:r w:rsidRPr="00B5049D" w:rsidR="002940D3">
        <w:rPr>
          <w:rFonts w:eastAsia="Times New Roman"/>
        </w:rPr>
        <w:t>Ik onderschrijf</w:t>
      </w:r>
      <w:r w:rsidRPr="00B5049D" w:rsidR="001B688F">
        <w:t xml:space="preserve"> dat het</w:t>
      </w:r>
      <w:r w:rsidRPr="00B5049D" w:rsidR="002940D3">
        <w:t xml:space="preserve"> huidige</w:t>
      </w:r>
      <w:r w:rsidRPr="00B5049D" w:rsidR="001B688F">
        <w:t xml:space="preserve"> </w:t>
      </w:r>
      <w:r w:rsidRPr="00B5049D" w:rsidR="00F33A7A">
        <w:t xml:space="preserve">amendement </w:t>
      </w:r>
      <w:r w:rsidRPr="00B5049D" w:rsidR="008A7EB3">
        <w:t xml:space="preserve">onverlet laat dat vooraf om een zienswijze wordt gevraagd, dat de weigeringsgronden uit de </w:t>
      </w:r>
      <w:proofErr w:type="spellStart"/>
      <w:r w:rsidRPr="00B5049D" w:rsidR="008A7EB3">
        <w:t>Woo</w:t>
      </w:r>
      <w:proofErr w:type="spellEnd"/>
      <w:r w:rsidRPr="00B5049D" w:rsidR="008A7EB3">
        <w:t xml:space="preserve"> gelden, en dat een procedure bij de </w:t>
      </w:r>
      <w:r w:rsidRPr="00B5049D" w:rsidR="00F33A7A">
        <w:t xml:space="preserve">voorlopige voorzieningenrechter </w:t>
      </w:r>
      <w:r w:rsidRPr="00B5049D" w:rsidR="008A7EB3">
        <w:t>mogelijk is</w:t>
      </w:r>
      <w:r w:rsidRPr="00B5049D" w:rsidR="00F33A7A">
        <w:t>.</w:t>
      </w:r>
    </w:p>
    <w:p w:rsidRPr="00B5049D" w:rsidR="00F33A7A" w:rsidRDefault="00F33A7A" w14:paraId="1F1B7A97" w14:textId="77777777"/>
    <w:p w:rsidRPr="00B5049D" w:rsidR="008C6B2F" w:rsidRDefault="008C6B2F" w14:paraId="3E6428FE" w14:textId="562F0DA7">
      <w:pPr>
        <w:rPr>
          <w:b/>
          <w:bCs/>
        </w:rPr>
      </w:pPr>
      <w:r w:rsidRPr="00B5049D">
        <w:rPr>
          <w:b/>
          <w:bCs/>
        </w:rPr>
        <w:t xml:space="preserve">Oordeel: </w:t>
      </w:r>
      <w:r w:rsidRPr="00B5049D">
        <w:t>Oordeel Kamer.</w:t>
      </w:r>
    </w:p>
    <w:p w:rsidRPr="00B5049D" w:rsidR="008A7EB3" w:rsidRDefault="008A7EB3" w14:paraId="7A397B12" w14:textId="77777777"/>
    <w:p w:rsidRPr="00B5049D" w:rsidR="008A7EB3" w:rsidRDefault="008A7EB3" w14:paraId="16250D56" w14:textId="6F6AFB99">
      <w:r w:rsidRPr="00B5049D">
        <w:rPr>
          <w:rFonts w:eastAsia="Times New Roman"/>
          <w:i/>
          <w:iCs/>
        </w:rPr>
        <w:t xml:space="preserve">Gewijzigd amendement-Krul over </w:t>
      </w:r>
      <w:r w:rsidRPr="00B5049D" w:rsidR="00560CB0">
        <w:rPr>
          <w:rFonts w:eastAsia="Times New Roman"/>
          <w:i/>
          <w:iCs/>
        </w:rPr>
        <w:t>de verplichting aan de AP om voordat de AP beleidsregels vaststelt ter bevordering van een consequente toepassing van de Algemene verordening gegevensbescherming (AVG) of over de uitoefening van haar handhavingsbevoegdheden, voor zover passend, belanghebbende partijen te raadplegen (Kamerstukken II 2024/25, 36264, nr. 20</w:t>
      </w:r>
      <w:r w:rsidRPr="00B5049D" w:rsidR="00851BAC">
        <w:rPr>
          <w:rFonts w:eastAsia="Times New Roman"/>
          <w:i/>
          <w:iCs/>
        </w:rPr>
        <w:t>)</w:t>
      </w:r>
    </w:p>
    <w:p w:rsidRPr="00B5049D" w:rsidR="001B2BDD" w:rsidRDefault="001B2BDD" w14:paraId="2A7B4F62" w14:textId="77777777"/>
    <w:p w:rsidRPr="00B5049D" w:rsidR="001B2BDD" w:rsidRDefault="001B2BDD" w14:paraId="551383E3" w14:textId="00C320B9">
      <w:r w:rsidRPr="00B5049D">
        <w:t>Zorgvuldige besluitvorming wordt bevorderd als belanghebbenden vooraf worden geraadpleegd</w:t>
      </w:r>
      <w:r w:rsidRPr="00B5049D" w:rsidR="0027768E">
        <w:t xml:space="preserve"> over de normuitleg van de AP over de AVG of over haar handhavingsbeleid</w:t>
      </w:r>
      <w:r w:rsidRPr="00B5049D" w:rsidR="0077419F">
        <w:t>.</w:t>
      </w:r>
      <w:r w:rsidRPr="00B5049D" w:rsidR="00C012A5">
        <w:rPr>
          <w:rStyle w:val="Voetnootmarkering"/>
        </w:rPr>
        <w:footnoteReference w:id="2"/>
      </w:r>
      <w:r w:rsidRPr="00B5049D" w:rsidR="00C012A5">
        <w:t xml:space="preserve"> </w:t>
      </w:r>
      <w:r w:rsidRPr="00B5049D">
        <w:rPr>
          <w:color w:val="0D0D0D" w:themeColor="text1" w:themeTint="F2"/>
        </w:rPr>
        <w:t xml:space="preserve">Consultaties kunnen </w:t>
      </w:r>
      <w:r w:rsidRPr="00B5049D" w:rsidR="0027768E">
        <w:rPr>
          <w:color w:val="0D0D0D" w:themeColor="text1" w:themeTint="F2"/>
        </w:rPr>
        <w:t>verder</w:t>
      </w:r>
      <w:r w:rsidRPr="00B5049D" w:rsidR="00AF4A00">
        <w:rPr>
          <w:color w:val="0D0D0D" w:themeColor="text1" w:themeTint="F2"/>
        </w:rPr>
        <w:t xml:space="preserve"> </w:t>
      </w:r>
      <w:r w:rsidRPr="00B5049D">
        <w:rPr>
          <w:color w:val="0D0D0D" w:themeColor="text1" w:themeTint="F2"/>
        </w:rPr>
        <w:t>bijdragen aan transparantie, meer begrip voor het werk van de toezichthouder en een betere aansluiting op de praktijk. Consultaties zijn ook gangbaar en in principe verplicht indien het Europees Comité voor gegevensbescherming (EDPB), waarin de Europese gegevensbeschermingstoezichthouders samenwerken, richtsnoeren uitvaardigt.</w:t>
      </w:r>
      <w:r w:rsidRPr="00B5049D">
        <w:rPr>
          <w:rStyle w:val="Voetnootmarkering"/>
          <w:color w:val="0D0D0D" w:themeColor="text1" w:themeTint="F2"/>
        </w:rPr>
        <w:footnoteReference w:id="3"/>
      </w:r>
      <w:r w:rsidRPr="00B5049D" w:rsidR="00C012A5">
        <w:rPr>
          <w:color w:val="0D0D0D" w:themeColor="text1" w:themeTint="F2"/>
        </w:rPr>
        <w:t xml:space="preserve"> </w:t>
      </w:r>
      <w:r w:rsidRPr="00B5049D" w:rsidR="0007623E">
        <w:rPr>
          <w:color w:val="0D0D0D" w:themeColor="text1" w:themeTint="F2"/>
        </w:rPr>
        <w:t xml:space="preserve">Ook de Franse en Britse gegevensbeschermingstoezichthouders, respectievelijk CNIL en ICO, hebben </w:t>
      </w:r>
      <w:r w:rsidRPr="00B5049D" w:rsidR="00BE1996">
        <w:rPr>
          <w:color w:val="0D0D0D" w:themeColor="text1" w:themeTint="F2"/>
        </w:rPr>
        <w:t xml:space="preserve">positieve </w:t>
      </w:r>
      <w:r w:rsidRPr="00B5049D" w:rsidR="0007623E">
        <w:rPr>
          <w:color w:val="0D0D0D" w:themeColor="text1" w:themeTint="F2"/>
        </w:rPr>
        <w:t>ervaringen met consultaties over hun richtsnoeren inzake de AVG.</w:t>
      </w:r>
      <w:r w:rsidRPr="00B5049D" w:rsidR="00BE1996">
        <w:rPr>
          <w:rStyle w:val="Voetnootmarkering"/>
          <w:color w:val="0D0D0D" w:themeColor="text1" w:themeTint="F2"/>
        </w:rPr>
        <w:footnoteReference w:id="4"/>
      </w:r>
      <w:r w:rsidRPr="00B5049D" w:rsidR="00BE1996">
        <w:rPr>
          <w:color w:val="0D0D0D" w:themeColor="text1" w:themeTint="F2"/>
        </w:rPr>
        <w:t xml:space="preserve"> </w:t>
      </w:r>
      <w:r w:rsidRPr="00B5049D" w:rsidR="002F5501">
        <w:rPr>
          <w:color w:val="0D0D0D" w:themeColor="text1" w:themeTint="F2"/>
        </w:rPr>
        <w:t xml:space="preserve">De AP zelf heeft zich ook reeds voorgenomen, onder meer naar aanleiding van de evaluatie over de AP, om </w:t>
      </w:r>
      <w:r w:rsidRPr="00B5049D" w:rsidR="00851BAC">
        <w:rPr>
          <w:color w:val="0D0D0D" w:themeColor="text1" w:themeTint="F2"/>
        </w:rPr>
        <w:t>vaker consultaties uit te zetten</w:t>
      </w:r>
      <w:r w:rsidRPr="00B5049D" w:rsidR="002F5501">
        <w:rPr>
          <w:color w:val="0D0D0D" w:themeColor="text1" w:themeTint="F2"/>
        </w:rPr>
        <w:t>.</w:t>
      </w:r>
      <w:r w:rsidRPr="00B5049D" w:rsidR="00297966">
        <w:rPr>
          <w:rStyle w:val="Voetnootmarkering"/>
          <w:color w:val="0D0D0D" w:themeColor="text1" w:themeTint="F2"/>
        </w:rPr>
        <w:footnoteReference w:id="5"/>
      </w:r>
      <w:r w:rsidRPr="00B5049D" w:rsidR="002F5501">
        <w:rPr>
          <w:color w:val="0D0D0D" w:themeColor="text1" w:themeTint="F2"/>
        </w:rPr>
        <w:t xml:space="preserve"> </w:t>
      </w:r>
      <w:r w:rsidRPr="00B5049D" w:rsidR="00297966">
        <w:rPr>
          <w:color w:val="0D0D0D" w:themeColor="text1" w:themeTint="F2"/>
        </w:rPr>
        <w:t>Zo heeft de AP dit voorjaar een consultatie gehouden over handvatten voor betekenisvolle menselijke tussenkomst bij algoritmische besluitvorming.</w:t>
      </w:r>
      <w:r w:rsidRPr="00B5049D" w:rsidR="00297966">
        <w:rPr>
          <w:rStyle w:val="Voetnootmarkering"/>
          <w:color w:val="0D0D0D" w:themeColor="text1" w:themeTint="F2"/>
        </w:rPr>
        <w:footnoteReference w:id="6"/>
      </w:r>
    </w:p>
    <w:p w:rsidR="006C6C2D" w:rsidP="006C6C2D" w:rsidRDefault="00560CB0" w14:paraId="28EB3334" w14:textId="77777777">
      <w:r w:rsidRPr="00B5049D">
        <w:t xml:space="preserve">Er is </w:t>
      </w:r>
      <w:r w:rsidRPr="00B5049D" w:rsidR="001B2BDD">
        <w:t xml:space="preserve">over het aanvankelijke amendement </w:t>
      </w:r>
      <w:r w:rsidRPr="00B5049D" w:rsidR="005514C5">
        <w:t xml:space="preserve">gesproken met de AP, die </w:t>
      </w:r>
      <w:r w:rsidRPr="00B5049D">
        <w:t xml:space="preserve">ten aanzien van het oorspronkelijke amendement bedenkingen had en het van belang vindt dat de AP enerzijds recht moet kunnen doen aan de Europeesrechtelijke context en anderzijds </w:t>
      </w:r>
      <w:r w:rsidRPr="00B5049D" w:rsidR="00297966">
        <w:t xml:space="preserve">dat </w:t>
      </w:r>
      <w:r w:rsidRPr="00B5049D">
        <w:t xml:space="preserve">de doeltreffendheid en doelmatigheid van het optreden van de AP niet </w:t>
      </w:r>
      <w:r w:rsidRPr="00B5049D" w:rsidR="008176A4">
        <w:t xml:space="preserve">in </w:t>
      </w:r>
      <w:r w:rsidRPr="00B5049D">
        <w:t xml:space="preserve">het gedrang komen. </w:t>
      </w:r>
      <w:r w:rsidRPr="00B5049D" w:rsidR="00434BDF">
        <w:t>D</w:t>
      </w:r>
      <w:r w:rsidRPr="00B5049D">
        <w:t xml:space="preserve">e AP is ook van mening dat bijzondere wettelijke bepalingen die toezichthouders verplichten tot consultatie of extra bekendmakingen van beleid ongebruikelijk zijn. </w:t>
      </w:r>
      <w:r w:rsidRPr="00B5049D" w:rsidR="008A7EB3">
        <w:t xml:space="preserve">In het gewijzigde amendement is </w:t>
      </w:r>
      <w:r w:rsidRPr="00B5049D" w:rsidR="001B2BDD">
        <w:t>rekening gehouden met de</w:t>
      </w:r>
      <w:r w:rsidRPr="00B5049D" w:rsidR="00373DF9">
        <w:t>ze</w:t>
      </w:r>
      <w:r w:rsidRPr="00B5049D" w:rsidR="001B2BDD">
        <w:t xml:space="preserve"> bedenkingen, onder meer door de reikwijdte en begrippen uit het amendement af te bakenen en te verhelderen. </w:t>
      </w:r>
      <w:r w:rsidRPr="00B5049D">
        <w:t xml:space="preserve">De AP is daarom van mening dat de tekst van het gewijzigde amendement op deze aspecten een verbetering is. </w:t>
      </w:r>
    </w:p>
    <w:p w:rsidRPr="006C6C2D" w:rsidR="006C6C2D" w:rsidP="006C6C2D" w:rsidRDefault="006C6C2D" w14:paraId="7C0CD795" w14:textId="2283C3D1">
      <w:r w:rsidRPr="006C6C2D">
        <w:t xml:space="preserve">Ook ten aanzien van dit gewijzigde amendement kan ik </w:t>
      </w:r>
      <w:r>
        <w:t xml:space="preserve">dit alles overwegende </w:t>
      </w:r>
      <w:r w:rsidRPr="006C6C2D">
        <w:t xml:space="preserve">het oordeel aan uw Kamer laten. </w:t>
      </w:r>
    </w:p>
    <w:p w:rsidRPr="00B5049D" w:rsidR="001B2BDD" w:rsidP="001B2BDD" w:rsidRDefault="001B2BDD" w14:paraId="27C7954A" w14:textId="13B7672B"/>
    <w:p w:rsidRPr="00B5049D" w:rsidR="008C6B2F" w:rsidP="001B2BDD" w:rsidRDefault="008C6B2F" w14:paraId="5407638A" w14:textId="77777777"/>
    <w:p w:rsidRPr="00B5049D" w:rsidR="008C6B2F" w:rsidP="001B2BDD" w:rsidRDefault="008C6B2F" w14:paraId="3E7B6388" w14:textId="7B8019AE">
      <w:pPr>
        <w:rPr>
          <w:b/>
          <w:bCs/>
        </w:rPr>
      </w:pPr>
      <w:r w:rsidRPr="00B5049D">
        <w:rPr>
          <w:b/>
          <w:bCs/>
        </w:rPr>
        <w:t xml:space="preserve">Oordeel: </w:t>
      </w:r>
      <w:r w:rsidRPr="00B5049D">
        <w:t>Oordeel Kamer.</w:t>
      </w:r>
    </w:p>
    <w:p w:rsidR="00851BAC" w:rsidRDefault="00851BAC" w14:paraId="499DC48B" w14:textId="77777777"/>
    <w:p w:rsidRPr="00B5049D" w:rsidR="0073790D" w:rsidRDefault="0073790D" w14:paraId="5A23212A" w14:textId="77777777"/>
    <w:p w:rsidRPr="00B5049D" w:rsidR="004F1FEE" w:rsidRDefault="005514C5" w14:paraId="60AA5E62" w14:textId="3FDE2E2A">
      <w:r w:rsidRPr="00B5049D">
        <w:t>De Staatssecretaris Rechtsbescherming,</w:t>
      </w:r>
    </w:p>
    <w:p w:rsidRPr="00B5049D" w:rsidR="004F1FEE" w:rsidRDefault="004F1FEE" w14:paraId="59A6F355" w14:textId="77777777"/>
    <w:p w:rsidRPr="00B5049D" w:rsidR="00851BAC" w:rsidRDefault="00851BAC" w14:paraId="79638769" w14:textId="77777777"/>
    <w:p w:rsidRPr="00B5049D" w:rsidR="00851BAC" w:rsidRDefault="00851BAC" w14:paraId="39DE031E" w14:textId="77777777"/>
    <w:p w:rsidRPr="00B5049D" w:rsidR="00851BAC" w:rsidRDefault="00851BAC" w14:paraId="152218F6" w14:textId="77777777"/>
    <w:p w:rsidR="00656E6D" w:rsidRDefault="005514C5" w14:paraId="002F1C48" w14:textId="02F3AFAB">
      <w:r w:rsidRPr="00B5049D">
        <w:t>T.H.D. Struycken</w:t>
      </w:r>
    </w:p>
    <w:sectPr w:rsidR="00656E6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6AD9" w14:textId="77777777" w:rsidR="008F0109" w:rsidRDefault="008F0109">
      <w:pPr>
        <w:spacing w:line="240" w:lineRule="auto"/>
      </w:pPr>
      <w:r>
        <w:separator/>
      </w:r>
    </w:p>
  </w:endnote>
  <w:endnote w:type="continuationSeparator" w:id="0">
    <w:p w14:paraId="3586C442" w14:textId="77777777" w:rsidR="008F0109" w:rsidRDefault="008F0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784F" w14:textId="77777777" w:rsidR="00656E6D" w:rsidRDefault="00656E6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1AE3" w14:textId="77777777" w:rsidR="008F0109" w:rsidRDefault="008F0109">
      <w:pPr>
        <w:spacing w:line="240" w:lineRule="auto"/>
      </w:pPr>
      <w:r>
        <w:separator/>
      </w:r>
    </w:p>
  </w:footnote>
  <w:footnote w:type="continuationSeparator" w:id="0">
    <w:p w14:paraId="722ECCEA" w14:textId="77777777" w:rsidR="008F0109" w:rsidRDefault="008F0109">
      <w:pPr>
        <w:spacing w:line="240" w:lineRule="auto"/>
      </w:pPr>
      <w:r>
        <w:continuationSeparator/>
      </w:r>
    </w:p>
  </w:footnote>
  <w:footnote w:id="1">
    <w:p w14:paraId="01E8F3B4" w14:textId="0F415C48" w:rsidR="00816144" w:rsidRPr="00297966" w:rsidRDefault="00816144" w:rsidP="00816144">
      <w:pPr>
        <w:pStyle w:val="Voetnoottekst"/>
        <w:spacing w:line="276" w:lineRule="auto"/>
        <w:rPr>
          <w:sz w:val="16"/>
          <w:szCs w:val="16"/>
          <w:lang w:val="nl-NL"/>
        </w:rPr>
      </w:pPr>
      <w:r w:rsidRPr="00297966">
        <w:rPr>
          <w:rStyle w:val="Voetnootmarkering"/>
          <w:sz w:val="16"/>
          <w:szCs w:val="16"/>
          <w:lang w:val="nl-NL"/>
        </w:rPr>
        <w:footnoteRef/>
      </w:r>
      <w:r w:rsidRPr="00297966">
        <w:rPr>
          <w:sz w:val="16"/>
          <w:szCs w:val="16"/>
          <w:lang w:val="nl-NL"/>
        </w:rPr>
        <w:t xml:space="preserve"> Zie onder meer de uitspraak ABRvS 10 november 2010 </w:t>
      </w:r>
      <w:hyperlink r:id="rId1" w:history="1">
        <w:r w:rsidRPr="00297966">
          <w:rPr>
            <w:rStyle w:val="Hyperlink"/>
            <w:sz w:val="16"/>
            <w:szCs w:val="16"/>
            <w:lang w:val="nl-NL"/>
          </w:rPr>
          <w:t xml:space="preserve">ECLI:NL:RVS:2010:BO3468 </w:t>
        </w:r>
      </w:hyperlink>
      <w:r w:rsidRPr="00297966">
        <w:rPr>
          <w:sz w:val="16"/>
          <w:szCs w:val="16"/>
          <w:lang w:val="nl-NL"/>
        </w:rPr>
        <w:t>(</w:t>
      </w:r>
      <w:proofErr w:type="spellStart"/>
      <w:r w:rsidRPr="00297966">
        <w:rPr>
          <w:sz w:val="16"/>
          <w:szCs w:val="16"/>
          <w:lang w:val="nl-NL"/>
        </w:rPr>
        <w:t>r.o.</w:t>
      </w:r>
      <w:proofErr w:type="spellEnd"/>
      <w:r w:rsidRPr="00297966">
        <w:rPr>
          <w:sz w:val="16"/>
          <w:szCs w:val="16"/>
          <w:lang w:val="nl-NL"/>
        </w:rPr>
        <w:t xml:space="preserve"> 2.5), die sindsdien </w:t>
      </w:r>
      <w:hyperlink r:id="rId2" w:history="1">
        <w:r w:rsidRPr="00297966">
          <w:rPr>
            <w:rStyle w:val="Hyperlink"/>
            <w:sz w:val="16"/>
            <w:szCs w:val="16"/>
            <w:lang w:val="nl-NL"/>
          </w:rPr>
          <w:t>veelvuldig is aangehaald</w:t>
        </w:r>
      </w:hyperlink>
      <w:r w:rsidRPr="00297966">
        <w:rPr>
          <w:sz w:val="16"/>
          <w:szCs w:val="16"/>
          <w:lang w:val="nl-NL"/>
        </w:rPr>
        <w:t xml:space="preserve">. Deze jurisprudentie geldt ook voor de AP, zo bleek uit de uitspraak ABRvS 29 mei 2024, </w:t>
      </w:r>
      <w:hyperlink r:id="rId3" w:history="1">
        <w:r w:rsidRPr="00297966">
          <w:rPr>
            <w:rStyle w:val="Hyperlink"/>
            <w:sz w:val="16"/>
            <w:szCs w:val="16"/>
            <w:lang w:val="nl-NL"/>
          </w:rPr>
          <w:t>ECLI:NL:RVS:2024:2221</w:t>
        </w:r>
      </w:hyperlink>
      <w:r w:rsidRPr="00297966">
        <w:rPr>
          <w:sz w:val="16"/>
          <w:szCs w:val="16"/>
          <w:lang w:val="nl-NL"/>
        </w:rPr>
        <w:t xml:space="preserve">, overweging 5.2. </w:t>
      </w:r>
    </w:p>
  </w:footnote>
  <w:footnote w:id="2">
    <w:p w14:paraId="7B211C4F" w14:textId="38164AF9" w:rsidR="00C012A5" w:rsidRPr="00297966" w:rsidRDefault="00C012A5">
      <w:pPr>
        <w:pStyle w:val="Voetnoottekst"/>
        <w:rPr>
          <w:sz w:val="16"/>
          <w:szCs w:val="16"/>
          <w:lang w:val="nl-NL"/>
        </w:rPr>
      </w:pPr>
      <w:r w:rsidRPr="00297966">
        <w:rPr>
          <w:rStyle w:val="Voetnootmarkering"/>
          <w:sz w:val="16"/>
          <w:szCs w:val="16"/>
          <w:lang w:val="nl-NL"/>
        </w:rPr>
        <w:footnoteRef/>
      </w:r>
      <w:r w:rsidRPr="00297966">
        <w:rPr>
          <w:sz w:val="16"/>
          <w:szCs w:val="16"/>
          <w:lang w:val="nl-NL"/>
        </w:rPr>
        <w:t xml:space="preserve"> </w:t>
      </w:r>
      <w:r w:rsidR="0027768E" w:rsidRPr="00297966">
        <w:rPr>
          <w:sz w:val="16"/>
          <w:szCs w:val="16"/>
          <w:lang w:val="nl-NL"/>
        </w:rPr>
        <w:t xml:space="preserve">In die zin: </w:t>
      </w:r>
      <w:r w:rsidRPr="00297966">
        <w:rPr>
          <w:sz w:val="16"/>
          <w:szCs w:val="16"/>
          <w:lang w:val="nl-NL"/>
        </w:rPr>
        <w:t>Gerrit-Jan Zwenne &amp; Irvette Tempelman, AP moet haar uitleg van begrippen en regels uit de AVG consulteren, Nederlands Juristenblad 2025/4.</w:t>
      </w:r>
    </w:p>
  </w:footnote>
  <w:footnote w:id="3">
    <w:p w14:paraId="6274F37D" w14:textId="77777777" w:rsidR="001B2BDD" w:rsidRPr="00297966" w:rsidRDefault="001B2BDD" w:rsidP="001B2BDD">
      <w:pPr>
        <w:pStyle w:val="Voetnoottekst"/>
        <w:spacing w:line="276" w:lineRule="auto"/>
        <w:rPr>
          <w:sz w:val="16"/>
          <w:szCs w:val="16"/>
          <w:lang w:val="nl-NL"/>
        </w:rPr>
      </w:pPr>
      <w:r w:rsidRPr="00297966">
        <w:rPr>
          <w:rStyle w:val="Voetnootmarkering"/>
          <w:sz w:val="16"/>
          <w:szCs w:val="16"/>
          <w:lang w:val="nl-NL"/>
        </w:rPr>
        <w:footnoteRef/>
      </w:r>
      <w:r w:rsidRPr="00297966">
        <w:rPr>
          <w:sz w:val="16"/>
          <w:szCs w:val="16"/>
          <w:lang w:val="nl-NL"/>
        </w:rPr>
        <w:t xml:space="preserve"> Artikel 70, vierde lid, AVG.</w:t>
      </w:r>
    </w:p>
  </w:footnote>
  <w:footnote w:id="4">
    <w:p w14:paraId="3FA476C3" w14:textId="32DBFDCD" w:rsidR="00BE1996" w:rsidRPr="00297966" w:rsidRDefault="00BE1996">
      <w:pPr>
        <w:pStyle w:val="Voetnoottekst"/>
        <w:rPr>
          <w:sz w:val="16"/>
          <w:szCs w:val="16"/>
          <w:lang w:val="nl-NL"/>
        </w:rPr>
      </w:pPr>
      <w:r w:rsidRPr="00297966">
        <w:rPr>
          <w:rStyle w:val="Voetnootmarkering"/>
          <w:sz w:val="16"/>
          <w:szCs w:val="16"/>
          <w:lang w:val="nl-NL"/>
        </w:rPr>
        <w:footnoteRef/>
      </w:r>
      <w:r w:rsidRPr="00297966">
        <w:rPr>
          <w:sz w:val="16"/>
          <w:szCs w:val="16"/>
          <w:lang w:val="nl-NL"/>
        </w:rPr>
        <w:t xml:space="preserve"> Bij de CNIL bedroeg het aantal </w:t>
      </w:r>
      <w:hyperlink r:id="rId4" w:history="1">
        <w:r w:rsidRPr="00297966">
          <w:rPr>
            <w:rStyle w:val="Hyperlink"/>
            <w:sz w:val="16"/>
            <w:szCs w:val="16"/>
            <w:lang w:val="nl-NL"/>
          </w:rPr>
          <w:t>consultaties</w:t>
        </w:r>
      </w:hyperlink>
      <w:r w:rsidRPr="00297966">
        <w:rPr>
          <w:sz w:val="16"/>
          <w:szCs w:val="16"/>
          <w:lang w:val="nl-NL"/>
        </w:rPr>
        <w:t xml:space="preserve"> 10 in 2024, 5 in 2023, 2 in 2022, 4 in 2021 en 1 in 2020. Het aantal </w:t>
      </w:r>
      <w:hyperlink r:id="rId5" w:history="1">
        <w:r w:rsidRPr="00297966">
          <w:rPr>
            <w:rStyle w:val="Hyperlink"/>
            <w:sz w:val="16"/>
            <w:szCs w:val="16"/>
            <w:lang w:val="nl-NL"/>
          </w:rPr>
          <w:t>consultaties bij de ICO</w:t>
        </w:r>
      </w:hyperlink>
      <w:r w:rsidRPr="00297966">
        <w:rPr>
          <w:sz w:val="16"/>
          <w:szCs w:val="16"/>
          <w:lang w:val="nl-NL"/>
        </w:rPr>
        <w:t xml:space="preserve"> over </w:t>
      </w:r>
      <w:proofErr w:type="spellStart"/>
      <w:r w:rsidRPr="00297966">
        <w:rPr>
          <w:sz w:val="16"/>
          <w:szCs w:val="16"/>
          <w:lang w:val="nl-NL"/>
        </w:rPr>
        <w:t>guidance</w:t>
      </w:r>
      <w:proofErr w:type="spellEnd"/>
      <w:r w:rsidRPr="00297966">
        <w:rPr>
          <w:sz w:val="16"/>
          <w:szCs w:val="16"/>
          <w:lang w:val="nl-NL"/>
        </w:rPr>
        <w:t xml:space="preserve"> 5 in 2024, 11 in 2023, 15 in 2022, 10 in 2021 en 6 in 2020. </w:t>
      </w:r>
    </w:p>
  </w:footnote>
  <w:footnote w:id="5">
    <w:p w14:paraId="2BCE41D1" w14:textId="75C707DC" w:rsidR="00297966" w:rsidRPr="00297966" w:rsidRDefault="00297966">
      <w:pPr>
        <w:pStyle w:val="Voetnoottekst"/>
        <w:rPr>
          <w:sz w:val="16"/>
          <w:szCs w:val="16"/>
          <w:lang w:val="nl-NL"/>
        </w:rPr>
      </w:pPr>
      <w:r w:rsidRPr="00297966">
        <w:rPr>
          <w:rStyle w:val="Voetnootmarkering"/>
          <w:sz w:val="16"/>
          <w:szCs w:val="16"/>
        </w:rPr>
        <w:footnoteRef/>
      </w:r>
      <w:r w:rsidRPr="002940D3">
        <w:rPr>
          <w:sz w:val="16"/>
          <w:szCs w:val="16"/>
          <w:lang w:val="nl-NL"/>
        </w:rPr>
        <w:t xml:space="preserve"> https://autoriteitpersoonsgegevens.nl/actueel/evaluatie-van-ap-afgerond</w:t>
      </w:r>
    </w:p>
  </w:footnote>
  <w:footnote w:id="6">
    <w:p w14:paraId="1B585543" w14:textId="0D69FB31" w:rsidR="00297966" w:rsidRPr="00297966" w:rsidRDefault="00297966">
      <w:pPr>
        <w:pStyle w:val="Voetnoottekst"/>
        <w:rPr>
          <w:sz w:val="16"/>
          <w:szCs w:val="16"/>
          <w:lang w:val="nl-NL"/>
        </w:rPr>
      </w:pPr>
      <w:r w:rsidRPr="00297966">
        <w:rPr>
          <w:rStyle w:val="Voetnootmarkering"/>
          <w:sz w:val="16"/>
          <w:szCs w:val="16"/>
        </w:rPr>
        <w:footnoteRef/>
      </w:r>
      <w:r w:rsidRPr="002940D3">
        <w:rPr>
          <w:sz w:val="16"/>
          <w:szCs w:val="16"/>
          <w:lang w:val="nl-NL"/>
        </w:rPr>
        <w:t xml:space="preserve"> https://www.autoriteitpersoonsgegevens.nl/actueel/consultatie-betekenisvolle-menselijke-tussenkomst-bij-algoritmische-besluitvorming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6E41" w14:textId="77777777" w:rsidR="00656E6D" w:rsidRDefault="005514C5">
    <w:r>
      <w:rPr>
        <w:noProof/>
      </w:rPr>
      <mc:AlternateContent>
        <mc:Choice Requires="wps">
          <w:drawing>
            <wp:anchor distT="0" distB="0" distL="0" distR="0" simplePos="0" relativeHeight="251652608" behindDoc="0" locked="1" layoutInCell="1" allowOverlap="1" wp14:anchorId="484A8ED1" wp14:editId="6F55B58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AA56C4" w14:textId="77777777" w:rsidR="00656E6D" w:rsidRPr="004F1FEE" w:rsidRDefault="005514C5">
                          <w:pPr>
                            <w:pStyle w:val="Referentiegegevens"/>
                            <w:rPr>
                              <w:b/>
                              <w:bCs/>
                            </w:rPr>
                          </w:pPr>
                          <w:r w:rsidRPr="004F1FEE">
                            <w:rPr>
                              <w:b/>
                              <w:bCs/>
                            </w:rPr>
                            <w:t>Directie Wetgeving en Juridische Zaken</w:t>
                          </w:r>
                        </w:p>
                        <w:p w14:paraId="13CF540E" w14:textId="77777777" w:rsidR="00656E6D" w:rsidRDefault="005514C5">
                          <w:pPr>
                            <w:pStyle w:val="Referentiegegevens"/>
                          </w:pPr>
                          <w:r>
                            <w:t>Sector Staats- en Bestuursrecht</w:t>
                          </w:r>
                        </w:p>
                        <w:p w14:paraId="13D84F11" w14:textId="77777777" w:rsidR="00656E6D" w:rsidRDefault="00656E6D">
                          <w:pPr>
                            <w:pStyle w:val="WitregelW2"/>
                          </w:pPr>
                        </w:p>
                        <w:p w14:paraId="6C5DF892" w14:textId="77777777" w:rsidR="00656E6D" w:rsidRDefault="005514C5">
                          <w:pPr>
                            <w:pStyle w:val="Referentiegegevensbold"/>
                          </w:pPr>
                          <w:r>
                            <w:t>Datum</w:t>
                          </w:r>
                        </w:p>
                        <w:p w14:paraId="6C15D81F" w14:textId="4CD39CA5" w:rsidR="00656E6D" w:rsidRDefault="008F0109">
                          <w:pPr>
                            <w:pStyle w:val="Referentiegegevens"/>
                          </w:pPr>
                          <w:sdt>
                            <w:sdtPr>
                              <w:id w:val="-302006038"/>
                              <w:date w:fullDate="2025-05-20T00:00:00Z">
                                <w:dateFormat w:val="d MMMM yyyy"/>
                                <w:lid w:val="nl"/>
                                <w:storeMappedDataAs w:val="dateTime"/>
                                <w:calendar w:val="gregorian"/>
                              </w:date>
                            </w:sdtPr>
                            <w:sdtEndPr/>
                            <w:sdtContent>
                              <w:r w:rsidR="002D7341">
                                <w:rPr>
                                  <w:lang w:val="nl"/>
                                </w:rPr>
                                <w:t>20 mei 2025</w:t>
                              </w:r>
                            </w:sdtContent>
                          </w:sdt>
                        </w:p>
                        <w:p w14:paraId="1D110A6F" w14:textId="77777777" w:rsidR="00656E6D" w:rsidRDefault="00656E6D">
                          <w:pPr>
                            <w:pStyle w:val="WitregelW1"/>
                          </w:pPr>
                        </w:p>
                        <w:p w14:paraId="31CA10D4" w14:textId="77777777" w:rsidR="00656E6D" w:rsidRDefault="005514C5">
                          <w:pPr>
                            <w:pStyle w:val="Referentiegegevensbold"/>
                          </w:pPr>
                          <w:r>
                            <w:t>Onze referentie</w:t>
                          </w:r>
                        </w:p>
                        <w:p w14:paraId="2FF459F3" w14:textId="77777777" w:rsidR="00656E6D" w:rsidRDefault="005514C5">
                          <w:pPr>
                            <w:pStyle w:val="Referentiegegevens"/>
                          </w:pPr>
                          <w:r>
                            <w:t>6399627</w:t>
                          </w:r>
                        </w:p>
                      </w:txbxContent>
                    </wps:txbx>
                    <wps:bodyPr vert="horz" wrap="square" lIns="0" tIns="0" rIns="0" bIns="0" anchor="t" anchorCtr="0"/>
                  </wps:wsp>
                </a:graphicData>
              </a:graphic>
            </wp:anchor>
          </w:drawing>
        </mc:Choice>
        <mc:Fallback>
          <w:pict>
            <v:shapetype w14:anchorId="484A8ED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AAA56C4" w14:textId="77777777" w:rsidR="00656E6D" w:rsidRPr="004F1FEE" w:rsidRDefault="005514C5">
                    <w:pPr>
                      <w:pStyle w:val="Referentiegegevens"/>
                      <w:rPr>
                        <w:b/>
                        <w:bCs/>
                      </w:rPr>
                    </w:pPr>
                    <w:r w:rsidRPr="004F1FEE">
                      <w:rPr>
                        <w:b/>
                        <w:bCs/>
                      </w:rPr>
                      <w:t>Directie Wetgeving en Juridische Zaken</w:t>
                    </w:r>
                  </w:p>
                  <w:p w14:paraId="13CF540E" w14:textId="77777777" w:rsidR="00656E6D" w:rsidRDefault="005514C5">
                    <w:pPr>
                      <w:pStyle w:val="Referentiegegevens"/>
                    </w:pPr>
                    <w:r>
                      <w:t>Sector Staats- en Bestuursrecht</w:t>
                    </w:r>
                  </w:p>
                  <w:p w14:paraId="13D84F11" w14:textId="77777777" w:rsidR="00656E6D" w:rsidRDefault="00656E6D">
                    <w:pPr>
                      <w:pStyle w:val="WitregelW2"/>
                    </w:pPr>
                  </w:p>
                  <w:p w14:paraId="6C5DF892" w14:textId="77777777" w:rsidR="00656E6D" w:rsidRDefault="005514C5">
                    <w:pPr>
                      <w:pStyle w:val="Referentiegegevensbold"/>
                    </w:pPr>
                    <w:r>
                      <w:t>Datum</w:t>
                    </w:r>
                  </w:p>
                  <w:p w14:paraId="6C15D81F" w14:textId="4CD39CA5" w:rsidR="00656E6D" w:rsidRDefault="008F0109">
                    <w:pPr>
                      <w:pStyle w:val="Referentiegegevens"/>
                    </w:pPr>
                    <w:sdt>
                      <w:sdtPr>
                        <w:id w:val="-302006038"/>
                        <w:date w:fullDate="2025-05-20T00:00:00Z">
                          <w:dateFormat w:val="d MMMM yyyy"/>
                          <w:lid w:val="nl"/>
                          <w:storeMappedDataAs w:val="dateTime"/>
                          <w:calendar w:val="gregorian"/>
                        </w:date>
                      </w:sdtPr>
                      <w:sdtEndPr/>
                      <w:sdtContent>
                        <w:r w:rsidR="002D7341">
                          <w:rPr>
                            <w:lang w:val="nl"/>
                          </w:rPr>
                          <w:t>20 mei 2025</w:t>
                        </w:r>
                      </w:sdtContent>
                    </w:sdt>
                  </w:p>
                  <w:p w14:paraId="1D110A6F" w14:textId="77777777" w:rsidR="00656E6D" w:rsidRDefault="00656E6D">
                    <w:pPr>
                      <w:pStyle w:val="WitregelW1"/>
                    </w:pPr>
                  </w:p>
                  <w:p w14:paraId="31CA10D4" w14:textId="77777777" w:rsidR="00656E6D" w:rsidRDefault="005514C5">
                    <w:pPr>
                      <w:pStyle w:val="Referentiegegevensbold"/>
                    </w:pPr>
                    <w:r>
                      <w:t>Onze referentie</w:t>
                    </w:r>
                  </w:p>
                  <w:p w14:paraId="2FF459F3" w14:textId="77777777" w:rsidR="00656E6D" w:rsidRDefault="005514C5">
                    <w:pPr>
                      <w:pStyle w:val="Referentiegegevens"/>
                    </w:pPr>
                    <w:r>
                      <w:t>6399627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622C2F4" wp14:editId="3E9DF7A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03EDE54" w14:textId="77777777" w:rsidR="005514C5" w:rsidRDefault="005514C5"/>
                      </w:txbxContent>
                    </wps:txbx>
                    <wps:bodyPr vert="horz" wrap="square" lIns="0" tIns="0" rIns="0" bIns="0" anchor="t" anchorCtr="0"/>
                  </wps:wsp>
                </a:graphicData>
              </a:graphic>
            </wp:anchor>
          </w:drawing>
        </mc:Choice>
        <mc:Fallback>
          <w:pict>
            <v:shape w14:anchorId="4622C2F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03EDE54" w14:textId="77777777" w:rsidR="005514C5" w:rsidRDefault="005514C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D32F33F" wp14:editId="36AAA47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12348B" w14:textId="125D5B89" w:rsidR="00656E6D" w:rsidRDefault="005514C5">
                          <w:pPr>
                            <w:pStyle w:val="Referentiegegevens"/>
                          </w:pPr>
                          <w:r>
                            <w:t xml:space="preserve">Pagina </w:t>
                          </w:r>
                          <w:r>
                            <w:fldChar w:fldCharType="begin"/>
                          </w:r>
                          <w:r>
                            <w:instrText>PAGE</w:instrText>
                          </w:r>
                          <w:r>
                            <w:fldChar w:fldCharType="separate"/>
                          </w:r>
                          <w:r w:rsidR="00816144">
                            <w:rPr>
                              <w:noProof/>
                            </w:rPr>
                            <w:t>2</w:t>
                          </w:r>
                          <w:r>
                            <w:fldChar w:fldCharType="end"/>
                          </w:r>
                          <w:r>
                            <w:t xml:space="preserve"> van </w:t>
                          </w:r>
                          <w:r>
                            <w:fldChar w:fldCharType="begin"/>
                          </w:r>
                          <w:r>
                            <w:instrText>NUMPAGES</w:instrText>
                          </w:r>
                          <w:r>
                            <w:fldChar w:fldCharType="separate"/>
                          </w:r>
                          <w:r w:rsidR="004F1BE1">
                            <w:rPr>
                              <w:noProof/>
                            </w:rPr>
                            <w:t>1</w:t>
                          </w:r>
                          <w:r>
                            <w:fldChar w:fldCharType="end"/>
                          </w:r>
                        </w:p>
                      </w:txbxContent>
                    </wps:txbx>
                    <wps:bodyPr vert="horz" wrap="square" lIns="0" tIns="0" rIns="0" bIns="0" anchor="t" anchorCtr="0"/>
                  </wps:wsp>
                </a:graphicData>
              </a:graphic>
            </wp:anchor>
          </w:drawing>
        </mc:Choice>
        <mc:Fallback>
          <w:pict>
            <v:shape w14:anchorId="4D32F33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712348B" w14:textId="125D5B89" w:rsidR="00656E6D" w:rsidRDefault="005514C5">
                    <w:pPr>
                      <w:pStyle w:val="Referentiegegevens"/>
                    </w:pPr>
                    <w:r>
                      <w:t xml:space="preserve">Pagina </w:t>
                    </w:r>
                    <w:r>
                      <w:fldChar w:fldCharType="begin"/>
                    </w:r>
                    <w:r>
                      <w:instrText>PAGE</w:instrText>
                    </w:r>
                    <w:r>
                      <w:fldChar w:fldCharType="separate"/>
                    </w:r>
                    <w:r w:rsidR="00816144">
                      <w:rPr>
                        <w:noProof/>
                      </w:rPr>
                      <w:t>2</w:t>
                    </w:r>
                    <w:r>
                      <w:fldChar w:fldCharType="end"/>
                    </w:r>
                    <w:r>
                      <w:t xml:space="preserve"> van </w:t>
                    </w:r>
                    <w:r>
                      <w:fldChar w:fldCharType="begin"/>
                    </w:r>
                    <w:r>
                      <w:instrText>NUMPAGES</w:instrText>
                    </w:r>
                    <w:r>
                      <w:fldChar w:fldCharType="separate"/>
                    </w:r>
                    <w:r w:rsidR="004F1BE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D131" w14:textId="77777777" w:rsidR="00656E6D" w:rsidRDefault="005514C5">
    <w:pPr>
      <w:spacing w:after="6377" w:line="14" w:lineRule="exact"/>
    </w:pPr>
    <w:r>
      <w:rPr>
        <w:noProof/>
      </w:rPr>
      <mc:AlternateContent>
        <mc:Choice Requires="wps">
          <w:drawing>
            <wp:anchor distT="0" distB="0" distL="0" distR="0" simplePos="0" relativeHeight="251655680" behindDoc="0" locked="1" layoutInCell="1" allowOverlap="1" wp14:anchorId="4B73FDE9" wp14:editId="3BE0B29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A50440" w14:textId="77777777" w:rsidR="004F1FEE" w:rsidRDefault="005514C5">
                          <w:r>
                            <w:t xml:space="preserve">Aan de Voorzitter van de Tweede Kamer </w:t>
                          </w:r>
                        </w:p>
                        <w:p w14:paraId="6CED6089" w14:textId="40F9C26F" w:rsidR="00656E6D" w:rsidRDefault="005514C5">
                          <w:r>
                            <w:t>der Staten-Generaal</w:t>
                          </w:r>
                        </w:p>
                        <w:p w14:paraId="699D64D3" w14:textId="77777777" w:rsidR="00656E6D" w:rsidRDefault="005514C5">
                          <w:r>
                            <w:t xml:space="preserve">Postbus 20018 </w:t>
                          </w:r>
                        </w:p>
                        <w:p w14:paraId="5631D2A2" w14:textId="77777777" w:rsidR="00656E6D" w:rsidRDefault="005514C5">
                          <w:r>
                            <w:t>2500 EA  DEN HAAG</w:t>
                          </w:r>
                        </w:p>
                      </w:txbxContent>
                    </wps:txbx>
                    <wps:bodyPr vert="horz" wrap="square" lIns="0" tIns="0" rIns="0" bIns="0" anchor="t" anchorCtr="0"/>
                  </wps:wsp>
                </a:graphicData>
              </a:graphic>
            </wp:anchor>
          </w:drawing>
        </mc:Choice>
        <mc:Fallback>
          <w:pict>
            <v:shapetype w14:anchorId="4B73FDE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8A50440" w14:textId="77777777" w:rsidR="004F1FEE" w:rsidRDefault="005514C5">
                    <w:r>
                      <w:t xml:space="preserve">Aan de Voorzitter van de Tweede Kamer </w:t>
                    </w:r>
                  </w:p>
                  <w:p w14:paraId="6CED6089" w14:textId="40F9C26F" w:rsidR="00656E6D" w:rsidRDefault="005514C5">
                    <w:r>
                      <w:t>der Staten-Generaal</w:t>
                    </w:r>
                  </w:p>
                  <w:p w14:paraId="699D64D3" w14:textId="77777777" w:rsidR="00656E6D" w:rsidRDefault="005514C5">
                    <w:r>
                      <w:t xml:space="preserve">Postbus 20018 </w:t>
                    </w:r>
                  </w:p>
                  <w:p w14:paraId="5631D2A2" w14:textId="77777777" w:rsidR="00656E6D" w:rsidRDefault="005514C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62FB6ED" wp14:editId="5F896FC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56E6D" w14:paraId="4687EFD3" w14:textId="77777777">
                            <w:trPr>
                              <w:trHeight w:val="240"/>
                            </w:trPr>
                            <w:tc>
                              <w:tcPr>
                                <w:tcW w:w="1140" w:type="dxa"/>
                              </w:tcPr>
                              <w:p w14:paraId="21770CD7" w14:textId="77777777" w:rsidR="00656E6D" w:rsidRDefault="005514C5">
                                <w:r>
                                  <w:t>Datum</w:t>
                                </w:r>
                              </w:p>
                            </w:tc>
                            <w:tc>
                              <w:tcPr>
                                <w:tcW w:w="5918" w:type="dxa"/>
                              </w:tcPr>
                              <w:p w14:paraId="6F345AAF" w14:textId="1F444B02" w:rsidR="00656E6D" w:rsidRDefault="008F0109">
                                <w:sdt>
                                  <w:sdtPr>
                                    <w:id w:val="341211062"/>
                                    <w:date w:fullDate="2025-05-20T00:00:00Z">
                                      <w:dateFormat w:val="d MMMM yyyy"/>
                                      <w:lid w:val="nl"/>
                                      <w:storeMappedDataAs w:val="dateTime"/>
                                      <w:calendar w:val="gregorian"/>
                                    </w:date>
                                  </w:sdtPr>
                                  <w:sdtEndPr/>
                                  <w:sdtContent>
                                    <w:r w:rsidR="002D7341">
                                      <w:rPr>
                                        <w:lang w:val="nl"/>
                                      </w:rPr>
                                      <w:t>20 mei 2025</w:t>
                                    </w:r>
                                  </w:sdtContent>
                                </w:sdt>
                              </w:p>
                            </w:tc>
                          </w:tr>
                          <w:tr w:rsidR="00656E6D" w14:paraId="306CA354" w14:textId="77777777">
                            <w:trPr>
                              <w:trHeight w:val="240"/>
                            </w:trPr>
                            <w:tc>
                              <w:tcPr>
                                <w:tcW w:w="1140" w:type="dxa"/>
                              </w:tcPr>
                              <w:p w14:paraId="68083C0E" w14:textId="77777777" w:rsidR="00656E6D" w:rsidRDefault="005514C5">
                                <w:r>
                                  <w:t>Betreft</w:t>
                                </w:r>
                              </w:p>
                            </w:tc>
                            <w:tc>
                              <w:tcPr>
                                <w:tcW w:w="5918" w:type="dxa"/>
                              </w:tcPr>
                              <w:p w14:paraId="1EF4CD17" w14:textId="77777777" w:rsidR="00656E6D" w:rsidRDefault="005514C5">
                                <w:r>
                                  <w:t>appreciatie gewijzigde amendementen Verzamelwet gegevensbescherming</w:t>
                                </w:r>
                              </w:p>
                            </w:tc>
                          </w:tr>
                        </w:tbl>
                        <w:p w14:paraId="52C29B4A" w14:textId="77777777" w:rsidR="005514C5" w:rsidRDefault="005514C5"/>
                      </w:txbxContent>
                    </wps:txbx>
                    <wps:bodyPr vert="horz" wrap="square" lIns="0" tIns="0" rIns="0" bIns="0" anchor="t" anchorCtr="0"/>
                  </wps:wsp>
                </a:graphicData>
              </a:graphic>
            </wp:anchor>
          </w:drawing>
        </mc:Choice>
        <mc:Fallback>
          <w:pict>
            <v:shape w14:anchorId="362FB6E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56E6D" w14:paraId="4687EFD3" w14:textId="77777777">
                      <w:trPr>
                        <w:trHeight w:val="240"/>
                      </w:trPr>
                      <w:tc>
                        <w:tcPr>
                          <w:tcW w:w="1140" w:type="dxa"/>
                        </w:tcPr>
                        <w:p w14:paraId="21770CD7" w14:textId="77777777" w:rsidR="00656E6D" w:rsidRDefault="005514C5">
                          <w:r>
                            <w:t>Datum</w:t>
                          </w:r>
                        </w:p>
                      </w:tc>
                      <w:tc>
                        <w:tcPr>
                          <w:tcW w:w="5918" w:type="dxa"/>
                        </w:tcPr>
                        <w:p w14:paraId="6F345AAF" w14:textId="1F444B02" w:rsidR="00656E6D" w:rsidRDefault="008F0109">
                          <w:sdt>
                            <w:sdtPr>
                              <w:id w:val="341211062"/>
                              <w:date w:fullDate="2025-05-20T00:00:00Z">
                                <w:dateFormat w:val="d MMMM yyyy"/>
                                <w:lid w:val="nl"/>
                                <w:storeMappedDataAs w:val="dateTime"/>
                                <w:calendar w:val="gregorian"/>
                              </w:date>
                            </w:sdtPr>
                            <w:sdtEndPr/>
                            <w:sdtContent>
                              <w:r w:rsidR="002D7341">
                                <w:rPr>
                                  <w:lang w:val="nl"/>
                                </w:rPr>
                                <w:t>20 mei 2025</w:t>
                              </w:r>
                            </w:sdtContent>
                          </w:sdt>
                        </w:p>
                      </w:tc>
                    </w:tr>
                    <w:tr w:rsidR="00656E6D" w14:paraId="306CA354" w14:textId="77777777">
                      <w:trPr>
                        <w:trHeight w:val="240"/>
                      </w:trPr>
                      <w:tc>
                        <w:tcPr>
                          <w:tcW w:w="1140" w:type="dxa"/>
                        </w:tcPr>
                        <w:p w14:paraId="68083C0E" w14:textId="77777777" w:rsidR="00656E6D" w:rsidRDefault="005514C5">
                          <w:r>
                            <w:t>Betreft</w:t>
                          </w:r>
                        </w:p>
                      </w:tc>
                      <w:tc>
                        <w:tcPr>
                          <w:tcW w:w="5918" w:type="dxa"/>
                        </w:tcPr>
                        <w:p w14:paraId="1EF4CD17" w14:textId="77777777" w:rsidR="00656E6D" w:rsidRDefault="005514C5">
                          <w:r>
                            <w:t>appreciatie gewijzigde amendementen Verzamelwet gegevensbescherming</w:t>
                          </w:r>
                        </w:p>
                      </w:tc>
                    </w:tr>
                  </w:tbl>
                  <w:p w14:paraId="52C29B4A" w14:textId="77777777" w:rsidR="005514C5" w:rsidRDefault="005514C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692CCD0" wp14:editId="38C80A0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BC27BC" w14:textId="77777777" w:rsidR="00656E6D" w:rsidRPr="004F1FEE" w:rsidRDefault="005514C5">
                          <w:pPr>
                            <w:pStyle w:val="Referentiegegevens"/>
                            <w:rPr>
                              <w:b/>
                              <w:bCs/>
                            </w:rPr>
                          </w:pPr>
                          <w:r w:rsidRPr="004F1FEE">
                            <w:rPr>
                              <w:b/>
                              <w:bCs/>
                            </w:rPr>
                            <w:t>Directie Wetgeving en Juridische Zaken</w:t>
                          </w:r>
                        </w:p>
                        <w:p w14:paraId="784D1A94" w14:textId="77777777" w:rsidR="00656E6D" w:rsidRDefault="005514C5">
                          <w:pPr>
                            <w:pStyle w:val="Referentiegegevens"/>
                          </w:pPr>
                          <w:r>
                            <w:t>Sector Staats- en Bestuursrecht</w:t>
                          </w:r>
                        </w:p>
                        <w:p w14:paraId="4101A450" w14:textId="77777777" w:rsidR="00656E6D" w:rsidRDefault="00656E6D">
                          <w:pPr>
                            <w:pStyle w:val="WitregelW1"/>
                          </w:pPr>
                        </w:p>
                        <w:p w14:paraId="77097756" w14:textId="77777777" w:rsidR="00656E6D" w:rsidRDefault="005514C5">
                          <w:pPr>
                            <w:pStyle w:val="Referentiegegevens"/>
                          </w:pPr>
                          <w:r>
                            <w:t>www.rijksoverheid.nl/jenv</w:t>
                          </w:r>
                        </w:p>
                        <w:p w14:paraId="41341C1F" w14:textId="77777777" w:rsidR="00656E6D" w:rsidRDefault="00656E6D">
                          <w:pPr>
                            <w:pStyle w:val="WitregelW2"/>
                          </w:pPr>
                        </w:p>
                        <w:p w14:paraId="0727B119" w14:textId="77777777" w:rsidR="00656E6D" w:rsidRDefault="005514C5">
                          <w:pPr>
                            <w:pStyle w:val="Referentiegegevensbold"/>
                          </w:pPr>
                          <w:r>
                            <w:t>Onze referentie</w:t>
                          </w:r>
                        </w:p>
                        <w:p w14:paraId="18C1CBC6" w14:textId="77777777" w:rsidR="00656E6D" w:rsidRDefault="005514C5">
                          <w:pPr>
                            <w:pStyle w:val="Referentiegegevens"/>
                          </w:pPr>
                          <w:r>
                            <w:t>6399627</w:t>
                          </w:r>
                        </w:p>
                      </w:txbxContent>
                    </wps:txbx>
                    <wps:bodyPr vert="horz" wrap="square" lIns="0" tIns="0" rIns="0" bIns="0" anchor="t" anchorCtr="0"/>
                  </wps:wsp>
                </a:graphicData>
              </a:graphic>
            </wp:anchor>
          </w:drawing>
        </mc:Choice>
        <mc:Fallback>
          <w:pict>
            <v:shape w14:anchorId="3692CCD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7BC27BC" w14:textId="77777777" w:rsidR="00656E6D" w:rsidRPr="004F1FEE" w:rsidRDefault="005514C5">
                    <w:pPr>
                      <w:pStyle w:val="Referentiegegevens"/>
                      <w:rPr>
                        <w:b/>
                        <w:bCs/>
                      </w:rPr>
                    </w:pPr>
                    <w:r w:rsidRPr="004F1FEE">
                      <w:rPr>
                        <w:b/>
                        <w:bCs/>
                      </w:rPr>
                      <w:t>Directie Wetgeving en Juridische Zaken</w:t>
                    </w:r>
                  </w:p>
                  <w:p w14:paraId="784D1A94" w14:textId="77777777" w:rsidR="00656E6D" w:rsidRDefault="005514C5">
                    <w:pPr>
                      <w:pStyle w:val="Referentiegegevens"/>
                    </w:pPr>
                    <w:r>
                      <w:t>Sector Staats- en Bestuursrecht</w:t>
                    </w:r>
                  </w:p>
                  <w:p w14:paraId="4101A450" w14:textId="77777777" w:rsidR="00656E6D" w:rsidRDefault="00656E6D">
                    <w:pPr>
                      <w:pStyle w:val="WitregelW1"/>
                    </w:pPr>
                  </w:p>
                  <w:p w14:paraId="77097756" w14:textId="77777777" w:rsidR="00656E6D" w:rsidRDefault="005514C5">
                    <w:pPr>
                      <w:pStyle w:val="Referentiegegevens"/>
                    </w:pPr>
                    <w:r>
                      <w:t>www.rijksoverheid.nl/jenv</w:t>
                    </w:r>
                  </w:p>
                  <w:p w14:paraId="41341C1F" w14:textId="77777777" w:rsidR="00656E6D" w:rsidRDefault="00656E6D">
                    <w:pPr>
                      <w:pStyle w:val="WitregelW2"/>
                    </w:pPr>
                  </w:p>
                  <w:p w14:paraId="0727B119" w14:textId="77777777" w:rsidR="00656E6D" w:rsidRDefault="005514C5">
                    <w:pPr>
                      <w:pStyle w:val="Referentiegegevensbold"/>
                    </w:pPr>
                    <w:r>
                      <w:t>Onze referentie</w:t>
                    </w:r>
                  </w:p>
                  <w:p w14:paraId="18C1CBC6" w14:textId="77777777" w:rsidR="00656E6D" w:rsidRDefault="005514C5">
                    <w:pPr>
                      <w:pStyle w:val="Referentiegegevens"/>
                    </w:pPr>
                    <w:r>
                      <w:t>6399627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356670" wp14:editId="34A7C3D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E6F354" w14:textId="77777777" w:rsidR="005514C5" w:rsidRDefault="005514C5"/>
                      </w:txbxContent>
                    </wps:txbx>
                    <wps:bodyPr vert="horz" wrap="square" lIns="0" tIns="0" rIns="0" bIns="0" anchor="t" anchorCtr="0"/>
                  </wps:wsp>
                </a:graphicData>
              </a:graphic>
            </wp:anchor>
          </w:drawing>
        </mc:Choice>
        <mc:Fallback>
          <w:pict>
            <v:shape w14:anchorId="6D35667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DE6F354" w14:textId="77777777" w:rsidR="005514C5" w:rsidRDefault="005514C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3119B6D" wp14:editId="7584698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5D5C98" w14:textId="77777777" w:rsidR="00656E6D" w:rsidRDefault="005514C5">
                          <w:pPr>
                            <w:pStyle w:val="Referentiegegevens"/>
                          </w:pPr>
                          <w:r>
                            <w:t xml:space="preserve">Pagina </w:t>
                          </w:r>
                          <w:r>
                            <w:fldChar w:fldCharType="begin"/>
                          </w:r>
                          <w:r>
                            <w:instrText>PAGE</w:instrText>
                          </w:r>
                          <w:r>
                            <w:fldChar w:fldCharType="separate"/>
                          </w:r>
                          <w:r w:rsidR="004F1BE1">
                            <w:rPr>
                              <w:noProof/>
                            </w:rPr>
                            <w:t>1</w:t>
                          </w:r>
                          <w:r>
                            <w:fldChar w:fldCharType="end"/>
                          </w:r>
                          <w:r>
                            <w:t xml:space="preserve"> van </w:t>
                          </w:r>
                          <w:r>
                            <w:fldChar w:fldCharType="begin"/>
                          </w:r>
                          <w:r>
                            <w:instrText>NUMPAGES</w:instrText>
                          </w:r>
                          <w:r>
                            <w:fldChar w:fldCharType="separate"/>
                          </w:r>
                          <w:r w:rsidR="004F1BE1">
                            <w:rPr>
                              <w:noProof/>
                            </w:rPr>
                            <w:t>1</w:t>
                          </w:r>
                          <w:r>
                            <w:fldChar w:fldCharType="end"/>
                          </w:r>
                        </w:p>
                      </w:txbxContent>
                    </wps:txbx>
                    <wps:bodyPr vert="horz" wrap="square" lIns="0" tIns="0" rIns="0" bIns="0" anchor="t" anchorCtr="0"/>
                  </wps:wsp>
                </a:graphicData>
              </a:graphic>
            </wp:anchor>
          </w:drawing>
        </mc:Choice>
        <mc:Fallback>
          <w:pict>
            <v:shape w14:anchorId="23119B6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45D5C98" w14:textId="77777777" w:rsidR="00656E6D" w:rsidRDefault="005514C5">
                    <w:pPr>
                      <w:pStyle w:val="Referentiegegevens"/>
                    </w:pPr>
                    <w:r>
                      <w:t xml:space="preserve">Pagina </w:t>
                    </w:r>
                    <w:r>
                      <w:fldChar w:fldCharType="begin"/>
                    </w:r>
                    <w:r>
                      <w:instrText>PAGE</w:instrText>
                    </w:r>
                    <w:r>
                      <w:fldChar w:fldCharType="separate"/>
                    </w:r>
                    <w:r w:rsidR="004F1BE1">
                      <w:rPr>
                        <w:noProof/>
                      </w:rPr>
                      <w:t>1</w:t>
                    </w:r>
                    <w:r>
                      <w:fldChar w:fldCharType="end"/>
                    </w:r>
                    <w:r>
                      <w:t xml:space="preserve"> van </w:t>
                    </w:r>
                    <w:r>
                      <w:fldChar w:fldCharType="begin"/>
                    </w:r>
                    <w:r>
                      <w:instrText>NUMPAGES</w:instrText>
                    </w:r>
                    <w:r>
                      <w:fldChar w:fldCharType="separate"/>
                    </w:r>
                    <w:r w:rsidR="004F1BE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3D16470" wp14:editId="43071B6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9E44663" w14:textId="77777777" w:rsidR="00656E6D" w:rsidRDefault="005514C5">
                          <w:pPr>
                            <w:spacing w:line="240" w:lineRule="auto"/>
                          </w:pPr>
                          <w:r>
                            <w:rPr>
                              <w:noProof/>
                            </w:rPr>
                            <w:drawing>
                              <wp:inline distT="0" distB="0" distL="0" distR="0" wp14:anchorId="29AA5512" wp14:editId="068E678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D1647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9E44663" w14:textId="77777777" w:rsidR="00656E6D" w:rsidRDefault="005514C5">
                    <w:pPr>
                      <w:spacing w:line="240" w:lineRule="auto"/>
                    </w:pPr>
                    <w:r>
                      <w:rPr>
                        <w:noProof/>
                      </w:rPr>
                      <w:drawing>
                        <wp:inline distT="0" distB="0" distL="0" distR="0" wp14:anchorId="29AA5512" wp14:editId="068E678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B2AB2A" wp14:editId="1B5D29F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623667" w14:textId="77777777" w:rsidR="00656E6D" w:rsidRDefault="005514C5">
                          <w:pPr>
                            <w:spacing w:line="240" w:lineRule="auto"/>
                          </w:pPr>
                          <w:r>
                            <w:rPr>
                              <w:noProof/>
                            </w:rPr>
                            <w:drawing>
                              <wp:inline distT="0" distB="0" distL="0" distR="0" wp14:anchorId="2026BE00" wp14:editId="0953C79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B2AB2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6623667" w14:textId="77777777" w:rsidR="00656E6D" w:rsidRDefault="005514C5">
                    <w:pPr>
                      <w:spacing w:line="240" w:lineRule="auto"/>
                    </w:pPr>
                    <w:r>
                      <w:rPr>
                        <w:noProof/>
                      </w:rPr>
                      <w:drawing>
                        <wp:inline distT="0" distB="0" distL="0" distR="0" wp14:anchorId="2026BE00" wp14:editId="0953C79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01F11E4" wp14:editId="22FE34A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89457D" w14:textId="0B4D52AD" w:rsidR="00656E6D" w:rsidRDefault="0073790D">
                          <w:pPr>
                            <w:pStyle w:val="Referentiegegevens"/>
                          </w:pPr>
                          <w:r w:rsidRPr="0073790D">
                            <w:t>&gt; Retouradres Postbus 20011 2500 EH   Den Haag</w:t>
                          </w:r>
                        </w:p>
                      </w:txbxContent>
                    </wps:txbx>
                    <wps:bodyPr vert="horz" wrap="square" lIns="0" tIns="0" rIns="0" bIns="0" anchor="t" anchorCtr="0"/>
                  </wps:wsp>
                </a:graphicData>
              </a:graphic>
            </wp:anchor>
          </w:drawing>
        </mc:Choice>
        <mc:Fallback>
          <w:pict>
            <v:shape w14:anchorId="601F11E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889457D" w14:textId="0B4D52AD" w:rsidR="00656E6D" w:rsidRDefault="0073790D">
                    <w:pPr>
                      <w:pStyle w:val="Referentiegegevens"/>
                    </w:pPr>
                    <w:r w:rsidRPr="0073790D">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CF63E5"/>
    <w:multiLevelType w:val="multilevel"/>
    <w:tmpl w:val="D9C79BA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0EE53B7"/>
    <w:multiLevelType w:val="multilevel"/>
    <w:tmpl w:val="4516A8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90B5656"/>
    <w:multiLevelType w:val="multilevel"/>
    <w:tmpl w:val="13B91F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687539B"/>
    <w:multiLevelType w:val="multilevel"/>
    <w:tmpl w:val="686FEA8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99D6799"/>
    <w:multiLevelType w:val="multilevel"/>
    <w:tmpl w:val="5DFB251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F4C9463"/>
    <w:multiLevelType w:val="multilevel"/>
    <w:tmpl w:val="92583D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2307098">
    <w:abstractNumId w:val="4"/>
  </w:num>
  <w:num w:numId="2" w16cid:durableId="992173412">
    <w:abstractNumId w:val="3"/>
  </w:num>
  <w:num w:numId="3" w16cid:durableId="1465466382">
    <w:abstractNumId w:val="2"/>
  </w:num>
  <w:num w:numId="4" w16cid:durableId="534974494">
    <w:abstractNumId w:val="1"/>
  </w:num>
  <w:num w:numId="5" w16cid:durableId="1420251379">
    <w:abstractNumId w:val="0"/>
  </w:num>
  <w:num w:numId="6" w16cid:durableId="1809937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E1"/>
    <w:rsid w:val="00052BD0"/>
    <w:rsid w:val="00062DA8"/>
    <w:rsid w:val="0007623E"/>
    <w:rsid w:val="00085528"/>
    <w:rsid w:val="00087B79"/>
    <w:rsid w:val="000A1540"/>
    <w:rsid w:val="000A3F92"/>
    <w:rsid w:val="000F0411"/>
    <w:rsid w:val="00122221"/>
    <w:rsid w:val="00144F0D"/>
    <w:rsid w:val="00150212"/>
    <w:rsid w:val="001B2BDD"/>
    <w:rsid w:val="001B63C5"/>
    <w:rsid w:val="001B688F"/>
    <w:rsid w:val="001C7122"/>
    <w:rsid w:val="001D3949"/>
    <w:rsid w:val="001E2EE1"/>
    <w:rsid w:val="0027768E"/>
    <w:rsid w:val="002940D3"/>
    <w:rsid w:val="00297966"/>
    <w:rsid w:val="002D520F"/>
    <w:rsid w:val="002D7341"/>
    <w:rsid w:val="002F5501"/>
    <w:rsid w:val="00373DF9"/>
    <w:rsid w:val="003B30CA"/>
    <w:rsid w:val="00434BDF"/>
    <w:rsid w:val="0044034F"/>
    <w:rsid w:val="00490187"/>
    <w:rsid w:val="004F1BE1"/>
    <w:rsid w:val="004F1FEE"/>
    <w:rsid w:val="005074F4"/>
    <w:rsid w:val="005514C5"/>
    <w:rsid w:val="005548A2"/>
    <w:rsid w:val="00556295"/>
    <w:rsid w:val="00560CB0"/>
    <w:rsid w:val="005D14F8"/>
    <w:rsid w:val="00622F98"/>
    <w:rsid w:val="00623664"/>
    <w:rsid w:val="00656E6D"/>
    <w:rsid w:val="006606CF"/>
    <w:rsid w:val="00660EA8"/>
    <w:rsid w:val="006A72A7"/>
    <w:rsid w:val="006C6C2D"/>
    <w:rsid w:val="006F4D91"/>
    <w:rsid w:val="0073790D"/>
    <w:rsid w:val="0077419F"/>
    <w:rsid w:val="00780AA1"/>
    <w:rsid w:val="00791608"/>
    <w:rsid w:val="00812458"/>
    <w:rsid w:val="00816144"/>
    <w:rsid w:val="008176A4"/>
    <w:rsid w:val="00851BAC"/>
    <w:rsid w:val="00863006"/>
    <w:rsid w:val="00872CB6"/>
    <w:rsid w:val="00896AF0"/>
    <w:rsid w:val="008A15BE"/>
    <w:rsid w:val="008A7EB3"/>
    <w:rsid w:val="008C6B2F"/>
    <w:rsid w:val="008D2591"/>
    <w:rsid w:val="008F0109"/>
    <w:rsid w:val="008F2BD2"/>
    <w:rsid w:val="00940669"/>
    <w:rsid w:val="0094286A"/>
    <w:rsid w:val="009447E6"/>
    <w:rsid w:val="00A0319F"/>
    <w:rsid w:val="00A12A1A"/>
    <w:rsid w:val="00AC719B"/>
    <w:rsid w:val="00AF4A00"/>
    <w:rsid w:val="00B5049D"/>
    <w:rsid w:val="00BB237A"/>
    <w:rsid w:val="00BE1996"/>
    <w:rsid w:val="00BE568A"/>
    <w:rsid w:val="00BF4D04"/>
    <w:rsid w:val="00C012A5"/>
    <w:rsid w:val="00C177C0"/>
    <w:rsid w:val="00C82AC2"/>
    <w:rsid w:val="00D24838"/>
    <w:rsid w:val="00DC3614"/>
    <w:rsid w:val="00F0366C"/>
    <w:rsid w:val="00F04E21"/>
    <w:rsid w:val="00F05DD2"/>
    <w:rsid w:val="00F0600D"/>
    <w:rsid w:val="00F33A7A"/>
    <w:rsid w:val="00FE28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C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816144"/>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816144"/>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816144"/>
    <w:rPr>
      <w:vertAlign w:val="superscript"/>
    </w:rPr>
  </w:style>
  <w:style w:type="character" w:styleId="GevolgdeHyperlink">
    <w:name w:val="FollowedHyperlink"/>
    <w:basedOn w:val="Standaardalinea-lettertype"/>
    <w:uiPriority w:val="99"/>
    <w:semiHidden/>
    <w:unhideWhenUsed/>
    <w:rsid w:val="00816144"/>
    <w:rPr>
      <w:color w:val="96607D" w:themeColor="followedHyperlink"/>
      <w:u w:val="single"/>
    </w:rPr>
  </w:style>
  <w:style w:type="paragraph" w:styleId="Revisie">
    <w:name w:val="Revision"/>
    <w:hidden/>
    <w:uiPriority w:val="99"/>
    <w:semiHidden/>
    <w:rsid w:val="00C82AC2"/>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4F1F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1FE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RVS:2024:2221" TargetMode="External"/><Relationship Id="rId2" Type="http://schemas.openxmlformats.org/officeDocument/2006/relationships/hyperlink" Target="https://uitspraken.rechtspraak.nl/resultaat?zoekterm=ECLI:NL:RVS:2010:BO3468&amp;inhoudsindicatie=zt0&amp;publicatiestatus=ps0&amp;sort=PublicatieDatumDesc" TargetMode="External"/><Relationship Id="rId1" Type="http://schemas.openxmlformats.org/officeDocument/2006/relationships/hyperlink" Target="https://uitspraken.rechtspraak.nl/details?id=ECLI:NL:RVS:2010:BO3468" TargetMode="External"/><Relationship Id="rId5" Type="http://schemas.openxmlformats.org/officeDocument/2006/relationships/hyperlink" Target="https://ico.org.uk/about-the-ico/ico-and-stakeholder-consultations/" TargetMode="External"/><Relationship Id="rId4" Type="http://schemas.openxmlformats.org/officeDocument/2006/relationships/hyperlink" Target="https://www.cnil.fr/fr/tag/consult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650</ap:Words>
  <ap:Characters>3577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2025-05-20T09:24:00.0000000Z</dcterms:created>
  <dcterms:modified xsi:type="dcterms:W3CDTF">2025-05-20T09:24:00.0000000Z</dcterms:modified>
  <dc:description>------------------------</dc:description>
  <dc:subject/>
  <keywords/>
  <version/>
  <category/>
</coreProperties>
</file>