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2025Z09782</w:t>
        <w:br/>
      </w:r>
      <w:proofErr w:type="spellEnd"/>
    </w:p>
    <w:p>
      <w:pPr>
        <w:pStyle w:val="Normal"/>
        <w:rPr>
          <w:b w:val="1"/>
          <w:bCs w:val="1"/>
        </w:rPr>
      </w:pPr>
      <w:r w:rsidR="250AE766">
        <w:rPr>
          <w:b w:val="0"/>
          <w:bCs w:val="0"/>
        </w:rPr>
        <w:t>(ingezonden 20 mei 2025)</w:t>
        <w:br/>
      </w:r>
    </w:p>
    <w:p>
      <w:r>
        <w:t xml:space="preserve">Vragen van het lid Van Houwelingen (FVD) aan de staatssecretarissen van Volksgezondheid, Welzijn en Sport over wachttijden binnen de Wet maatschappelijke ondersteuning 2015 (Wmo) en de geestelijke gezondheidszorg (ggz) </w:t>
      </w:r>
      <w:r>
        <w:br/>
      </w:r>
    </w:p>
    <w:p>
      <w:r>
        <w:t xml:space="preserve">1</w:t>
      </w:r>
      <w:r>
        <w:br/>
      </w:r>
    </w:p>
    <w:p>
      <w:r>
        <w:t xml:space="preserve">Bent u bekend met de lange wachttijden binnen de Wmo en de ggz en hoe verhoudt zich dit tot de doelstellingen van het Integraal Zorgakkoord (IZA) en het Gezond en Actief Leven Akkoord (GALA)?</w:t>
      </w:r>
      <w:r>
        <w:br/>
      </w:r>
    </w:p>
    <w:p>
      <w:r>
        <w:t xml:space="preserve">2</w:t>
      </w:r>
      <w:r>
        <w:br/>
      </w:r>
    </w:p>
    <w:p>
      <w:r>
        <w:t xml:space="preserve">Kunt u toelichten in hoeverre gemeenten voldoende worden ondersteund door de beschikbare SPUK (specifieke uitkering)-middelen in het ontwikkelen van preventieve welzijnsinitiatieven die deze wachttijden kunnen terugdringen?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00">
    <w:abstractNumId w:val="100478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