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E31" w:rsidP="00567E31" w:rsidRDefault="00567E31" w14:paraId="17FBD384" w14:textId="46C5230F">
      <w:r>
        <w:t>AH 2261</w:t>
      </w:r>
    </w:p>
    <w:p w:rsidR="00567E31" w:rsidP="00567E31" w:rsidRDefault="00567E31" w14:paraId="657F1D56" w14:textId="54B74B9D">
      <w:r>
        <w:t>2025Z07228</w:t>
      </w:r>
    </w:p>
    <w:p w:rsidRPr="00567E31" w:rsidR="00567E31" w:rsidP="00567E31" w:rsidRDefault="00567E31" w14:paraId="2CE7B844" w14:textId="7196FE22">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Segoe UI" w:hAnsi="Segoe UI" w:cs="Segoe UI"/>
          <w:color w:val="000080"/>
          <w:sz w:val="18"/>
          <w:szCs w:val="18"/>
          <w:shd w:val="clear" w:color="auto" w:fill="FFFFFF"/>
        </w:rPr>
        <w:t>Struycken</w:t>
      </w:r>
      <w:r w:rsidRPr="00A71055">
        <w:rPr>
          <w:rFonts w:ascii="Times New Roman" w:hAnsi="Times New Roman"/>
          <w:bCs/>
          <w:sz w:val="24"/>
          <w:szCs w:val="24"/>
        </w:rPr>
        <w:t xml:space="preserve"> (Justitie en Veiligheid)</w:t>
      </w:r>
      <w:r>
        <w:rPr>
          <w:rFonts w:ascii="Times New Roman" w:hAnsi="Times New Roman"/>
          <w:bCs/>
          <w:sz w:val="24"/>
          <w:szCs w:val="24"/>
        </w:rPr>
        <w:t xml:space="preserve">, mede namens de </w:t>
      </w:r>
      <w:r w:rsidRPr="00567E31">
        <w:rPr>
          <w:rFonts w:ascii="Times New Roman" w:hAnsi="Times New Roman"/>
          <w:bCs/>
          <w:sz w:val="24"/>
          <w:szCs w:val="24"/>
        </w:rPr>
        <w:t>staatssecretaris van Sociale Zaken en Werkgelegenheid</w:t>
      </w:r>
      <w:r w:rsidRPr="00A71055">
        <w:rPr>
          <w:rFonts w:ascii="Times New Roman" w:hAnsi="Times New Roman"/>
          <w:bCs/>
          <w:sz w:val="24"/>
          <w:szCs w:val="24"/>
        </w:rPr>
        <w:t xml:space="preserve"> (ontvangen</w:t>
      </w:r>
      <w:r>
        <w:rPr>
          <w:rFonts w:ascii="Times New Roman" w:hAnsi="Times New Roman"/>
          <w:bCs/>
          <w:sz w:val="24"/>
          <w:szCs w:val="24"/>
        </w:rPr>
        <w:t xml:space="preserve"> 20 mei 2025)</w:t>
      </w:r>
    </w:p>
    <w:p w:rsidR="00567E31" w:rsidP="00567E31" w:rsidRDefault="00567E31" w14:paraId="7C6C349D" w14:textId="77777777"/>
    <w:p w:rsidRPr="00ED5FF0" w:rsidR="00567E31" w:rsidP="00567E31" w:rsidRDefault="00567E31" w14:paraId="4136E67F" w14:textId="074146D8">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2179</w:t>
      </w:r>
    </w:p>
    <w:p w:rsidRPr="00ED5FF0" w:rsidR="00567E31" w:rsidP="00567E31" w:rsidRDefault="00567E31" w14:paraId="32EE2367" w14:textId="77777777">
      <w:pPr>
        <w:rPr>
          <w:b/>
          <w:bCs/>
        </w:rPr>
      </w:pPr>
      <w:r>
        <w:rPr>
          <w:b/>
          <w:bCs/>
        </w:rPr>
        <w:t xml:space="preserve">Vraag </w:t>
      </w:r>
      <w:r w:rsidRPr="00ED5FF0">
        <w:rPr>
          <w:b/>
          <w:bCs/>
        </w:rPr>
        <w:t>1</w:t>
      </w:r>
      <w:r w:rsidRPr="00ED5FF0">
        <w:rPr>
          <w:b/>
          <w:bCs/>
        </w:rPr>
        <w:tab/>
      </w:r>
    </w:p>
    <w:p w:rsidRPr="00ED5FF0" w:rsidR="00567E31" w:rsidP="00567E31" w:rsidRDefault="00567E31" w14:paraId="74D105F3" w14:textId="5D58F2D4">
      <w:pPr>
        <w:rPr>
          <w:b/>
          <w:bCs/>
        </w:rPr>
      </w:pPr>
      <w:r w:rsidRPr="00ED5FF0">
        <w:rPr>
          <w:b/>
          <w:bCs/>
        </w:rPr>
        <w:t xml:space="preserve">Hebt u kennisgenomen van het voorstel van de Vereniging van Nederlandse Gemeenten (VNG) voor verbetering van het invorderings- en incassostelsel in Nederland? </w:t>
      </w:r>
      <w:r>
        <w:rPr>
          <w:b/>
          <w:bCs/>
        </w:rPr>
        <w:t>1)</w:t>
      </w:r>
    </w:p>
    <w:p w:rsidR="00567E31" w:rsidP="00567E31" w:rsidRDefault="00567E31" w14:paraId="11DE2BD3" w14:textId="77777777">
      <w:pPr>
        <w:rPr>
          <w:b/>
          <w:bCs/>
        </w:rPr>
      </w:pPr>
    </w:p>
    <w:p w:rsidRPr="00ED5FF0" w:rsidR="00567E31" w:rsidP="00567E31" w:rsidRDefault="00567E31" w14:paraId="1343EA8A" w14:textId="77777777">
      <w:pPr>
        <w:rPr>
          <w:b/>
          <w:bCs/>
        </w:rPr>
      </w:pPr>
      <w:r>
        <w:rPr>
          <w:b/>
          <w:bCs/>
        </w:rPr>
        <w:t>Antwoord op vraag 1</w:t>
      </w:r>
    </w:p>
    <w:p w:rsidRPr="00ED5FF0" w:rsidR="00567E31" w:rsidP="00567E31" w:rsidRDefault="00567E31" w14:paraId="2F895C0B" w14:textId="77777777">
      <w:r w:rsidRPr="00ED5FF0">
        <w:t>Ja.</w:t>
      </w:r>
    </w:p>
    <w:p w:rsidRPr="00ED5FF0" w:rsidR="00567E31" w:rsidP="00567E31" w:rsidRDefault="00567E31" w14:paraId="439CD668" w14:textId="77777777">
      <w:pPr>
        <w:rPr>
          <w:b/>
          <w:bCs/>
        </w:rPr>
      </w:pPr>
    </w:p>
    <w:p w:rsidRPr="00ED5FF0" w:rsidR="00567E31" w:rsidP="00567E31" w:rsidRDefault="00567E31" w14:paraId="72DA2766" w14:textId="77777777">
      <w:pPr>
        <w:rPr>
          <w:b/>
          <w:bCs/>
        </w:rPr>
      </w:pPr>
      <w:r>
        <w:rPr>
          <w:b/>
          <w:bCs/>
        </w:rPr>
        <w:t xml:space="preserve">Vraag </w:t>
      </w:r>
      <w:r w:rsidRPr="00ED5FF0">
        <w:rPr>
          <w:b/>
          <w:bCs/>
        </w:rPr>
        <w:t>2</w:t>
      </w:r>
      <w:r w:rsidRPr="00ED5FF0">
        <w:rPr>
          <w:b/>
          <w:bCs/>
        </w:rPr>
        <w:tab/>
      </w:r>
    </w:p>
    <w:p w:rsidRPr="00ED5FF0" w:rsidR="00567E31" w:rsidP="00567E31" w:rsidRDefault="00567E31" w14:paraId="3626692B" w14:textId="77777777">
      <w:pPr>
        <w:rPr>
          <w:b/>
          <w:bCs/>
        </w:rPr>
      </w:pPr>
      <w:r w:rsidRPr="00ED5FF0">
        <w:rPr>
          <w:b/>
          <w:bCs/>
        </w:rPr>
        <w:t>Kunt u aangeven of de regering de voorstellen van de VNG als kansrijk beschouwt voor het verbeteren van het huidige invorderings- en incassostelsel? In hoeverre kunnen voorgestelde maatregelen bijdragen aan een effectievere incasso en een eerlijker proces voor zowel debiteuren als schuldeisers? Welke concrete aanbevelingen, voor zover deze zien op maatregelen die de landelijke overheid moet nemen, worden opgevolgd, op welke wijze, en welke niet?</w:t>
      </w:r>
    </w:p>
    <w:p w:rsidR="00567E31" w:rsidP="00567E31" w:rsidRDefault="00567E31" w14:paraId="7A9D6CDC" w14:textId="77777777">
      <w:pPr>
        <w:rPr>
          <w:b/>
          <w:bCs/>
        </w:rPr>
      </w:pPr>
    </w:p>
    <w:p w:rsidRPr="00ED5FF0" w:rsidR="00567E31" w:rsidP="00567E31" w:rsidRDefault="00567E31" w14:paraId="046636C0" w14:textId="77777777">
      <w:pPr>
        <w:rPr>
          <w:b/>
          <w:bCs/>
        </w:rPr>
      </w:pPr>
      <w:r>
        <w:rPr>
          <w:b/>
          <w:bCs/>
        </w:rPr>
        <w:t>Antwoord op vraag 2</w:t>
      </w:r>
    </w:p>
    <w:p w:rsidRPr="00ED5FF0" w:rsidR="00567E31" w:rsidP="00567E31" w:rsidRDefault="00567E31" w14:paraId="604F1CEB" w14:textId="77777777">
      <w:r w:rsidRPr="00ED5FF0">
        <w:t xml:space="preserve">In het Regeerprogramma van 13 september 2024 heeft het kabinet de ambitie uitgesproken om problematische schulden fundamenteel aan te pakken en daarbij de aanbevelingen van het IBO-rapport </w:t>
      </w:r>
      <w:r w:rsidRPr="00ED5FF0">
        <w:rPr>
          <w:i/>
          <w:iCs/>
        </w:rPr>
        <w:t xml:space="preserve">Problematische schulden </w:t>
      </w:r>
      <w:r w:rsidRPr="00ED5FF0">
        <w:t xml:space="preserve">als uitgangspunt te nemen. Ik zie veel overlap in de voorstellen van de VNG en de ambities van het kabinet. Zoals aangekondigd in de IBO Kabinetsreactie werkt het kabinet reeds aan </w:t>
      </w:r>
      <w:r w:rsidRPr="00ED5FF0">
        <w:lastRenderedPageBreak/>
        <w:t>een aantal verbeteringen op het gebied van invordering voor zowel private als publieke schuldeisers.</w:t>
      </w:r>
      <w:r w:rsidRPr="00ED5FF0">
        <w:rPr>
          <w:rStyle w:val="Voetnootmarkering"/>
        </w:rPr>
        <w:footnoteReference w:id="1"/>
      </w:r>
      <w:r w:rsidRPr="00ED5FF0">
        <w:t xml:space="preserve"> </w:t>
      </w:r>
    </w:p>
    <w:p w:rsidRPr="00ED5FF0" w:rsidR="00567E31" w:rsidP="00567E31" w:rsidRDefault="00567E31" w14:paraId="561553EA" w14:textId="77777777"/>
    <w:p w:rsidRPr="00ED5FF0" w:rsidR="00567E31" w:rsidP="00567E31" w:rsidRDefault="00567E31" w14:paraId="0B410B1B" w14:textId="77777777">
      <w:r w:rsidRPr="00ED5FF0">
        <w:t>Als opvolging op de IBO Kabinetsreactie heb ik uw Kamer onlangs geïnformeerd over de verdere uitwerking van een aantal maatregelen op het gebied van civiele invordering.</w:t>
      </w:r>
      <w:r w:rsidRPr="00ED5FF0">
        <w:rPr>
          <w:rStyle w:val="Voetnootmarkering"/>
        </w:rPr>
        <w:footnoteReference w:id="2"/>
      </w:r>
      <w:r w:rsidRPr="00ED5FF0">
        <w:t xml:space="preserve"> Dat betreft het collectief afbetalingsplan en de zorgplicht gerechtsdeurwaarders. Het collectief afbetalingsplan heeft onder meer als doel om te voorkomen dat als gevolg van meerdere minnelijke betalingsregelingen iemand meer aflost dan gegeven zijn financiële positie mogelijk is. Dit is een aspect dat ook door de VNG nadrukkelijk onder de aandacht wordt gebracht. Deze maatregel moet ook bijdragen aan een voor de debiteur structureel haalbare oplossing voor betalingsproblemen. Bij de uitwerking van het collectief afbetalingsplan wordt eveneens gekeken naar de preferente positie van schuldeisers. </w:t>
      </w:r>
    </w:p>
    <w:p w:rsidRPr="00ED5FF0" w:rsidR="00567E31" w:rsidP="00567E31" w:rsidRDefault="00567E31" w14:paraId="5953CF24" w14:textId="77777777"/>
    <w:p w:rsidRPr="00ED5FF0" w:rsidR="00567E31" w:rsidP="00567E31" w:rsidRDefault="00567E31" w14:paraId="7F3E8B17" w14:textId="77777777">
      <w:r w:rsidRPr="00ED5FF0">
        <w:t>Het kabinet werkt ook aan stroomlijning van informatie-uitwisseling in de keten voor derdenbeslag, wat aansluit op het voorstel van de VNG om coördinatie van de beslagvrije voet op niveau van de debiteur te organiseren. Met de stroomlijning keten derdenbeslag wordt bij beslag onnodige kostenophoging voorkomen, het bestaansminimum gewaarborgd en inzicht gegeven aan burgers en schuldhulpverleners.</w:t>
      </w:r>
    </w:p>
    <w:p w:rsidRPr="00ED5FF0" w:rsidR="00567E31" w:rsidP="00567E31" w:rsidRDefault="00567E31" w14:paraId="1D6AEA98" w14:textId="77777777"/>
    <w:p w:rsidRPr="00ED5FF0" w:rsidR="00567E31" w:rsidP="00567E31" w:rsidRDefault="00567E31" w14:paraId="29B678CD" w14:textId="77777777">
      <w:r w:rsidRPr="00ED5FF0">
        <w:t>Hiernaast onderstreept het kabinet het belang van vroegsignalering. Door in een vroeg stadium hulp aan te bieden aan mensen met geldzorgen, kunnen problematische schulden voorkomen worden. Het kabinet heeft tijdelijk extra middelen gereserveerd om de capaciteit van vroegsignalering te vergroten.</w:t>
      </w:r>
      <w:bookmarkStart w:name="_Hlk198122880" w:id="0"/>
      <w:r w:rsidRPr="00ED5FF0">
        <w:t xml:space="preserve"> Ook werk ik aan een signaalfunctie voor gerechtsdeurwaarders als onderdeel van de zorgplicht voor gerechtsdeurwaarders. Deze zal bijdragen aan een snellere doorverwijzing, maar zal vermoedelijk ook nieuwe signalen met zich meebrengen. In het position paper van VNG wordt voorgesteld om dit verder uit te breiden, bijvoorbeeld met een verplichte melding bij de gemeente voordat er bij een inwoner wordt ingevorderd. Hoewel ik het belang van goede signalering onderschrijf, merk ik op dat het melden van elke invordering bij de gemeente een zeer ingrijpende maatregel is die gepaard zal gaan met grote administratieve lasten. Terecht merkt de VNG daarover zelf ook op dat dit voorstel meer tijd en onderzoek vergt. Het kabinet </w:t>
      </w:r>
      <w:r w:rsidRPr="00ED5FF0">
        <w:lastRenderedPageBreak/>
        <w:t>vindt het daarom van belang om eerst de hierboven genoemde maatregelen uit te werken en te implementeren.</w:t>
      </w:r>
    </w:p>
    <w:bookmarkEnd w:id="0"/>
    <w:p w:rsidRPr="00ED5FF0" w:rsidR="00567E31" w:rsidP="00567E31" w:rsidRDefault="00567E31" w14:paraId="5845110F" w14:textId="77777777"/>
    <w:p w:rsidRPr="00ED5FF0" w:rsidR="00567E31" w:rsidP="00567E31" w:rsidRDefault="00567E31" w14:paraId="6CAC5C51" w14:textId="77777777">
      <w:pPr>
        <w:rPr>
          <w:b/>
          <w:bCs/>
        </w:rPr>
      </w:pPr>
      <w:r>
        <w:rPr>
          <w:b/>
          <w:bCs/>
        </w:rPr>
        <w:t xml:space="preserve">Vraag </w:t>
      </w:r>
      <w:r w:rsidRPr="00ED5FF0">
        <w:rPr>
          <w:b/>
          <w:bCs/>
        </w:rPr>
        <w:t>3</w:t>
      </w:r>
      <w:r w:rsidRPr="00ED5FF0">
        <w:rPr>
          <w:b/>
          <w:bCs/>
        </w:rPr>
        <w:tab/>
      </w:r>
    </w:p>
    <w:p w:rsidRPr="00ED5FF0" w:rsidR="00567E31" w:rsidP="00567E31" w:rsidRDefault="00567E31" w14:paraId="2B5E7089" w14:textId="77777777">
      <w:pPr>
        <w:rPr>
          <w:b/>
          <w:bCs/>
        </w:rPr>
      </w:pPr>
      <w:r w:rsidRPr="00ED5FF0">
        <w:rPr>
          <w:b/>
          <w:bCs/>
        </w:rPr>
        <w:t>Op welke wijze volgt u de aangenomen motie-Ceder c.s. (Kamerstuk 24515, nr. 744) op waarin verzocht wordt om een nieuw incassostelsel gericht op collectief belang?</w:t>
      </w:r>
    </w:p>
    <w:p w:rsidR="00567E31" w:rsidP="00567E31" w:rsidRDefault="00567E31" w14:paraId="610FFAD4" w14:textId="77777777">
      <w:pPr>
        <w:rPr>
          <w:b/>
          <w:bCs/>
        </w:rPr>
      </w:pPr>
    </w:p>
    <w:p w:rsidRPr="00ED5FF0" w:rsidR="00567E31" w:rsidP="00567E31" w:rsidRDefault="00567E31" w14:paraId="3D1686A9" w14:textId="77777777">
      <w:pPr>
        <w:rPr>
          <w:b/>
          <w:bCs/>
        </w:rPr>
      </w:pPr>
      <w:r>
        <w:rPr>
          <w:b/>
          <w:bCs/>
        </w:rPr>
        <w:t>Antwoord op vraag 3</w:t>
      </w:r>
    </w:p>
    <w:p w:rsidRPr="00ED5FF0" w:rsidR="00567E31" w:rsidP="00567E31" w:rsidRDefault="00567E31" w14:paraId="2438CD99" w14:textId="77777777">
      <w:pPr>
        <w:rPr>
          <w:i/>
          <w:iCs/>
        </w:rPr>
      </w:pPr>
      <w:r w:rsidRPr="00ED5FF0">
        <w:t xml:space="preserve">Met de verkenning </w:t>
      </w:r>
      <w:r w:rsidRPr="00ED5FF0">
        <w:rPr>
          <w:i/>
          <w:iCs/>
        </w:rPr>
        <w:t xml:space="preserve">Civiele invordering </w:t>
      </w:r>
      <w:r w:rsidRPr="00ED5FF0">
        <w:t>die in juni 2024 naar uw Kamer is toegestuurd</w:t>
      </w:r>
      <w:r w:rsidRPr="00ED5FF0">
        <w:rPr>
          <w:rStyle w:val="Voetnootmarkering"/>
        </w:rPr>
        <w:footnoteReference w:id="3"/>
      </w:r>
      <w:r w:rsidRPr="00ED5FF0">
        <w:t xml:space="preserve"> is uitvoering gegeven aan de motie Ceder c.s. In het Regeerprogramma en vervolgens in de kabinetsreactie op het IBO </w:t>
      </w:r>
      <w:r w:rsidRPr="00ED5FF0">
        <w:rPr>
          <w:i/>
          <w:iCs/>
        </w:rPr>
        <w:t xml:space="preserve">Problematische schulden </w:t>
      </w:r>
      <w:r w:rsidRPr="00ED5FF0">
        <w:t>heeft het kabinet aangegeven het stelsel van civiele invordering te willen verbeteren. Hierbij gaat het om het zoveel mogelijk in een vroeg stadium oplossen van schulden, een betere samenwerking tussen schuldeisers en het minder snel laten oplopen van de kosten van invordering. Onlangs heb ik uw Kamer geïnformeerd over het proces van de opvolging van de maatregelen op het gebied van civiele invordering.</w:t>
      </w:r>
      <w:r w:rsidRPr="00ED5FF0">
        <w:rPr>
          <w:rStyle w:val="Voetnootmarkering"/>
        </w:rPr>
        <w:footnoteReference w:id="4"/>
      </w:r>
      <w:r w:rsidRPr="00ED5FF0">
        <w:t xml:space="preserve"> In deze brief heb ik de nadere uitwerking van het collectief afbetalingsplan en de zorgplicht gerechtsdeurwaarders geschetst. Deze maatregelen zijn belangrijke pijlers onder een nieuwe incassostelsel gericht op collectief belang. Daarnaast heb ik een aantal onderzoeken uitgezet voor wat de betreft de huidige kosten van invordering. Dit betreft een onderzoek naar de huidige financieringsstructuur van gerechtsdeurwaarders en de toekomstbestendigheid van de huidige tariefstructuur. Tevens een wetsevaluatie van de Wet normering buitengerechtelijke incassokosten (WIK) waarin wordt bezien in hoeverre de huidige systematiek van de maximale buitengerechtelijke incassokosten nog steeds passend is. Daarnaast een verkennend onderzoek naar de praktijk van buitengerechtelijke incassowerkzaamheden, waarbij ook aandacht is voor hoe de opdrachtverlening en bijbehorende (prijs)afspraken tussen schuldeiser en incassodienstverlener tot stand komen. Ten slotte ben ik voornemens om enkele tarieven zoals opgenomen in het Besluit tarieven ambtshandelingen gerechtsdeurwaarders (Btag) te laten onderzoeken om deze kosten te herijken.</w:t>
      </w:r>
    </w:p>
    <w:p w:rsidRPr="00ED5FF0" w:rsidR="00567E31" w:rsidP="00567E31" w:rsidRDefault="00567E31" w14:paraId="32343602" w14:textId="77777777"/>
    <w:p w:rsidRPr="00ED5FF0" w:rsidR="00567E31" w:rsidP="00567E31" w:rsidRDefault="00567E31" w14:paraId="1808B2E3" w14:textId="77777777">
      <w:pPr>
        <w:rPr>
          <w:b/>
          <w:bCs/>
        </w:rPr>
      </w:pPr>
    </w:p>
    <w:p w:rsidRPr="00ED5FF0" w:rsidR="00567E31" w:rsidP="00567E31" w:rsidRDefault="00567E31" w14:paraId="20C35EDF" w14:textId="77777777">
      <w:pPr>
        <w:rPr>
          <w:b/>
          <w:bCs/>
        </w:rPr>
      </w:pPr>
      <w:r>
        <w:rPr>
          <w:b/>
          <w:bCs/>
        </w:rPr>
        <w:lastRenderedPageBreak/>
        <w:t>Vraag 4</w:t>
      </w:r>
      <w:r w:rsidRPr="00ED5FF0">
        <w:rPr>
          <w:b/>
          <w:bCs/>
        </w:rPr>
        <w:tab/>
      </w:r>
    </w:p>
    <w:p w:rsidRPr="00ED5FF0" w:rsidR="00567E31" w:rsidP="00567E31" w:rsidRDefault="00567E31" w14:paraId="021B5187" w14:textId="77777777">
      <w:pPr>
        <w:rPr>
          <w:b/>
          <w:bCs/>
        </w:rPr>
      </w:pPr>
      <w:r w:rsidRPr="00ED5FF0">
        <w:rPr>
          <w:b/>
          <w:bCs/>
        </w:rPr>
        <w:t>Hoe wordt er invulling gegeven aan de motie-Ceder (Kamerstuk 35915, nr. 27) waar tot een einde op doorverkoop van schulden en rentemaximering wordt opgeroepen?</w:t>
      </w:r>
    </w:p>
    <w:p w:rsidR="00567E31" w:rsidP="00567E31" w:rsidRDefault="00567E31" w14:paraId="6D136A94" w14:textId="77777777">
      <w:pPr>
        <w:rPr>
          <w:b/>
          <w:bCs/>
        </w:rPr>
      </w:pPr>
    </w:p>
    <w:p w:rsidRPr="00ED5FF0" w:rsidR="00567E31" w:rsidP="00567E31" w:rsidRDefault="00567E31" w14:paraId="1CEC9500" w14:textId="77777777">
      <w:pPr>
        <w:rPr>
          <w:b/>
          <w:bCs/>
        </w:rPr>
      </w:pPr>
      <w:r>
        <w:rPr>
          <w:b/>
          <w:bCs/>
        </w:rPr>
        <w:t>Antwoord op vraag 4</w:t>
      </w:r>
    </w:p>
    <w:p w:rsidRPr="00ED5FF0" w:rsidR="00567E31" w:rsidP="00567E31" w:rsidRDefault="00567E31" w14:paraId="3B1CD454" w14:textId="77777777">
      <w:r w:rsidRPr="00ED5FF0">
        <w:t>De minister voor Rechtsbescherming heeft op 29 maart 2024</w:t>
      </w:r>
      <w:r w:rsidRPr="00ED5FF0">
        <w:rPr>
          <w:rStyle w:val="Voetnootmarkering"/>
        </w:rPr>
        <w:footnoteReference w:id="5"/>
      </w:r>
      <w:r w:rsidRPr="00ED5FF0">
        <w:t xml:space="preserve"> een uiteenzetting gegeven over de problematiek van verkoop vorderingen. Zoals in deze brief is aangegeven zit het probleem niet in de verkoop van de vordering zelf, maar in de kosten van invordering. Met de maatregelen die volgen uit het Regeerprogramma en de kabinetsreactie op het IBO </w:t>
      </w:r>
      <w:r w:rsidRPr="00ED5FF0">
        <w:rPr>
          <w:i/>
          <w:iCs/>
        </w:rPr>
        <w:t>Problematische schulden</w:t>
      </w:r>
      <w:r w:rsidRPr="00ED5FF0">
        <w:t xml:space="preserve"> pakt het kabinet die kostenoploop aan. Een zorgplicht voor gerechtsdeurwaarders moet voorkomen dat vorderingen die niet betaald kunnen worden onnodig lang in de invorderingsfase blijven. Het collectief afbetalingsplan draagt eraan bij dat er juist in een eerdere fase meer ruimte voor coördinatie is. Daarnaast beziet het kabinet, in lijn met het IBO, of de kosten van herexecutie kunnen worden verboden wanneer deze nooit daadwerkelijk betaald zijn door een schuldeiser. Hierdoor zal herexecutie minder als verdienmodel worden gebruikt. De afgelopen periode lag de prioriteit bij het uitwerken van het collectief afbetalingsplan en de zorgplicht gerechtsdeurwaarders. In de tweede helft van 2025 wil ik ook een start maken met de uitwerking van de andere maatregelen. Een ander belangrijk aspect waarnaar gekeken wordt is de kostenoploop. In dat kader wordt ook gekeken naar de oplopende rente.</w:t>
      </w:r>
    </w:p>
    <w:p w:rsidRPr="00ED5FF0" w:rsidR="00567E31" w:rsidP="00567E31" w:rsidRDefault="00567E31" w14:paraId="5C0A5E40" w14:textId="77777777"/>
    <w:p w:rsidRPr="00ED5FF0" w:rsidR="00567E31" w:rsidP="00567E31" w:rsidRDefault="00567E31" w14:paraId="14CE9EE2" w14:textId="77777777">
      <w:pPr>
        <w:rPr>
          <w:b/>
          <w:bCs/>
        </w:rPr>
      </w:pPr>
      <w:bookmarkStart w:name="_Hlk196824710" w:id="1"/>
      <w:r>
        <w:rPr>
          <w:b/>
          <w:bCs/>
        </w:rPr>
        <w:t xml:space="preserve">Vraag </w:t>
      </w:r>
      <w:r w:rsidRPr="00ED5FF0">
        <w:rPr>
          <w:b/>
          <w:bCs/>
        </w:rPr>
        <w:t>5</w:t>
      </w:r>
      <w:r w:rsidRPr="00ED5FF0">
        <w:rPr>
          <w:b/>
          <w:bCs/>
        </w:rPr>
        <w:tab/>
      </w:r>
    </w:p>
    <w:p w:rsidRPr="00ED5FF0" w:rsidR="00567E31" w:rsidP="00567E31" w:rsidRDefault="00567E31" w14:paraId="55B21194" w14:textId="77777777">
      <w:pPr>
        <w:rPr>
          <w:b/>
          <w:bCs/>
        </w:rPr>
      </w:pPr>
      <w:r w:rsidRPr="00ED5FF0">
        <w:rPr>
          <w:b/>
          <w:bCs/>
        </w:rPr>
        <w:t>Op welke wijze geeft u invulling aan de doelstelling uit het Hoofdlijnenakkoord om de aanmanings- en incassokosten van de overheid fors omlaag te brengen en wanneer kan de Kamer hierover een voorstel verwachten?</w:t>
      </w:r>
    </w:p>
    <w:bookmarkEnd w:id="1"/>
    <w:p w:rsidR="00567E31" w:rsidP="00567E31" w:rsidRDefault="00567E31" w14:paraId="2B592D90" w14:textId="77777777"/>
    <w:p w:rsidRPr="00ED5FF0" w:rsidR="00567E31" w:rsidP="00567E31" w:rsidRDefault="00567E31" w14:paraId="1735BC24" w14:textId="77777777">
      <w:r>
        <w:rPr>
          <w:b/>
          <w:bCs/>
        </w:rPr>
        <w:t>Antwoord op vraag 5</w:t>
      </w:r>
    </w:p>
    <w:p w:rsidRPr="00ED5FF0" w:rsidR="00567E31" w:rsidP="00567E31" w:rsidRDefault="00567E31" w14:paraId="037F67DB" w14:textId="77777777">
      <w:r w:rsidRPr="00ED5FF0">
        <w:t>Het ministerie van Sociale Zaken en Werkgelegenheid onderzoekt samen met de betrokken departementen en de partijen in het samenwerkingsverband clustering Rijksincasso</w:t>
      </w:r>
      <w:r w:rsidRPr="00ED5FF0">
        <w:rPr>
          <w:rStyle w:val="Voetnootmarkering"/>
        </w:rPr>
        <w:footnoteReference w:id="6"/>
      </w:r>
      <w:r w:rsidRPr="00ED5FF0">
        <w:t xml:space="preserve"> de doelmatigheid van de ophogingen die tijdens het </w:t>
      </w:r>
      <w:r w:rsidRPr="00ED5FF0">
        <w:lastRenderedPageBreak/>
        <w:t>invorderingstraject kunnen ontstaan. De uitkomst van dit onderzoek wordt in juli verwacht. De kabinetsreactie volgt na de zomer. In de kabinetsreactie wordt ook ingegaan op het onderzoek naar aanleiding van de motie van de leden Welzijn en Ceder over het omdraaien van de toerekenvolgorde voor publieke schuldeisers.</w:t>
      </w:r>
      <w:r w:rsidRPr="00ED5FF0">
        <w:rPr>
          <w:rStyle w:val="Voetnootmarkering"/>
        </w:rPr>
        <w:footnoteReference w:id="7"/>
      </w:r>
      <w:r w:rsidRPr="00ED5FF0">
        <w:t xml:space="preserve"> </w:t>
      </w:r>
    </w:p>
    <w:p w:rsidRPr="00ED5FF0" w:rsidR="00567E31" w:rsidP="00567E31" w:rsidRDefault="00567E31" w14:paraId="092F8CDE" w14:textId="77777777">
      <w:pPr>
        <w:rPr>
          <w:b/>
          <w:bCs/>
        </w:rPr>
      </w:pPr>
    </w:p>
    <w:p w:rsidRPr="00ED5FF0" w:rsidR="00567E31" w:rsidP="00567E31" w:rsidRDefault="00567E31" w14:paraId="003BD45A" w14:textId="77777777">
      <w:pPr>
        <w:rPr>
          <w:b/>
          <w:bCs/>
        </w:rPr>
      </w:pPr>
      <w:r>
        <w:rPr>
          <w:b/>
          <w:bCs/>
        </w:rPr>
        <w:t xml:space="preserve">Vraag </w:t>
      </w:r>
      <w:r w:rsidRPr="00ED5FF0">
        <w:rPr>
          <w:b/>
          <w:bCs/>
        </w:rPr>
        <w:t>6</w:t>
      </w:r>
      <w:r w:rsidRPr="00ED5FF0">
        <w:rPr>
          <w:b/>
          <w:bCs/>
        </w:rPr>
        <w:tab/>
      </w:r>
    </w:p>
    <w:p w:rsidRPr="00ED5FF0" w:rsidR="00567E31" w:rsidP="00567E31" w:rsidRDefault="00567E31" w14:paraId="124E40E9" w14:textId="77777777">
      <w:pPr>
        <w:rPr>
          <w:b/>
          <w:bCs/>
        </w:rPr>
      </w:pPr>
      <w:r w:rsidRPr="00ED5FF0">
        <w:rPr>
          <w:b/>
          <w:bCs/>
        </w:rPr>
        <w:t>Signaleert u, of uw samenwerkingspartners in het veld, reeds effecten van de op 1 april 2024 in werking getreden Wet kwaliteit incassodienstverlening (hierna: WKI)? Zo ja, welke?</w:t>
      </w:r>
    </w:p>
    <w:p w:rsidR="00567E31" w:rsidP="00567E31" w:rsidRDefault="00567E31" w14:paraId="5F1CF7AC" w14:textId="77777777">
      <w:pPr>
        <w:rPr>
          <w:b/>
          <w:bCs/>
        </w:rPr>
      </w:pPr>
    </w:p>
    <w:p w:rsidRPr="00ED5FF0" w:rsidR="00567E31" w:rsidP="00567E31" w:rsidRDefault="00567E31" w14:paraId="75565F33" w14:textId="77777777">
      <w:pPr>
        <w:rPr>
          <w:b/>
          <w:bCs/>
        </w:rPr>
      </w:pPr>
      <w:r>
        <w:rPr>
          <w:b/>
          <w:bCs/>
        </w:rPr>
        <w:t>Antwoord op vraag 6</w:t>
      </w:r>
    </w:p>
    <w:p w:rsidRPr="00ED5FF0" w:rsidR="00567E31" w:rsidP="00567E31" w:rsidRDefault="00567E31" w14:paraId="0D8F1227" w14:textId="77777777">
      <w:r w:rsidRPr="00ED5FF0">
        <w:t>Op 28 maart jl. heb ik uw Kamer geïnformeerd over de invoeringstoets Wki.</w:t>
      </w:r>
      <w:r w:rsidRPr="00ED5FF0">
        <w:rPr>
          <w:rStyle w:val="Voetnootmarkering"/>
        </w:rPr>
        <w:footnoteReference w:id="8"/>
      </w:r>
      <w:r w:rsidRPr="00ED5FF0">
        <w:t xml:space="preserve"> Zoals daarbij aangegeven heeft het tijd nodig voordat de mate van effectiviteit van de nieuwe regelgeving blijkt en er significante ontwikkelingen merkbaar zijn. Het afgelopen jaar zijn door mijn ministerie samen met de incassobranche verschillende ervaringen opgedaan met de Wki. De hierbij reeds ontvangen signalen en een bestudering van de werking van de Wki in de praktijk</w:t>
      </w:r>
      <w:r w:rsidRPr="00ED5FF0" w:rsidDel="00AC078E">
        <w:t xml:space="preserve"> </w:t>
      </w:r>
      <w:r w:rsidRPr="00ED5FF0">
        <w:t>neem ik mee in de invoeringstoets. Met de inwerkingtreding van de Wki is er een eerste stap gezet om de kwaliteit van incassodienstverlening te verbeteren en mensen met schulden beter te beschermen. Ik verwacht de resultaten van de invoeringstoets in het vierde kwartaal van dit jaar met u te kunnen delen.</w:t>
      </w:r>
    </w:p>
    <w:p w:rsidRPr="00ED5FF0" w:rsidR="00567E31" w:rsidP="00567E31" w:rsidRDefault="00567E31" w14:paraId="44B827ED" w14:textId="77777777">
      <w:pPr>
        <w:rPr>
          <w:b/>
          <w:bCs/>
        </w:rPr>
      </w:pPr>
    </w:p>
    <w:p w:rsidRPr="00ED5FF0" w:rsidR="00567E31" w:rsidP="00567E31" w:rsidRDefault="00567E31" w14:paraId="67E08D0E" w14:textId="77777777">
      <w:pPr>
        <w:rPr>
          <w:b/>
          <w:bCs/>
        </w:rPr>
      </w:pPr>
      <w:r>
        <w:rPr>
          <w:b/>
          <w:bCs/>
        </w:rPr>
        <w:t xml:space="preserve">Vraag </w:t>
      </w:r>
      <w:r w:rsidRPr="00ED5FF0">
        <w:rPr>
          <w:b/>
          <w:bCs/>
        </w:rPr>
        <w:t>7</w:t>
      </w:r>
      <w:r w:rsidRPr="00ED5FF0">
        <w:rPr>
          <w:b/>
          <w:bCs/>
        </w:rPr>
        <w:tab/>
      </w:r>
    </w:p>
    <w:p w:rsidRPr="00ED5FF0" w:rsidR="00567E31" w:rsidP="00567E31" w:rsidRDefault="00567E31" w14:paraId="2C9049BF" w14:textId="77777777">
      <w:pPr>
        <w:rPr>
          <w:b/>
          <w:bCs/>
        </w:rPr>
      </w:pPr>
      <w:r w:rsidRPr="00ED5FF0">
        <w:rPr>
          <w:b/>
          <w:bCs/>
        </w:rPr>
        <w:t>Hoeveel bedrijven hebben zich inmiddels ingeschreven in het register incassodienstverlening? Hoeveel registratieaanvragen worden nog verwerkt?</w:t>
      </w:r>
    </w:p>
    <w:p w:rsidR="00567E31" w:rsidP="00567E31" w:rsidRDefault="00567E31" w14:paraId="366A014C" w14:textId="77777777">
      <w:pPr>
        <w:rPr>
          <w:b/>
          <w:bCs/>
        </w:rPr>
      </w:pPr>
    </w:p>
    <w:p w:rsidRPr="00ED5FF0" w:rsidR="00567E31" w:rsidP="00567E31" w:rsidRDefault="00567E31" w14:paraId="1BC0A371" w14:textId="77777777">
      <w:pPr>
        <w:rPr>
          <w:b/>
          <w:bCs/>
        </w:rPr>
      </w:pPr>
      <w:r>
        <w:rPr>
          <w:b/>
          <w:bCs/>
        </w:rPr>
        <w:t>Antwoord op vraag 7</w:t>
      </w:r>
    </w:p>
    <w:p w:rsidRPr="00ED5FF0" w:rsidR="00567E31" w:rsidP="00567E31" w:rsidRDefault="00567E31" w14:paraId="484AEFEE" w14:textId="77777777">
      <w:r w:rsidRPr="00ED5FF0">
        <w:t>Op 13 mei 2025 staan er 205 incassodienstverleners ingeschreven in het register incassodienstverlening. Daarnaast waren er op dat moment nog 50 aanvragen in behandeling.</w:t>
      </w:r>
    </w:p>
    <w:p w:rsidRPr="00ED5FF0" w:rsidR="00567E31" w:rsidP="00567E31" w:rsidRDefault="00567E31" w14:paraId="7DE35B0B" w14:textId="77777777">
      <w:pPr>
        <w:rPr>
          <w:b/>
          <w:bCs/>
        </w:rPr>
      </w:pPr>
    </w:p>
    <w:p w:rsidRPr="00ED5FF0" w:rsidR="00567E31" w:rsidP="00567E31" w:rsidRDefault="00567E31" w14:paraId="1628B02E" w14:textId="77777777">
      <w:pPr>
        <w:rPr>
          <w:b/>
          <w:bCs/>
        </w:rPr>
      </w:pPr>
      <w:r>
        <w:rPr>
          <w:b/>
          <w:bCs/>
        </w:rPr>
        <w:t xml:space="preserve">Vraag </w:t>
      </w:r>
      <w:r w:rsidRPr="00ED5FF0">
        <w:rPr>
          <w:b/>
          <w:bCs/>
        </w:rPr>
        <w:t>8</w:t>
      </w:r>
      <w:r w:rsidRPr="00ED5FF0">
        <w:rPr>
          <w:b/>
          <w:bCs/>
        </w:rPr>
        <w:tab/>
      </w:r>
    </w:p>
    <w:p w:rsidRPr="00ED5FF0" w:rsidR="00567E31" w:rsidP="00567E31" w:rsidRDefault="00567E31" w14:paraId="31FB9FDD" w14:textId="77777777">
      <w:pPr>
        <w:rPr>
          <w:b/>
          <w:bCs/>
        </w:rPr>
      </w:pPr>
      <w:r w:rsidRPr="00ED5FF0">
        <w:rPr>
          <w:b/>
          <w:bCs/>
        </w:rPr>
        <w:t>Zijn er al signalen van bedrijven die incassowerkzaamheden uitvoeren en binnen de reikwijdte aanvallen maar geen aanvraag hebben gedaan conform de WKI?</w:t>
      </w:r>
    </w:p>
    <w:p w:rsidR="00567E31" w:rsidP="00567E31" w:rsidRDefault="00567E31" w14:paraId="1D30C23F" w14:textId="77777777">
      <w:pPr>
        <w:rPr>
          <w:b/>
          <w:bCs/>
        </w:rPr>
      </w:pPr>
    </w:p>
    <w:p w:rsidRPr="00ED5FF0" w:rsidR="00567E31" w:rsidP="00567E31" w:rsidRDefault="00567E31" w14:paraId="7298A002" w14:textId="77777777">
      <w:pPr>
        <w:rPr>
          <w:b/>
          <w:bCs/>
        </w:rPr>
      </w:pPr>
      <w:r>
        <w:rPr>
          <w:b/>
          <w:bCs/>
        </w:rPr>
        <w:t>Antwoord op vraag 8</w:t>
      </w:r>
    </w:p>
    <w:p w:rsidRPr="00ED5FF0" w:rsidR="00567E31" w:rsidP="00567E31" w:rsidRDefault="00567E31" w14:paraId="643F649C" w14:textId="77777777">
      <w:bookmarkStart w:name="_Hlk198123783" w:id="2"/>
      <w:r w:rsidRPr="00ED5FF0">
        <w:t>Uit eerder onderzoek is gebleken dat in 2021 bij benadering ruim 550 incassobureaus actief waren in de incassobranche.</w:t>
      </w:r>
      <w:r w:rsidRPr="00ED5FF0">
        <w:rPr>
          <w:rStyle w:val="Voetnootmarkering"/>
        </w:rPr>
        <w:footnoteReference w:id="9"/>
      </w:r>
      <w:r w:rsidRPr="00ED5FF0">
        <w:t xml:space="preserve"> Niet al deze partijen hebben zich op dit moment ingeschreven in het register incassodienstverlening. Een aantal partijen kunnen gestopt zijn met het verrichten van incassowerkzaamheden, maar ik veronderstel dat dit niet voor alle bedrijven van toepassing is. Ik heb vanuit vertegenwoordigers van de incassosector vernomen dat zij het beeld hebben dat er partijen zijn die zich nog niet hebben geregistreerd, maar wel incassowerkzaamheden verrichten. Daarnaast heeft de Inspectie Justitie en Veiligheid signalen ontvangen dat er partijen zijn die incassowerkzaamheden aanbieden en/of verrichten, maar op dit moment nog niet zijn ingeschreven. De Inspectie Justitie en Veiligheid heeft in haar toezicht nadrukkelijk aandacht voor deze partijen en kan indien nodig handhavend optreden. </w:t>
      </w:r>
      <w:bookmarkEnd w:id="2"/>
      <w:r w:rsidRPr="00ED5FF0">
        <w:t>Verder kan tegen wie zonder registratie buitengerechtelijke werkzaamheden verricht of aanbiedt, strafrechtelijk worden opgetreden door politie en het Openbaar Ministerie omdat het een economisch strafbaar delict is.</w:t>
      </w:r>
      <w:r w:rsidRPr="00ED5FF0">
        <w:rPr>
          <w:rStyle w:val="Voetnootmarkering"/>
        </w:rPr>
        <w:footnoteReference w:id="10"/>
      </w:r>
    </w:p>
    <w:p w:rsidRPr="00ED5FF0" w:rsidR="00567E31" w:rsidP="00567E31" w:rsidRDefault="00567E31" w14:paraId="6F03A67C" w14:textId="77777777">
      <w:pPr>
        <w:rPr>
          <w:b/>
          <w:bCs/>
        </w:rPr>
      </w:pPr>
    </w:p>
    <w:p w:rsidRPr="00ED5FF0" w:rsidR="00567E31" w:rsidP="00567E31" w:rsidRDefault="00567E31" w14:paraId="7A16DFE0" w14:textId="77777777">
      <w:pPr>
        <w:rPr>
          <w:b/>
          <w:bCs/>
        </w:rPr>
      </w:pPr>
      <w:r>
        <w:rPr>
          <w:b/>
          <w:bCs/>
        </w:rPr>
        <w:t xml:space="preserve">Vraag </w:t>
      </w:r>
      <w:r w:rsidRPr="00ED5FF0">
        <w:rPr>
          <w:b/>
          <w:bCs/>
        </w:rPr>
        <w:t>9</w:t>
      </w:r>
      <w:r w:rsidRPr="00ED5FF0">
        <w:rPr>
          <w:b/>
          <w:bCs/>
        </w:rPr>
        <w:tab/>
      </w:r>
    </w:p>
    <w:p w:rsidRPr="00ED5FF0" w:rsidR="00567E31" w:rsidP="00567E31" w:rsidRDefault="00567E31" w14:paraId="5A9785E4" w14:textId="77777777">
      <w:pPr>
        <w:rPr>
          <w:b/>
          <w:bCs/>
        </w:rPr>
      </w:pPr>
      <w:r w:rsidRPr="00ED5FF0">
        <w:rPr>
          <w:b/>
          <w:bCs/>
        </w:rPr>
        <w:t>Klopt het dat ook Buy Now, Pay Later bedrijven (BNPL) onder de reikwijdte van de WKI vallen? Zo ja, kunt u aangeven of alle BNPL-bedrijven inmiddels voldoen aan de WKI of een aanvraag hebben lopen? Zo nee, wat is daar de oorzaak van en hoe acteert het u hierop?</w:t>
      </w:r>
    </w:p>
    <w:p w:rsidR="00567E31" w:rsidP="00567E31" w:rsidRDefault="00567E31" w14:paraId="01F85CDD" w14:textId="77777777">
      <w:pPr>
        <w:rPr>
          <w:b/>
          <w:bCs/>
        </w:rPr>
      </w:pPr>
    </w:p>
    <w:p w:rsidRPr="00ED5FF0" w:rsidR="00567E31" w:rsidP="00567E31" w:rsidRDefault="00567E31" w14:paraId="300F4661" w14:textId="77777777">
      <w:pPr>
        <w:rPr>
          <w:b/>
          <w:bCs/>
        </w:rPr>
      </w:pPr>
      <w:r>
        <w:rPr>
          <w:b/>
          <w:bCs/>
        </w:rPr>
        <w:t>Antwoord op vraag 9</w:t>
      </w:r>
    </w:p>
    <w:p w:rsidRPr="00ED5FF0" w:rsidR="00567E31" w:rsidP="00567E31" w:rsidRDefault="00567E31" w14:paraId="550BC4A4" w14:textId="77777777">
      <w:r w:rsidRPr="00ED5FF0">
        <w:t xml:space="preserve">Het is afhankelijk van de omstandigheden of Buy Now, Pay Later (BNPL) bedrijven onder de reikwijdte van de Wki vallen. Zoals ook aangegeven in het vragenuur van 4 april 2023 is dit het geval wanneer de aanbieder geen eigenaar van de vordering is, maar wel voor de eigenaar van de vordering buitengerechtelijke </w:t>
      </w:r>
      <w:r w:rsidRPr="00ED5FF0">
        <w:lastRenderedPageBreak/>
        <w:t>incassowerkzaamheden verricht. Het kan in een aantal gevallen zo zijn dat BNPL in zijn geheel onder de Wki valt; dat is afhankelijk van hoe de overdracht van de vordering in individuele gevallen is ingeregeld.</w:t>
      </w:r>
      <w:r w:rsidRPr="00ED5FF0">
        <w:rPr>
          <w:rStyle w:val="Voetnootmarkering"/>
        </w:rPr>
        <w:footnoteReference w:id="11"/>
      </w:r>
      <w:r w:rsidRPr="00ED5FF0">
        <w:t xml:space="preserve"> Inmiddels is een aantal BNPL-partijen reeds ingeschreven in het Register Incassodienstverlening.</w:t>
      </w:r>
    </w:p>
    <w:p w:rsidRPr="00ED5FF0" w:rsidR="00567E31" w:rsidP="00567E31" w:rsidRDefault="00567E31" w14:paraId="3F83AA69" w14:textId="77777777"/>
    <w:p w:rsidR="00567E31" w:rsidP="00567E31" w:rsidRDefault="00567E31" w14:paraId="392D4806" w14:textId="56641ED7">
      <w:pPr>
        <w:pStyle w:val="Lijstalinea"/>
        <w:numPr>
          <w:ilvl w:val="0"/>
          <w:numId w:val="1"/>
        </w:numPr>
      </w:pPr>
      <w:r w:rsidRPr="00ED5FF0">
        <w:t>VNG, 13 maart 2025, Naar een mensgericht en rechtvaardig incassosysteem) vng.nl/nieuws/naar-een-mensgericht-en-rechtvaardig-incassosysteem).</w:t>
      </w:r>
    </w:p>
    <w:p w:rsidR="00567E31" w:rsidP="00567E31" w:rsidRDefault="00567E31" w14:paraId="1930EBC5" w14:textId="77777777"/>
    <w:p w:rsidR="00567E31" w:rsidP="00567E31" w:rsidRDefault="00567E31" w14:paraId="04D19307" w14:textId="77777777"/>
    <w:p w:rsidR="00567E31" w:rsidP="00567E31" w:rsidRDefault="00567E31" w14:paraId="77021854" w14:textId="77777777"/>
    <w:p w:rsidR="00567E31" w:rsidP="00567E31" w:rsidRDefault="00567E31" w14:paraId="266C55D7" w14:textId="77777777"/>
    <w:p w:rsidR="00567E31" w:rsidP="00567E31" w:rsidRDefault="00567E31" w14:paraId="2525CE62" w14:textId="77777777"/>
    <w:p w:rsidR="00EE0CB4" w:rsidRDefault="00EE0CB4" w14:paraId="366B3EB3" w14:textId="77777777"/>
    <w:sectPr w:rsidR="00EE0CB4" w:rsidSect="00567E31">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D7CB" w14:textId="77777777" w:rsidR="00567E31" w:rsidRDefault="00567E31" w:rsidP="00567E31">
      <w:pPr>
        <w:spacing w:after="0" w:line="240" w:lineRule="auto"/>
      </w:pPr>
      <w:r>
        <w:separator/>
      </w:r>
    </w:p>
  </w:endnote>
  <w:endnote w:type="continuationSeparator" w:id="0">
    <w:p w14:paraId="3C9E04AE" w14:textId="77777777" w:rsidR="00567E31" w:rsidRDefault="00567E31" w:rsidP="0056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E11D" w14:textId="77777777" w:rsidR="00567E31" w:rsidRPr="00567E31" w:rsidRDefault="00567E31" w:rsidP="00567E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0675" w14:textId="77777777" w:rsidR="00567E31" w:rsidRPr="00567E31" w:rsidRDefault="00567E31" w:rsidP="00567E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7A1C" w14:textId="77777777" w:rsidR="00567E31" w:rsidRPr="00567E31" w:rsidRDefault="00567E31" w:rsidP="00567E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33A3" w14:textId="77777777" w:rsidR="00567E31" w:rsidRDefault="00567E31" w:rsidP="00567E31">
      <w:pPr>
        <w:spacing w:after="0" w:line="240" w:lineRule="auto"/>
      </w:pPr>
      <w:r>
        <w:separator/>
      </w:r>
    </w:p>
  </w:footnote>
  <w:footnote w:type="continuationSeparator" w:id="0">
    <w:p w14:paraId="6CED38D4" w14:textId="77777777" w:rsidR="00567E31" w:rsidRDefault="00567E31" w:rsidP="00567E31">
      <w:pPr>
        <w:spacing w:after="0" w:line="240" w:lineRule="auto"/>
      </w:pPr>
      <w:r>
        <w:continuationSeparator/>
      </w:r>
    </w:p>
  </w:footnote>
  <w:footnote w:id="1">
    <w:p w14:paraId="099B7D70" w14:textId="77777777" w:rsidR="00567E31" w:rsidRPr="00D43B47" w:rsidRDefault="00567E31" w:rsidP="00567E31">
      <w:pPr>
        <w:pStyle w:val="Voetnoottekst"/>
        <w:rPr>
          <w:sz w:val="16"/>
          <w:szCs w:val="16"/>
        </w:rPr>
      </w:pPr>
      <w:r w:rsidRPr="00D43B47">
        <w:rPr>
          <w:rStyle w:val="Voetnootmarkering"/>
          <w:sz w:val="16"/>
          <w:szCs w:val="16"/>
        </w:rPr>
        <w:footnoteRef/>
      </w:r>
      <w:r w:rsidRPr="00D43B47">
        <w:rPr>
          <w:sz w:val="16"/>
          <w:szCs w:val="16"/>
        </w:rPr>
        <w:t xml:space="preserve"> Kamerstukken II, 2024/25, 24 515, nr. 770</w:t>
      </w:r>
    </w:p>
  </w:footnote>
  <w:footnote w:id="2">
    <w:p w14:paraId="2D27DD99" w14:textId="77777777" w:rsidR="00567E31" w:rsidRDefault="00567E31" w:rsidP="00567E31">
      <w:pPr>
        <w:pStyle w:val="Voetnoottekst"/>
      </w:pPr>
      <w:r w:rsidRPr="00D43B47">
        <w:rPr>
          <w:rStyle w:val="Voetnootmarkering"/>
          <w:sz w:val="16"/>
          <w:szCs w:val="16"/>
        </w:rPr>
        <w:footnoteRef/>
      </w:r>
      <w:r w:rsidRPr="00D43B47">
        <w:rPr>
          <w:sz w:val="16"/>
          <w:szCs w:val="16"/>
        </w:rPr>
        <w:t xml:space="preserve"> Kamerstukken II, 2023/24,24 515, nr. 767</w:t>
      </w:r>
      <w:r>
        <w:rPr>
          <w:sz w:val="16"/>
          <w:szCs w:val="16"/>
        </w:rPr>
        <w:t xml:space="preserve"> </w:t>
      </w:r>
    </w:p>
  </w:footnote>
  <w:footnote w:id="3">
    <w:p w14:paraId="6D6CFAFD" w14:textId="77777777" w:rsidR="00567E31" w:rsidRPr="001625BE" w:rsidRDefault="00567E31" w:rsidP="00567E31">
      <w:pPr>
        <w:pStyle w:val="Voetnoottekst"/>
        <w:rPr>
          <w:sz w:val="16"/>
          <w:szCs w:val="16"/>
        </w:rPr>
      </w:pPr>
      <w:r w:rsidRPr="001625BE">
        <w:rPr>
          <w:rStyle w:val="Voetnootmarkering"/>
          <w:sz w:val="16"/>
          <w:szCs w:val="16"/>
        </w:rPr>
        <w:footnoteRef/>
      </w:r>
      <w:r w:rsidRPr="001625BE">
        <w:rPr>
          <w:sz w:val="16"/>
          <w:szCs w:val="16"/>
        </w:rPr>
        <w:t xml:space="preserve"> Kamerstukken II 2023/24, 24 515, nr. 767</w:t>
      </w:r>
    </w:p>
  </w:footnote>
  <w:footnote w:id="4">
    <w:p w14:paraId="08E5B5E6" w14:textId="77777777" w:rsidR="00567E31" w:rsidRDefault="00567E31" w:rsidP="00567E31">
      <w:pPr>
        <w:pStyle w:val="Voetnoottekst"/>
      </w:pPr>
      <w:r w:rsidRPr="001625BE">
        <w:rPr>
          <w:rStyle w:val="Voetnootmarkering"/>
          <w:sz w:val="16"/>
          <w:szCs w:val="16"/>
        </w:rPr>
        <w:footnoteRef/>
      </w:r>
      <w:r w:rsidRPr="001625BE">
        <w:rPr>
          <w:sz w:val="16"/>
          <w:szCs w:val="16"/>
        </w:rPr>
        <w:t xml:space="preserve"> </w:t>
      </w:r>
      <w:r>
        <w:rPr>
          <w:sz w:val="16"/>
          <w:szCs w:val="16"/>
        </w:rPr>
        <w:t>Brief aanpak civiele invordering, d.d. 20 mei 2025</w:t>
      </w:r>
    </w:p>
  </w:footnote>
  <w:footnote w:id="5">
    <w:p w14:paraId="6F7FE0F0" w14:textId="77777777" w:rsidR="00567E31" w:rsidRPr="006226C5" w:rsidRDefault="00567E31" w:rsidP="00567E31">
      <w:pPr>
        <w:pStyle w:val="Voetnoottekst"/>
        <w:rPr>
          <w:sz w:val="16"/>
          <w:szCs w:val="16"/>
        </w:rPr>
      </w:pPr>
      <w:r w:rsidRPr="006226C5">
        <w:rPr>
          <w:rStyle w:val="Voetnootmarkering"/>
          <w:sz w:val="16"/>
          <w:szCs w:val="16"/>
        </w:rPr>
        <w:footnoteRef/>
      </w:r>
      <w:r w:rsidRPr="006226C5">
        <w:rPr>
          <w:sz w:val="16"/>
          <w:szCs w:val="16"/>
        </w:rPr>
        <w:t xml:space="preserve"> Kamerstukken II, 2023/24, 24 515, nr. 757</w:t>
      </w:r>
    </w:p>
  </w:footnote>
  <w:footnote w:id="6">
    <w:p w14:paraId="17E553B9" w14:textId="77777777" w:rsidR="00567E31" w:rsidRPr="00270665" w:rsidRDefault="00567E31" w:rsidP="00567E31">
      <w:pPr>
        <w:pStyle w:val="Voetnoottekst"/>
        <w:rPr>
          <w:sz w:val="16"/>
          <w:szCs w:val="16"/>
        </w:rPr>
      </w:pPr>
      <w:r w:rsidRPr="00D23DF4">
        <w:rPr>
          <w:rStyle w:val="Voetnootmarkering"/>
          <w:sz w:val="16"/>
          <w:szCs w:val="16"/>
        </w:rPr>
        <w:footnoteRef/>
      </w:r>
      <w:r>
        <w:t xml:space="preserve"> </w:t>
      </w:r>
      <w:r w:rsidRPr="00270665">
        <w:rPr>
          <w:sz w:val="16"/>
          <w:szCs w:val="16"/>
        </w:rPr>
        <w:t>Bestaande uit: Belastingdienst, het CAK, Het Centraal Justitieel Incassobureau (CJIB), de Dienst Uitvoering Onderwijs (DUO), Rijksdienst voor Ondernemend Nederland (RVO), de Sociale Verzekeringsbank (SVB), Dienst Toeslagen en het Uitvoeringsinstituut Werknemersverzekeringen (UWV).</w:t>
      </w:r>
    </w:p>
  </w:footnote>
  <w:footnote w:id="7">
    <w:p w14:paraId="53C98F7C" w14:textId="77777777" w:rsidR="00567E31" w:rsidRPr="00D23DF4" w:rsidRDefault="00567E31" w:rsidP="00567E31">
      <w:pPr>
        <w:pStyle w:val="Voetnoottekst"/>
        <w:rPr>
          <w:sz w:val="16"/>
          <w:szCs w:val="16"/>
        </w:rPr>
      </w:pPr>
      <w:r w:rsidRPr="00D23DF4">
        <w:rPr>
          <w:sz w:val="16"/>
          <w:szCs w:val="16"/>
          <w:vertAlign w:val="superscript"/>
        </w:rPr>
        <w:footnoteRef/>
      </w:r>
      <w:r w:rsidRPr="00D23DF4">
        <w:rPr>
          <w:sz w:val="16"/>
          <w:szCs w:val="16"/>
        </w:rPr>
        <w:t xml:space="preserve"> Kamerstukken II, 2024/25, 24 515, nr. 776.</w:t>
      </w:r>
    </w:p>
  </w:footnote>
  <w:footnote w:id="8">
    <w:p w14:paraId="7692797C" w14:textId="77777777" w:rsidR="00567E31" w:rsidRPr="00D43B47" w:rsidRDefault="00567E31" w:rsidP="00567E31">
      <w:pPr>
        <w:pStyle w:val="Voetnoottekst"/>
        <w:rPr>
          <w:sz w:val="16"/>
          <w:szCs w:val="16"/>
        </w:rPr>
      </w:pPr>
      <w:r w:rsidRPr="00D43B47">
        <w:rPr>
          <w:rStyle w:val="Voetnootmarkering"/>
          <w:sz w:val="16"/>
          <w:szCs w:val="16"/>
        </w:rPr>
        <w:footnoteRef/>
      </w:r>
      <w:r w:rsidRPr="00D43B47">
        <w:rPr>
          <w:sz w:val="16"/>
          <w:szCs w:val="16"/>
        </w:rPr>
        <w:t xml:space="preserve"> Kamerstukken II, 2024/25, 35 733, nr. 18</w:t>
      </w:r>
    </w:p>
  </w:footnote>
  <w:footnote w:id="9">
    <w:p w14:paraId="6C4B8A66" w14:textId="77777777" w:rsidR="00567E31" w:rsidRPr="00D43B47" w:rsidRDefault="00567E31" w:rsidP="00567E31">
      <w:pPr>
        <w:pStyle w:val="Voetnoottekst"/>
        <w:rPr>
          <w:sz w:val="16"/>
          <w:szCs w:val="16"/>
        </w:rPr>
      </w:pPr>
      <w:r w:rsidRPr="00D43B47">
        <w:rPr>
          <w:rStyle w:val="Voetnootmarkering"/>
          <w:sz w:val="16"/>
          <w:szCs w:val="16"/>
        </w:rPr>
        <w:footnoteRef/>
      </w:r>
      <w:r w:rsidRPr="00D43B47">
        <w:rPr>
          <w:sz w:val="16"/>
          <w:szCs w:val="16"/>
        </w:rPr>
        <w:t xml:space="preserve"> SEO, Marktonderzoek incassobranche, 2022</w:t>
      </w:r>
    </w:p>
  </w:footnote>
  <w:footnote w:id="10">
    <w:p w14:paraId="29094ABD" w14:textId="77777777" w:rsidR="00567E31" w:rsidRDefault="00567E31" w:rsidP="00567E31">
      <w:pPr>
        <w:pStyle w:val="Voetnoottekst"/>
      </w:pPr>
      <w:r w:rsidRPr="00D43B47">
        <w:rPr>
          <w:rStyle w:val="Voetnootmarkering"/>
          <w:sz w:val="16"/>
          <w:szCs w:val="16"/>
        </w:rPr>
        <w:footnoteRef/>
      </w:r>
      <w:r w:rsidRPr="00D43B47">
        <w:rPr>
          <w:sz w:val="16"/>
          <w:szCs w:val="16"/>
        </w:rPr>
        <w:t xml:space="preserve"> Artikel 25 Wet kwaliteit incassodienstverlening</w:t>
      </w:r>
    </w:p>
  </w:footnote>
  <w:footnote w:id="11">
    <w:p w14:paraId="64850CD9" w14:textId="77777777" w:rsidR="00567E31" w:rsidRDefault="00567E31" w:rsidP="00567E31">
      <w:pPr>
        <w:pStyle w:val="Voetnoottekst"/>
      </w:pPr>
      <w:r w:rsidRPr="00D65E00">
        <w:rPr>
          <w:rStyle w:val="Voetnootmarkering"/>
          <w:sz w:val="16"/>
          <w:szCs w:val="16"/>
        </w:rPr>
        <w:footnoteRef/>
      </w:r>
      <w:r w:rsidRPr="00D65E00">
        <w:rPr>
          <w:sz w:val="16"/>
          <w:szCs w:val="16"/>
        </w:rPr>
        <w:t xml:space="preserve"> Kamerstukken II, 2023/24, 27 879, nr. 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45CA" w14:textId="77777777" w:rsidR="00567E31" w:rsidRPr="00567E31" w:rsidRDefault="00567E31" w:rsidP="00567E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A208" w14:textId="77777777" w:rsidR="00567E31" w:rsidRPr="00567E31" w:rsidRDefault="00567E31" w:rsidP="00567E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0803" w14:textId="77777777" w:rsidR="00567E31" w:rsidRPr="00567E31" w:rsidRDefault="00567E31" w:rsidP="00567E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4B7B"/>
    <w:multiLevelType w:val="hybridMultilevel"/>
    <w:tmpl w:val="6AD024F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179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31"/>
    <w:rsid w:val="00567E31"/>
    <w:rsid w:val="00CB316B"/>
    <w:rsid w:val="00EE0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631D"/>
  <w15:chartTrackingRefBased/>
  <w15:docId w15:val="{655AE23C-FC41-42B2-9F8F-23FA932C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7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67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67E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67E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67E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67E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7E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7E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7E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7E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67E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67E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67E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67E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67E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7E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7E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7E31"/>
    <w:rPr>
      <w:rFonts w:eastAsiaTheme="majorEastAsia" w:cstheme="majorBidi"/>
      <w:color w:val="272727" w:themeColor="text1" w:themeTint="D8"/>
    </w:rPr>
  </w:style>
  <w:style w:type="paragraph" w:styleId="Titel">
    <w:name w:val="Title"/>
    <w:basedOn w:val="Standaard"/>
    <w:next w:val="Standaard"/>
    <w:link w:val="TitelChar"/>
    <w:uiPriority w:val="10"/>
    <w:qFormat/>
    <w:rsid w:val="00567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7E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7E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7E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7E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7E31"/>
    <w:rPr>
      <w:i/>
      <w:iCs/>
      <w:color w:val="404040" w:themeColor="text1" w:themeTint="BF"/>
    </w:rPr>
  </w:style>
  <w:style w:type="paragraph" w:styleId="Lijstalinea">
    <w:name w:val="List Paragraph"/>
    <w:basedOn w:val="Standaard"/>
    <w:uiPriority w:val="34"/>
    <w:qFormat/>
    <w:rsid w:val="00567E31"/>
    <w:pPr>
      <w:ind w:left="720"/>
      <w:contextualSpacing/>
    </w:pPr>
  </w:style>
  <w:style w:type="character" w:styleId="Intensievebenadrukking">
    <w:name w:val="Intense Emphasis"/>
    <w:basedOn w:val="Standaardalinea-lettertype"/>
    <w:uiPriority w:val="21"/>
    <w:qFormat/>
    <w:rsid w:val="00567E31"/>
    <w:rPr>
      <w:i/>
      <w:iCs/>
      <w:color w:val="2F5496" w:themeColor="accent1" w:themeShade="BF"/>
    </w:rPr>
  </w:style>
  <w:style w:type="paragraph" w:styleId="Duidelijkcitaat">
    <w:name w:val="Intense Quote"/>
    <w:basedOn w:val="Standaard"/>
    <w:next w:val="Standaard"/>
    <w:link w:val="DuidelijkcitaatChar"/>
    <w:uiPriority w:val="30"/>
    <w:qFormat/>
    <w:rsid w:val="00567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67E31"/>
    <w:rPr>
      <w:i/>
      <w:iCs/>
      <w:color w:val="2F5496" w:themeColor="accent1" w:themeShade="BF"/>
    </w:rPr>
  </w:style>
  <w:style w:type="character" w:styleId="Intensieveverwijzing">
    <w:name w:val="Intense Reference"/>
    <w:basedOn w:val="Standaardalinea-lettertype"/>
    <w:uiPriority w:val="32"/>
    <w:qFormat/>
    <w:rsid w:val="00567E31"/>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567E3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67E31"/>
    <w:rPr>
      <w:rFonts w:ascii="Verdana" w:eastAsia="DejaVu Sans" w:hAnsi="Verdana" w:cs="Lohit Hindi"/>
      <w:color w:val="000000"/>
      <w:kern w:val="0"/>
      <w:sz w:val="20"/>
      <w:szCs w:val="20"/>
      <w:lang w:eastAsia="nl-NL"/>
      <w14:ligatures w14:val="none"/>
    </w:rPr>
  </w:style>
  <w:style w:type="character" w:styleId="Voetnootmarkering">
    <w:name w:val="footnote reference"/>
    <w:aliases w:val="sobrescrito,Footnote Refernece,FR,FR1,FR11,FR2,FR21,FR3,FR4,FR5,FZ,Footnotemark,Footnotemark1,Footnotemark11,Footnotemark2,Footnotemark21,Footnotemark3,Footnotemark4,Footnotemark5,Footnotemark6,Footnotemark7,Footnotemark8,Ref,註腳內容"/>
    <w:basedOn w:val="Standaardalinea-lettertype"/>
    <w:uiPriority w:val="99"/>
    <w:semiHidden/>
    <w:unhideWhenUsed/>
    <w:rsid w:val="00567E31"/>
    <w:rPr>
      <w:vertAlign w:val="superscript"/>
    </w:rPr>
  </w:style>
  <w:style w:type="paragraph" w:styleId="Koptekst">
    <w:name w:val="header"/>
    <w:basedOn w:val="Standaard"/>
    <w:link w:val="KoptekstChar"/>
    <w:uiPriority w:val="99"/>
    <w:unhideWhenUsed/>
    <w:rsid w:val="00567E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7E31"/>
  </w:style>
  <w:style w:type="paragraph" w:styleId="Voettekst">
    <w:name w:val="footer"/>
    <w:basedOn w:val="Standaard"/>
    <w:link w:val="VoettekstChar"/>
    <w:uiPriority w:val="99"/>
    <w:unhideWhenUsed/>
    <w:rsid w:val="00567E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7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1783</ap:Words>
  <ap:Characters>9808</ap:Characters>
  <ap:DocSecurity>0</ap:DocSecurity>
  <ap:Lines>81</ap:Lines>
  <ap:Paragraphs>23</ap:Paragraphs>
  <ap:ScaleCrop>false</ap:ScaleCrop>
  <ap:LinksUpToDate>false</ap:LinksUpToDate>
  <ap:CharactersWithSpaces>11568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2025-05-21T13:46:00.0000000Z</dcterms:created>
  <dcterms:modified xsi:type="dcterms:W3CDTF">2025-05-21T13:48:00.0000000Z</dcterms:modified>
  <version/>
  <category/>
</coreProperties>
</file>