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Heading1"/>
        <w:spacing w:before="80" w:line="264" w:lineRule="auto"/>
      </w:pPr>
      <w:r>
        <w:rPr/>
        <w:t>VERSLAG VAN EEN SCHRIFTELIJK OVERLEG INZAKE HET BNC-FICHE WIJZIGING VERORDENING</w:t>
      </w:r>
      <w:r>
        <w:rPr>
          <w:spacing w:val="-7"/>
        </w:rPr>
        <w:t> </w:t>
      </w:r>
      <w:r>
        <w:rPr/>
        <w:t>CENTRALE</w:t>
      </w:r>
      <w:r>
        <w:rPr>
          <w:spacing w:val="-7"/>
        </w:rPr>
        <w:t> </w:t>
      </w:r>
      <w:r>
        <w:rPr/>
        <w:t>EFFECTENBEWAARINSTELLINGEN</w:t>
      </w:r>
      <w:r>
        <w:rPr>
          <w:spacing w:val="-7"/>
        </w:rPr>
        <w:t> </w:t>
      </w:r>
      <w:r>
        <w:rPr/>
        <w:t>INZAKE</w:t>
      </w:r>
      <w:r>
        <w:rPr>
          <w:spacing w:val="-7"/>
        </w:rPr>
        <w:t> </w:t>
      </w:r>
      <w:r>
        <w:rPr/>
        <w:t>EEN</w:t>
      </w:r>
      <w:r>
        <w:rPr>
          <w:spacing w:val="-6"/>
        </w:rPr>
        <w:t> </w:t>
      </w:r>
      <w:r>
        <w:rPr/>
        <w:t>KORTERE </w:t>
      </w:r>
      <w:r>
        <w:rPr>
          <w:spacing w:val="-2"/>
        </w:rPr>
        <w:t>AFWIKKELINGSCYCLUS</w:t>
      </w:r>
    </w:p>
    <w:p>
      <w:pPr>
        <w:pStyle w:val="BodyText"/>
        <w:spacing w:before="18"/>
        <w:rPr>
          <w:b/>
        </w:rPr>
      </w:pPr>
    </w:p>
    <w:p>
      <w:pPr>
        <w:spacing w:before="1"/>
        <w:ind w:left="120" w:right="0" w:firstLine="0"/>
        <w:jc w:val="left"/>
        <w:rPr>
          <w:b/>
          <w:sz w:val="18"/>
        </w:rPr>
      </w:pPr>
      <w:r>
        <w:rPr>
          <w:b/>
          <w:sz w:val="18"/>
        </w:rPr>
        <w:t>II</w:t>
      </w:r>
      <w:r>
        <w:rPr>
          <w:b/>
          <w:spacing w:val="-1"/>
          <w:sz w:val="18"/>
        </w:rPr>
        <w:t> </w:t>
      </w:r>
      <w:r>
        <w:rPr>
          <w:b/>
          <w:sz w:val="18"/>
        </w:rPr>
        <w:t>Reactie</w:t>
      </w:r>
      <w:r>
        <w:rPr>
          <w:b/>
          <w:spacing w:val="-2"/>
          <w:sz w:val="18"/>
        </w:rPr>
        <w:t> </w:t>
      </w:r>
      <w:r>
        <w:rPr>
          <w:b/>
          <w:sz w:val="18"/>
        </w:rPr>
        <w:t>van</w:t>
      </w:r>
      <w:r>
        <w:rPr>
          <w:b/>
          <w:spacing w:val="-3"/>
          <w:sz w:val="18"/>
        </w:rPr>
        <w:t> </w:t>
      </w:r>
      <w:r>
        <w:rPr>
          <w:b/>
          <w:sz w:val="18"/>
        </w:rPr>
        <w:t>de </w:t>
      </w:r>
      <w:r>
        <w:rPr>
          <w:b/>
          <w:spacing w:val="-2"/>
          <w:sz w:val="18"/>
        </w:rPr>
        <w:t>minister</w:t>
      </w:r>
    </w:p>
    <w:p>
      <w:pPr>
        <w:pStyle w:val="BodyText"/>
        <w:spacing w:before="42"/>
        <w:rPr>
          <w:b/>
        </w:rPr>
      </w:pPr>
    </w:p>
    <w:p>
      <w:pPr>
        <w:pStyle w:val="BodyText"/>
        <w:spacing w:line="264" w:lineRule="auto"/>
        <w:ind w:left="120" w:right="120"/>
      </w:pPr>
      <w:r>
        <w:rPr/>
        <w:t>Met belangstelling heb ik kennisgenomen van de vragen en opmerkingen van de leden van de fracties van VVD, NSC en BBB betreffende het BNC-fiche Wijziging verordening centrale effectenbewaarinstellingen inzake een kortere afwikkelingscyclus. Bij de volgorde van de beantwoording</w:t>
      </w:r>
      <w:r>
        <w:rPr>
          <w:spacing w:val="-3"/>
        </w:rPr>
        <w:t> </w:t>
      </w:r>
      <w:r>
        <w:rPr/>
        <w:t>is</w:t>
      </w:r>
      <w:r>
        <w:rPr>
          <w:spacing w:val="-3"/>
        </w:rPr>
        <w:t> </w:t>
      </w:r>
      <w:r>
        <w:rPr/>
        <w:t>de</w:t>
      </w:r>
      <w:r>
        <w:rPr>
          <w:spacing w:val="-3"/>
        </w:rPr>
        <w:t> </w:t>
      </w:r>
      <w:r>
        <w:rPr/>
        <w:t>volgorde</w:t>
      </w:r>
      <w:r>
        <w:rPr>
          <w:spacing w:val="-3"/>
        </w:rPr>
        <w:t> </w:t>
      </w:r>
      <w:r>
        <w:rPr/>
        <w:t>van</w:t>
      </w:r>
      <w:r>
        <w:rPr>
          <w:spacing w:val="-2"/>
        </w:rPr>
        <w:t> </w:t>
      </w:r>
      <w:r>
        <w:rPr/>
        <w:t>de</w:t>
      </w:r>
      <w:r>
        <w:rPr>
          <w:spacing w:val="-3"/>
        </w:rPr>
        <w:t> </w:t>
      </w:r>
      <w:r>
        <w:rPr/>
        <w:t>inbreng</w:t>
      </w:r>
      <w:r>
        <w:rPr>
          <w:spacing w:val="-3"/>
        </w:rPr>
        <w:t> </w:t>
      </w:r>
      <w:r>
        <w:rPr/>
        <w:t>van</w:t>
      </w:r>
      <w:r>
        <w:rPr>
          <w:spacing w:val="-2"/>
        </w:rPr>
        <w:t> </w:t>
      </w:r>
      <w:r>
        <w:rPr/>
        <w:t>het</w:t>
      </w:r>
      <w:r>
        <w:rPr>
          <w:spacing w:val="-2"/>
        </w:rPr>
        <w:t> </w:t>
      </w:r>
      <w:r>
        <w:rPr/>
        <w:t>schriftelijk</w:t>
      </w:r>
      <w:r>
        <w:rPr>
          <w:spacing w:val="-4"/>
        </w:rPr>
        <w:t> </w:t>
      </w:r>
      <w:r>
        <w:rPr/>
        <w:t>overleg</w:t>
      </w:r>
      <w:r>
        <w:rPr>
          <w:spacing w:val="-3"/>
        </w:rPr>
        <w:t> </w:t>
      </w:r>
      <w:r>
        <w:rPr/>
        <w:t>aangehouden,</w:t>
      </w:r>
      <w:r>
        <w:rPr>
          <w:spacing w:val="-4"/>
        </w:rPr>
        <w:t> </w:t>
      </w:r>
      <w:r>
        <w:rPr/>
        <w:t>waarbij indien gepast vragen gezamenlijk zijn beantwoord.</w:t>
      </w:r>
    </w:p>
    <w:p>
      <w:pPr>
        <w:pStyle w:val="BodyText"/>
        <w:spacing w:before="17"/>
      </w:pPr>
    </w:p>
    <w:p>
      <w:pPr>
        <w:pStyle w:val="Heading1"/>
        <w:spacing w:before="1"/>
      </w:pPr>
      <w:r>
        <w:rPr/>
        <w:t>Vragen</w:t>
      </w:r>
      <w:r>
        <w:rPr>
          <w:spacing w:val="-6"/>
        </w:rPr>
        <w:t> </w:t>
      </w:r>
      <w:r>
        <w:rPr/>
        <w:t>en</w:t>
      </w:r>
      <w:r>
        <w:rPr>
          <w:spacing w:val="-4"/>
        </w:rPr>
        <w:t> </w:t>
      </w:r>
      <w:r>
        <w:rPr/>
        <w:t>opmerkingen</w:t>
      </w:r>
      <w:r>
        <w:rPr>
          <w:spacing w:val="-1"/>
        </w:rPr>
        <w:t> </w:t>
      </w:r>
      <w:r>
        <w:rPr/>
        <w:t>van</w:t>
      </w:r>
      <w:r>
        <w:rPr>
          <w:spacing w:val="-3"/>
        </w:rPr>
        <w:t> </w:t>
      </w:r>
      <w:r>
        <w:rPr/>
        <w:t>de</w:t>
      </w:r>
      <w:r>
        <w:rPr>
          <w:spacing w:val="-2"/>
        </w:rPr>
        <w:t> </w:t>
      </w:r>
      <w:r>
        <w:rPr/>
        <w:t>leden</w:t>
      </w:r>
      <w:r>
        <w:rPr>
          <w:spacing w:val="-4"/>
        </w:rPr>
        <w:t> </w:t>
      </w:r>
      <w:r>
        <w:rPr/>
        <w:t>van</w:t>
      </w:r>
      <w:r>
        <w:rPr>
          <w:spacing w:val="-4"/>
        </w:rPr>
        <w:t> </w:t>
      </w:r>
      <w:r>
        <w:rPr/>
        <w:t>de</w:t>
      </w:r>
      <w:r>
        <w:rPr>
          <w:spacing w:val="-1"/>
        </w:rPr>
        <w:t> </w:t>
      </w:r>
      <w:r>
        <w:rPr/>
        <w:t>VVD-</w:t>
      </w:r>
      <w:r>
        <w:rPr>
          <w:spacing w:val="-2"/>
        </w:rPr>
        <w:t>fractie</w:t>
      </w:r>
    </w:p>
    <w:p>
      <w:pPr>
        <w:pStyle w:val="BodyText"/>
        <w:spacing w:before="42"/>
        <w:rPr>
          <w:b/>
        </w:rPr>
      </w:pPr>
    </w:p>
    <w:p>
      <w:pPr>
        <w:spacing w:before="0" w:line="264" w:lineRule="auto"/>
        <w:ind w:left="120" w:right="154" w:firstLine="0"/>
        <w:jc w:val="left"/>
        <w:rPr>
          <w:i/>
          <w:sz w:val="18"/>
        </w:rPr>
      </w:pPr>
      <w:r>
        <w:rPr>
          <w:i/>
          <w:sz w:val="18"/>
        </w:rPr>
        <w:t>De leden van de VVD-fractie lezen dat de Europese Commissie voorstelt om te regelen dat de</w:t>
      </w:r>
      <w:r>
        <w:rPr>
          <w:i/>
          <w:sz w:val="18"/>
        </w:rPr>
        <w:t> settlementcyclus wordt verkort van “niet later dan op de tweede werkdag” (T+2) naar “niet later dan</w:t>
      </w:r>
      <w:r>
        <w:rPr>
          <w:i/>
          <w:spacing w:val="-2"/>
          <w:sz w:val="18"/>
        </w:rPr>
        <w:t> </w:t>
      </w:r>
      <w:r>
        <w:rPr>
          <w:i/>
          <w:sz w:val="18"/>
        </w:rPr>
        <w:t>de</w:t>
      </w:r>
      <w:r>
        <w:rPr>
          <w:i/>
          <w:spacing w:val="-3"/>
          <w:sz w:val="18"/>
        </w:rPr>
        <w:t> </w:t>
      </w:r>
      <w:r>
        <w:rPr>
          <w:i/>
          <w:sz w:val="18"/>
        </w:rPr>
        <w:t>eerste</w:t>
      </w:r>
      <w:r>
        <w:rPr>
          <w:i/>
          <w:spacing w:val="-3"/>
          <w:sz w:val="18"/>
        </w:rPr>
        <w:t> </w:t>
      </w:r>
      <w:r>
        <w:rPr>
          <w:i/>
          <w:sz w:val="18"/>
        </w:rPr>
        <w:t>werkdag”</w:t>
      </w:r>
      <w:r>
        <w:rPr>
          <w:i/>
          <w:spacing w:val="-4"/>
          <w:sz w:val="18"/>
        </w:rPr>
        <w:t> </w:t>
      </w:r>
      <w:r>
        <w:rPr>
          <w:i/>
          <w:sz w:val="18"/>
        </w:rPr>
        <w:t>(T+1).</w:t>
      </w:r>
      <w:r>
        <w:rPr>
          <w:i/>
          <w:spacing w:val="-4"/>
          <w:sz w:val="18"/>
        </w:rPr>
        <w:t> </w:t>
      </w:r>
      <w:r>
        <w:rPr>
          <w:i/>
          <w:sz w:val="18"/>
        </w:rPr>
        <w:t>Deze</w:t>
      </w:r>
      <w:r>
        <w:rPr>
          <w:i/>
          <w:spacing w:val="-3"/>
          <w:sz w:val="18"/>
        </w:rPr>
        <w:t> </w:t>
      </w:r>
      <w:r>
        <w:rPr>
          <w:i/>
          <w:sz w:val="18"/>
        </w:rPr>
        <w:t>leden</w:t>
      </w:r>
      <w:r>
        <w:rPr>
          <w:i/>
          <w:spacing w:val="-2"/>
          <w:sz w:val="18"/>
        </w:rPr>
        <w:t> </w:t>
      </w:r>
      <w:r>
        <w:rPr>
          <w:i/>
          <w:sz w:val="18"/>
        </w:rPr>
        <w:t>vinden</w:t>
      </w:r>
      <w:r>
        <w:rPr>
          <w:i/>
          <w:spacing w:val="-2"/>
          <w:sz w:val="18"/>
        </w:rPr>
        <w:t> </w:t>
      </w:r>
      <w:r>
        <w:rPr>
          <w:i/>
          <w:sz w:val="18"/>
        </w:rPr>
        <w:t>dit</w:t>
      </w:r>
      <w:r>
        <w:rPr>
          <w:i/>
          <w:spacing w:val="-5"/>
          <w:sz w:val="18"/>
        </w:rPr>
        <w:t> </w:t>
      </w:r>
      <w:r>
        <w:rPr>
          <w:i/>
          <w:sz w:val="18"/>
        </w:rPr>
        <w:t>een</w:t>
      </w:r>
      <w:r>
        <w:rPr>
          <w:i/>
          <w:spacing w:val="-2"/>
          <w:sz w:val="18"/>
        </w:rPr>
        <w:t> </w:t>
      </w:r>
      <w:r>
        <w:rPr>
          <w:i/>
          <w:sz w:val="18"/>
        </w:rPr>
        <w:t>goed</w:t>
      </w:r>
      <w:r>
        <w:rPr>
          <w:i/>
          <w:spacing w:val="-3"/>
          <w:sz w:val="18"/>
        </w:rPr>
        <w:t> </w:t>
      </w:r>
      <w:r>
        <w:rPr>
          <w:i/>
          <w:sz w:val="18"/>
        </w:rPr>
        <w:t>voorstel,</w:t>
      </w:r>
      <w:r>
        <w:rPr>
          <w:i/>
          <w:spacing w:val="-4"/>
          <w:sz w:val="18"/>
        </w:rPr>
        <w:t> </w:t>
      </w:r>
      <w:r>
        <w:rPr>
          <w:i/>
          <w:sz w:val="18"/>
        </w:rPr>
        <w:t>omdat</w:t>
      </w:r>
      <w:r>
        <w:rPr>
          <w:i/>
          <w:spacing w:val="-2"/>
          <w:sz w:val="18"/>
        </w:rPr>
        <w:t> </w:t>
      </w:r>
      <w:r>
        <w:rPr>
          <w:i/>
          <w:sz w:val="18"/>
        </w:rPr>
        <w:t>dit</w:t>
      </w:r>
      <w:r>
        <w:rPr>
          <w:i/>
          <w:spacing w:val="-2"/>
          <w:sz w:val="18"/>
        </w:rPr>
        <w:t> </w:t>
      </w:r>
      <w:r>
        <w:rPr>
          <w:i/>
          <w:sz w:val="18"/>
        </w:rPr>
        <w:t>zorgt</w:t>
      </w:r>
      <w:r>
        <w:rPr>
          <w:i/>
          <w:spacing w:val="-2"/>
          <w:sz w:val="18"/>
        </w:rPr>
        <w:t> </w:t>
      </w:r>
      <w:r>
        <w:rPr>
          <w:i/>
          <w:sz w:val="18"/>
        </w:rPr>
        <w:t>voor</w:t>
      </w:r>
      <w:r>
        <w:rPr>
          <w:i/>
          <w:spacing w:val="-3"/>
          <w:sz w:val="18"/>
        </w:rPr>
        <w:t> </w:t>
      </w:r>
      <w:r>
        <w:rPr>
          <w:i/>
          <w:sz w:val="18"/>
        </w:rPr>
        <w:t>een verbetering en versterking van de Europese kapitaalmarkten en de concurrentiepositie van de Europese kapitaalmarkten. Dit is van belang voor de financiering van onze bedrijven.</w:t>
      </w:r>
    </w:p>
    <w:p>
      <w:pPr>
        <w:pStyle w:val="BodyText"/>
        <w:spacing w:before="18"/>
        <w:rPr>
          <w:i/>
        </w:rPr>
      </w:pPr>
    </w:p>
    <w:p>
      <w:pPr>
        <w:spacing w:before="0" w:line="264" w:lineRule="auto"/>
        <w:ind w:left="120" w:right="0" w:firstLine="0"/>
        <w:jc w:val="left"/>
        <w:rPr>
          <w:i/>
          <w:sz w:val="18"/>
        </w:rPr>
      </w:pPr>
      <w:r>
        <w:rPr>
          <w:i/>
          <w:sz w:val="18"/>
        </w:rPr>
        <w:t>De leden van de VVD-fractie lezen ook dat het kabinet stelt ‘te bezien of het nodig is’ om een</w:t>
      </w:r>
      <w:r>
        <w:rPr>
          <w:i/>
          <w:sz w:val="18"/>
        </w:rPr>
        <w:t> bepaalde coulance door de toezichthouders te laten verlenen teneinde de regeling werkbaar te houden</w:t>
      </w:r>
      <w:r>
        <w:rPr>
          <w:i/>
          <w:spacing w:val="-2"/>
          <w:sz w:val="18"/>
        </w:rPr>
        <w:t> </w:t>
      </w:r>
      <w:r>
        <w:rPr>
          <w:i/>
          <w:sz w:val="18"/>
        </w:rPr>
        <w:t>voor</w:t>
      </w:r>
      <w:r>
        <w:rPr>
          <w:i/>
          <w:spacing w:val="-3"/>
          <w:sz w:val="18"/>
        </w:rPr>
        <w:t> </w:t>
      </w:r>
      <w:r>
        <w:rPr>
          <w:i/>
          <w:sz w:val="18"/>
        </w:rPr>
        <w:t>bedrijven.</w:t>
      </w:r>
      <w:r>
        <w:rPr>
          <w:i/>
          <w:spacing w:val="-4"/>
          <w:sz w:val="18"/>
        </w:rPr>
        <w:t> </w:t>
      </w:r>
      <w:r>
        <w:rPr>
          <w:i/>
          <w:sz w:val="18"/>
        </w:rPr>
        <w:t>Gaat</w:t>
      </w:r>
      <w:r>
        <w:rPr>
          <w:i/>
          <w:spacing w:val="-2"/>
          <w:sz w:val="18"/>
        </w:rPr>
        <w:t> </w:t>
      </w:r>
      <w:r>
        <w:rPr>
          <w:i/>
          <w:sz w:val="18"/>
        </w:rPr>
        <w:t>het</w:t>
      </w:r>
      <w:r>
        <w:rPr>
          <w:i/>
          <w:spacing w:val="-2"/>
          <w:sz w:val="18"/>
        </w:rPr>
        <w:t> </w:t>
      </w:r>
      <w:r>
        <w:rPr>
          <w:i/>
          <w:sz w:val="18"/>
        </w:rPr>
        <w:t>kabinet</w:t>
      </w:r>
      <w:r>
        <w:rPr>
          <w:i/>
          <w:spacing w:val="-2"/>
          <w:sz w:val="18"/>
        </w:rPr>
        <w:t> </w:t>
      </w:r>
      <w:r>
        <w:rPr>
          <w:i/>
          <w:sz w:val="18"/>
        </w:rPr>
        <w:t>zich</w:t>
      </w:r>
      <w:r>
        <w:rPr>
          <w:i/>
          <w:spacing w:val="-2"/>
          <w:sz w:val="18"/>
        </w:rPr>
        <w:t> </w:t>
      </w:r>
      <w:r>
        <w:rPr>
          <w:i/>
          <w:sz w:val="18"/>
        </w:rPr>
        <w:t>nou</w:t>
      </w:r>
      <w:r>
        <w:rPr>
          <w:i/>
          <w:spacing w:val="-2"/>
          <w:sz w:val="18"/>
        </w:rPr>
        <w:t> </w:t>
      </w:r>
      <w:r>
        <w:rPr>
          <w:i/>
          <w:sz w:val="18"/>
        </w:rPr>
        <w:t>wel</w:t>
      </w:r>
      <w:r>
        <w:rPr>
          <w:i/>
          <w:spacing w:val="-5"/>
          <w:sz w:val="18"/>
        </w:rPr>
        <w:t> </w:t>
      </w:r>
      <w:r>
        <w:rPr>
          <w:i/>
          <w:sz w:val="18"/>
        </w:rPr>
        <w:t>of</w:t>
      </w:r>
      <w:r>
        <w:rPr>
          <w:i/>
          <w:spacing w:val="-4"/>
          <w:sz w:val="18"/>
        </w:rPr>
        <w:t> </w:t>
      </w:r>
      <w:r>
        <w:rPr>
          <w:i/>
          <w:sz w:val="18"/>
        </w:rPr>
        <w:t>niet</w:t>
      </w:r>
      <w:r>
        <w:rPr>
          <w:i/>
          <w:spacing w:val="-2"/>
          <w:sz w:val="18"/>
        </w:rPr>
        <w:t> </w:t>
      </w:r>
      <w:r>
        <w:rPr>
          <w:i/>
          <w:sz w:val="18"/>
        </w:rPr>
        <w:t>hard</w:t>
      </w:r>
      <w:r>
        <w:rPr>
          <w:i/>
          <w:spacing w:val="-3"/>
          <w:sz w:val="18"/>
        </w:rPr>
        <w:t> </w:t>
      </w:r>
      <w:r>
        <w:rPr>
          <w:i/>
          <w:sz w:val="18"/>
        </w:rPr>
        <w:t>maken</w:t>
      </w:r>
      <w:r>
        <w:rPr>
          <w:i/>
          <w:spacing w:val="-2"/>
          <w:sz w:val="18"/>
        </w:rPr>
        <w:t> </w:t>
      </w:r>
      <w:r>
        <w:rPr>
          <w:i/>
          <w:sz w:val="18"/>
        </w:rPr>
        <w:t>voor</w:t>
      </w:r>
      <w:r>
        <w:rPr>
          <w:i/>
          <w:spacing w:val="-3"/>
          <w:sz w:val="18"/>
        </w:rPr>
        <w:t> </w:t>
      </w:r>
      <w:r>
        <w:rPr>
          <w:i/>
          <w:sz w:val="18"/>
        </w:rPr>
        <w:t>deze</w:t>
      </w:r>
      <w:r>
        <w:rPr>
          <w:i/>
          <w:spacing w:val="-3"/>
          <w:sz w:val="18"/>
        </w:rPr>
        <w:t> </w:t>
      </w:r>
      <w:r>
        <w:rPr>
          <w:i/>
          <w:sz w:val="18"/>
        </w:rPr>
        <w:t>coulance</w:t>
      </w:r>
      <w:r>
        <w:rPr>
          <w:i/>
          <w:spacing w:val="-3"/>
          <w:sz w:val="18"/>
        </w:rPr>
        <w:t> </w:t>
      </w:r>
      <w:r>
        <w:rPr>
          <w:i/>
          <w:sz w:val="18"/>
        </w:rPr>
        <w:t>en</w:t>
      </w:r>
      <w:r>
        <w:rPr>
          <w:i/>
          <w:spacing w:val="-2"/>
          <w:sz w:val="18"/>
        </w:rPr>
        <w:t> </w:t>
      </w:r>
      <w:r>
        <w:rPr>
          <w:i/>
          <w:sz w:val="18"/>
        </w:rPr>
        <w:t>zo ja, hoe gaat het kabinet dit vorm geven en voor welke periode zou die coulance moeten gelden?</w:t>
      </w:r>
    </w:p>
    <w:p>
      <w:pPr>
        <w:pStyle w:val="BodyText"/>
        <w:spacing w:before="18"/>
        <w:rPr>
          <w:i/>
        </w:rPr>
      </w:pPr>
    </w:p>
    <w:p>
      <w:pPr>
        <w:pStyle w:val="BodyText"/>
        <w:spacing w:line="264" w:lineRule="auto"/>
        <w:ind w:left="119" w:right="120"/>
      </w:pPr>
      <w:r>
        <w:rPr/>
        <w:t>Het kabinet erkent het belang van uitvoerbaarheid voor marktpartijen bij de overgang naar een T+1 settlementcyclus en staat daarom open voor een vorm van tijdelijke coulance. Deze coulance kan met name in het </w:t>
      </w:r>
      <w:r>
        <w:rPr>
          <w:i/>
        </w:rPr>
        <w:t>settlement discipline regime </w:t>
      </w:r>
      <w:r>
        <w:rPr/>
        <w:t>(SDR) in de verordening centrale effectenbewaarinstellingen (CSDR) tot uitdrukking komen. Dit is het regime van rapportages en uiteindelijk boetes voor het geval dat er mislukte settlement optreedt. Onder het SDR is het mogelijk dat er boetes worden opgelegd indien partijen mislukte settlements veroorzaken. Deze boetes,</w:t>
      </w:r>
      <w:r>
        <w:rPr>
          <w:spacing w:val="-4"/>
        </w:rPr>
        <w:t> </w:t>
      </w:r>
      <w:r>
        <w:rPr/>
        <w:t>die</w:t>
      </w:r>
      <w:r>
        <w:rPr>
          <w:spacing w:val="-3"/>
        </w:rPr>
        <w:t> </w:t>
      </w:r>
      <w:r>
        <w:rPr/>
        <w:t>door</w:t>
      </w:r>
      <w:r>
        <w:rPr>
          <w:spacing w:val="-3"/>
        </w:rPr>
        <w:t> </w:t>
      </w:r>
      <w:r>
        <w:rPr/>
        <w:t>centrale</w:t>
      </w:r>
      <w:r>
        <w:rPr>
          <w:spacing w:val="-3"/>
        </w:rPr>
        <w:t> </w:t>
      </w:r>
      <w:r>
        <w:rPr/>
        <w:t>effectenbewaarinstellingen</w:t>
      </w:r>
      <w:r>
        <w:rPr>
          <w:spacing w:val="-4"/>
        </w:rPr>
        <w:t> </w:t>
      </w:r>
      <w:r>
        <w:rPr/>
        <w:t>worden</w:t>
      </w:r>
      <w:r>
        <w:rPr>
          <w:spacing w:val="-2"/>
        </w:rPr>
        <w:t> </w:t>
      </w:r>
      <w:r>
        <w:rPr/>
        <w:t>opgelegd</w:t>
      </w:r>
      <w:r>
        <w:rPr>
          <w:spacing w:val="-3"/>
        </w:rPr>
        <w:t> </w:t>
      </w:r>
      <w:r>
        <w:rPr/>
        <w:t>en</w:t>
      </w:r>
      <w:r>
        <w:rPr>
          <w:spacing w:val="-2"/>
        </w:rPr>
        <w:t> </w:t>
      </w:r>
      <w:r>
        <w:rPr/>
        <w:t>geïnd,</w:t>
      </w:r>
      <w:r>
        <w:rPr>
          <w:spacing w:val="-4"/>
        </w:rPr>
        <w:t> </w:t>
      </w:r>
      <w:r>
        <w:rPr/>
        <w:t>worden</w:t>
      </w:r>
      <w:r>
        <w:rPr>
          <w:spacing w:val="-2"/>
        </w:rPr>
        <w:t> </w:t>
      </w:r>
      <w:r>
        <w:rPr/>
        <w:t>uitgekeerd aan deelnemers die door de mislukte settlement zijn geraakt. De kans bestaat dat de overgang naar T+1 in het begin leidt</w:t>
      </w:r>
      <w:r>
        <w:rPr>
          <w:spacing w:val="-1"/>
        </w:rPr>
        <w:t> </w:t>
      </w:r>
      <w:r>
        <w:rPr/>
        <w:t>tot een stijging van mislukte settlements. Om daar oog voor te houden is in de Raad voorgesteld een overweging in de verordening op te nemen, waarin de Europese Commissie wordt uitgenodigd om de ontwikkelingen in settlement nauwgezet te monitoren en – indien noodzakelijk en specifiek voor dit doeleinde – in de reeds bestaande gedelegeerde regelgeving tijdelijk het boeteregime te versoepelen. Het kabinet vindt dit een proportionele aanpak en steunt dit voorstel: het waarborgt het SDR, terwijl het tegelijkertijd ruimte biedt om marktpartijen in de eerste fase na invoering van T+1 niet onnodig zwaar te belasten.</w:t>
      </w:r>
    </w:p>
    <w:p>
      <w:pPr>
        <w:pStyle w:val="BodyText"/>
        <w:spacing w:before="11"/>
      </w:pPr>
    </w:p>
    <w:p>
      <w:pPr>
        <w:spacing w:before="0" w:line="264" w:lineRule="auto"/>
        <w:ind w:left="120" w:right="120" w:firstLine="0"/>
        <w:jc w:val="left"/>
        <w:rPr>
          <w:i/>
          <w:sz w:val="18"/>
        </w:rPr>
      </w:pPr>
      <w:r>
        <w:rPr>
          <w:i/>
          <w:sz w:val="18"/>
        </w:rPr>
        <w:t>De overgang naar T+1 zal van effectenbewaarinstellingen de nodige capaciteit vereisen,</w:t>
      </w:r>
      <w:r>
        <w:rPr>
          <w:i/>
          <w:sz w:val="18"/>
        </w:rPr>
        <w:t> constateren deze leden. Voorziet het kabinet problemen als tijdens de migratie naar T+1 door effectenbewaarinstellingen zich marktstress voordoet – zoals we bijvoorbeeld gezien hebben na aankondiging</w:t>
      </w:r>
      <w:r>
        <w:rPr>
          <w:i/>
          <w:spacing w:val="-2"/>
          <w:sz w:val="18"/>
        </w:rPr>
        <w:t> </w:t>
      </w:r>
      <w:r>
        <w:rPr>
          <w:i/>
          <w:sz w:val="18"/>
        </w:rPr>
        <w:t>van</w:t>
      </w:r>
      <w:r>
        <w:rPr>
          <w:i/>
          <w:spacing w:val="-2"/>
          <w:sz w:val="18"/>
        </w:rPr>
        <w:t> </w:t>
      </w:r>
      <w:r>
        <w:rPr>
          <w:i/>
          <w:sz w:val="18"/>
        </w:rPr>
        <w:t>de</w:t>
      </w:r>
      <w:r>
        <w:rPr>
          <w:i/>
          <w:spacing w:val="-3"/>
          <w:sz w:val="18"/>
        </w:rPr>
        <w:t> </w:t>
      </w:r>
      <w:r>
        <w:rPr>
          <w:i/>
          <w:sz w:val="18"/>
        </w:rPr>
        <w:t>importheffingen</w:t>
      </w:r>
      <w:r>
        <w:rPr>
          <w:i/>
          <w:spacing w:val="-2"/>
          <w:sz w:val="18"/>
        </w:rPr>
        <w:t> </w:t>
      </w:r>
      <w:r>
        <w:rPr>
          <w:i/>
          <w:sz w:val="18"/>
        </w:rPr>
        <w:t>door</w:t>
      </w:r>
      <w:r>
        <w:rPr>
          <w:i/>
          <w:spacing w:val="-3"/>
          <w:sz w:val="18"/>
        </w:rPr>
        <w:t> </w:t>
      </w:r>
      <w:r>
        <w:rPr>
          <w:i/>
          <w:sz w:val="18"/>
        </w:rPr>
        <w:t>de</w:t>
      </w:r>
      <w:r>
        <w:rPr>
          <w:i/>
          <w:spacing w:val="-3"/>
          <w:sz w:val="18"/>
        </w:rPr>
        <w:t> </w:t>
      </w:r>
      <w:r>
        <w:rPr>
          <w:i/>
          <w:sz w:val="18"/>
        </w:rPr>
        <w:t>Verenigde</w:t>
      </w:r>
      <w:r>
        <w:rPr>
          <w:i/>
          <w:spacing w:val="-3"/>
          <w:sz w:val="18"/>
        </w:rPr>
        <w:t> </w:t>
      </w:r>
      <w:r>
        <w:rPr>
          <w:i/>
          <w:sz w:val="18"/>
        </w:rPr>
        <w:t>Staten</w:t>
      </w:r>
      <w:r>
        <w:rPr>
          <w:i/>
          <w:spacing w:val="-2"/>
          <w:sz w:val="18"/>
        </w:rPr>
        <w:t> </w:t>
      </w:r>
      <w:r>
        <w:rPr>
          <w:i/>
          <w:sz w:val="18"/>
        </w:rPr>
        <w:t>–</w:t>
      </w:r>
      <w:r>
        <w:rPr>
          <w:i/>
          <w:spacing w:val="-3"/>
          <w:sz w:val="18"/>
        </w:rPr>
        <w:t> </w:t>
      </w:r>
      <w:r>
        <w:rPr>
          <w:i/>
          <w:sz w:val="18"/>
        </w:rPr>
        <w:t>en</w:t>
      </w:r>
      <w:r>
        <w:rPr>
          <w:i/>
          <w:spacing w:val="-2"/>
          <w:sz w:val="18"/>
        </w:rPr>
        <w:t> </w:t>
      </w:r>
      <w:r>
        <w:rPr>
          <w:i/>
          <w:sz w:val="18"/>
        </w:rPr>
        <w:t>er</w:t>
      </w:r>
      <w:r>
        <w:rPr>
          <w:i/>
          <w:spacing w:val="-3"/>
          <w:sz w:val="18"/>
        </w:rPr>
        <w:t> </w:t>
      </w:r>
      <w:r>
        <w:rPr>
          <w:i/>
          <w:sz w:val="18"/>
        </w:rPr>
        <w:t>dus</w:t>
      </w:r>
      <w:r>
        <w:rPr>
          <w:i/>
          <w:spacing w:val="-3"/>
          <w:sz w:val="18"/>
        </w:rPr>
        <w:t> </w:t>
      </w:r>
      <w:r>
        <w:rPr>
          <w:i/>
          <w:sz w:val="18"/>
        </w:rPr>
        <w:t>een</w:t>
      </w:r>
      <w:r>
        <w:rPr>
          <w:i/>
          <w:spacing w:val="-2"/>
          <w:sz w:val="18"/>
        </w:rPr>
        <w:t> </w:t>
      </w:r>
      <w:r>
        <w:rPr>
          <w:i/>
          <w:sz w:val="18"/>
        </w:rPr>
        <w:t>veelvoud</w:t>
      </w:r>
      <w:r>
        <w:rPr>
          <w:i/>
          <w:spacing w:val="-3"/>
          <w:sz w:val="18"/>
        </w:rPr>
        <w:t> </w:t>
      </w:r>
      <w:r>
        <w:rPr>
          <w:i/>
          <w:sz w:val="18"/>
        </w:rPr>
        <w:t>van</w:t>
      </w:r>
      <w:r>
        <w:rPr>
          <w:i/>
          <w:spacing w:val="-2"/>
          <w:sz w:val="18"/>
        </w:rPr>
        <w:t> </w:t>
      </w:r>
      <w:r>
        <w:rPr>
          <w:i/>
          <w:sz w:val="18"/>
        </w:rPr>
        <w:t>het aantal aandelen moet worden gesettled dan normaal?</w:t>
      </w:r>
    </w:p>
    <w:p>
      <w:pPr>
        <w:pStyle w:val="BodyText"/>
        <w:spacing w:before="17"/>
        <w:rPr>
          <w:i/>
        </w:rPr>
      </w:pPr>
    </w:p>
    <w:p>
      <w:pPr>
        <w:pStyle w:val="BodyText"/>
        <w:spacing w:before="1" w:line="264" w:lineRule="auto"/>
        <w:ind w:left="120" w:right="120"/>
      </w:pPr>
      <w:r>
        <w:rPr/>
        <w:t>Het kabinet voorziet op dit moment geen problemen voor centrale effectenbewaarinstellingen (CSDs) als zich tijdens de migratie naar T+1 marktstress zou voordoen. De overgang naar de kortere settlementcyclus zal, op basis van het voorstel, op een vastgesteld, uniform moment plaatsvinden: 11 oktober 2027. Er is daardoor geen sprake van een gefaseerde invoering of van een</w:t>
      </w:r>
      <w:r>
        <w:rPr>
          <w:spacing w:val="-2"/>
        </w:rPr>
        <w:t> </w:t>
      </w:r>
      <w:r>
        <w:rPr/>
        <w:t>aanloopperiode</w:t>
      </w:r>
      <w:r>
        <w:rPr>
          <w:spacing w:val="-3"/>
        </w:rPr>
        <w:t> </w:t>
      </w:r>
      <w:r>
        <w:rPr/>
        <w:t>waarin</w:t>
      </w:r>
      <w:r>
        <w:rPr>
          <w:spacing w:val="-4"/>
        </w:rPr>
        <w:t> </w:t>
      </w:r>
      <w:r>
        <w:rPr/>
        <w:t>verschillende</w:t>
      </w:r>
      <w:r>
        <w:rPr>
          <w:spacing w:val="-3"/>
        </w:rPr>
        <w:t> </w:t>
      </w:r>
      <w:r>
        <w:rPr/>
        <w:t>settlementcycli</w:t>
      </w:r>
      <w:r>
        <w:rPr>
          <w:spacing w:val="-2"/>
        </w:rPr>
        <w:t> </w:t>
      </w:r>
      <w:r>
        <w:rPr/>
        <w:t>naast</w:t>
      </w:r>
      <w:r>
        <w:rPr>
          <w:spacing w:val="-2"/>
        </w:rPr>
        <w:t> </w:t>
      </w:r>
      <w:r>
        <w:rPr/>
        <w:t>elkaar</w:t>
      </w:r>
      <w:r>
        <w:rPr>
          <w:spacing w:val="-3"/>
        </w:rPr>
        <w:t> </w:t>
      </w:r>
      <w:r>
        <w:rPr/>
        <w:t>bestaan.</w:t>
      </w:r>
      <w:r>
        <w:rPr>
          <w:spacing w:val="-4"/>
        </w:rPr>
        <w:t> </w:t>
      </w:r>
      <w:r>
        <w:rPr/>
        <w:t>Bovendien</w:t>
      </w:r>
      <w:r>
        <w:rPr>
          <w:spacing w:val="-2"/>
        </w:rPr>
        <w:t> </w:t>
      </w:r>
      <w:r>
        <w:rPr/>
        <w:t>zal</w:t>
      </w:r>
      <w:r>
        <w:rPr>
          <w:spacing w:val="-2"/>
        </w:rPr>
        <w:t> </w:t>
      </w:r>
      <w:r>
        <w:rPr/>
        <w:t>er</w:t>
      </w:r>
      <w:r>
        <w:rPr>
          <w:spacing w:val="-3"/>
        </w:rPr>
        <w:t> </w:t>
      </w:r>
      <w:r>
        <w:rPr/>
        <w:t>in aanloop naar de datum in 2027 uitvoerig getest worden door marktpartijen of de nieuwe settlementcyclus</w:t>
      </w:r>
      <w:r>
        <w:rPr>
          <w:spacing w:val="-1"/>
        </w:rPr>
        <w:t> </w:t>
      </w:r>
      <w:r>
        <w:rPr/>
        <w:t>van T+1 uitvoerbaar</w:t>
      </w:r>
      <w:r>
        <w:rPr>
          <w:spacing w:val="-1"/>
        </w:rPr>
        <w:t> </w:t>
      </w:r>
      <w:r>
        <w:rPr/>
        <w:t>is</w:t>
      </w:r>
      <w:r>
        <w:rPr>
          <w:spacing w:val="-1"/>
        </w:rPr>
        <w:t> </w:t>
      </w:r>
      <w:r>
        <w:rPr/>
        <w:t>in de</w:t>
      </w:r>
      <w:r>
        <w:rPr>
          <w:spacing w:val="-1"/>
        </w:rPr>
        <w:t> </w:t>
      </w:r>
      <w:r>
        <w:rPr/>
        <w:t>praktijk.</w:t>
      </w:r>
      <w:r>
        <w:rPr>
          <w:spacing w:val="-2"/>
        </w:rPr>
        <w:t> </w:t>
      </w:r>
      <w:r>
        <w:rPr/>
        <w:t>Uiteraard</w:t>
      </w:r>
      <w:r>
        <w:rPr>
          <w:spacing w:val="-1"/>
        </w:rPr>
        <w:t> </w:t>
      </w:r>
      <w:r>
        <w:rPr/>
        <w:t>blijft</w:t>
      </w:r>
      <w:r>
        <w:rPr>
          <w:spacing w:val="-3"/>
        </w:rPr>
        <w:t> </w:t>
      </w:r>
      <w:r>
        <w:rPr/>
        <w:t>het</w:t>
      </w:r>
      <w:r>
        <w:rPr>
          <w:spacing w:val="-1"/>
        </w:rPr>
        <w:t> </w:t>
      </w:r>
      <w:r>
        <w:rPr/>
        <w:t>daarvoor</w:t>
      </w:r>
      <w:r>
        <w:rPr>
          <w:spacing w:val="-1"/>
        </w:rPr>
        <w:t> </w:t>
      </w:r>
      <w:r>
        <w:rPr/>
        <w:t>belangrijk</w:t>
      </w:r>
      <w:r>
        <w:rPr>
          <w:spacing w:val="-2"/>
        </w:rPr>
        <w:t> </w:t>
      </w:r>
      <w:r>
        <w:rPr/>
        <w:t>dat marktpartijen hun processen tijdig hebben aangepast om ook bij verhoogd handelsvolume stabiel</w:t>
      </w:r>
    </w:p>
    <w:p>
      <w:pPr>
        <w:spacing w:after="0" w:line="264" w:lineRule="auto"/>
        <w:sectPr>
          <w:footerReference w:type="default" r:id="rId5"/>
          <w:type w:val="continuous"/>
          <w:pgSz w:w="11910" w:h="16850"/>
          <w:pgMar w:top="1380" w:right="1320" w:bottom="1100" w:left="1320" w:header="0" w:footer="900"/>
          <w:pgNumType w:start="1"/>
        </w:sectPr>
      </w:pPr>
    </w:p>
    <w:p>
      <w:pPr>
        <w:pStyle w:val="BodyText"/>
        <w:spacing w:before="80" w:line="264" w:lineRule="auto"/>
        <w:ind w:left="120" w:right="154" w:hanging="1"/>
      </w:pPr>
      <w:r>
        <w:rPr/>
        <w:t>te</w:t>
      </w:r>
      <w:r>
        <w:rPr>
          <w:spacing w:val="-2"/>
        </w:rPr>
        <w:t> </w:t>
      </w:r>
      <w:r>
        <w:rPr/>
        <w:t>kunnen</w:t>
      </w:r>
      <w:r>
        <w:rPr>
          <w:spacing w:val="-1"/>
        </w:rPr>
        <w:t> </w:t>
      </w:r>
      <w:r>
        <w:rPr/>
        <w:t>functioneren.</w:t>
      </w:r>
      <w:r>
        <w:rPr>
          <w:spacing w:val="-3"/>
        </w:rPr>
        <w:t> </w:t>
      </w:r>
      <w:r>
        <w:rPr/>
        <w:t>Via</w:t>
      </w:r>
      <w:r>
        <w:rPr>
          <w:spacing w:val="-2"/>
        </w:rPr>
        <w:t> </w:t>
      </w:r>
      <w:r>
        <w:rPr/>
        <w:t>een</w:t>
      </w:r>
      <w:r>
        <w:rPr>
          <w:spacing w:val="-1"/>
        </w:rPr>
        <w:t> </w:t>
      </w:r>
      <w:r>
        <w:rPr/>
        <w:t>coördinatie-comité</w:t>
      </w:r>
      <w:hyperlink w:history="true" w:anchor="_bookmark0">
        <w:r>
          <w:rPr>
            <w:position w:val="6"/>
            <w:sz w:val="12"/>
          </w:rPr>
          <w:t>1</w:t>
        </w:r>
      </w:hyperlink>
      <w:r>
        <w:rPr>
          <w:spacing w:val="19"/>
          <w:position w:val="6"/>
          <w:sz w:val="12"/>
        </w:rPr>
        <w:t> </w:t>
      </w:r>
      <w:r>
        <w:rPr/>
        <w:t>worden</w:t>
      </w:r>
      <w:r>
        <w:rPr>
          <w:spacing w:val="-1"/>
        </w:rPr>
        <w:t> </w:t>
      </w:r>
      <w:r>
        <w:rPr/>
        <w:t>de</w:t>
      </w:r>
      <w:r>
        <w:rPr>
          <w:spacing w:val="-2"/>
        </w:rPr>
        <w:t> </w:t>
      </w:r>
      <w:r>
        <w:rPr/>
        <w:t>Europese</w:t>
      </w:r>
      <w:r>
        <w:rPr>
          <w:spacing w:val="-2"/>
        </w:rPr>
        <w:t> </w:t>
      </w:r>
      <w:r>
        <w:rPr/>
        <w:t>Commissie,</w:t>
      </w:r>
      <w:r>
        <w:rPr>
          <w:spacing w:val="-3"/>
        </w:rPr>
        <w:t> </w:t>
      </w:r>
      <w:r>
        <w:rPr/>
        <w:t>de</w:t>
      </w:r>
      <w:r>
        <w:rPr>
          <w:spacing w:val="-2"/>
        </w:rPr>
        <w:t> </w:t>
      </w:r>
      <w:r>
        <w:rPr/>
        <w:t>Europese Autoriteit</w:t>
      </w:r>
      <w:r>
        <w:rPr>
          <w:spacing w:val="-2"/>
        </w:rPr>
        <w:t> </w:t>
      </w:r>
      <w:r>
        <w:rPr/>
        <w:t>voor</w:t>
      </w:r>
      <w:r>
        <w:rPr>
          <w:spacing w:val="-3"/>
        </w:rPr>
        <w:t> </w:t>
      </w:r>
      <w:r>
        <w:rPr/>
        <w:t>effecten</w:t>
      </w:r>
      <w:r>
        <w:rPr>
          <w:spacing w:val="-2"/>
        </w:rPr>
        <w:t> </w:t>
      </w:r>
      <w:r>
        <w:rPr/>
        <w:t>en</w:t>
      </w:r>
      <w:r>
        <w:rPr>
          <w:spacing w:val="-2"/>
        </w:rPr>
        <w:t> </w:t>
      </w:r>
      <w:r>
        <w:rPr/>
        <w:t>markten</w:t>
      </w:r>
      <w:r>
        <w:rPr>
          <w:spacing w:val="-2"/>
        </w:rPr>
        <w:t> </w:t>
      </w:r>
      <w:r>
        <w:rPr/>
        <w:t>(ESMA)</w:t>
      </w:r>
      <w:r>
        <w:rPr>
          <w:spacing w:val="-3"/>
        </w:rPr>
        <w:t> </w:t>
      </w:r>
      <w:r>
        <w:rPr/>
        <w:t>en</w:t>
      </w:r>
      <w:r>
        <w:rPr>
          <w:spacing w:val="-2"/>
        </w:rPr>
        <w:t> </w:t>
      </w:r>
      <w:r>
        <w:rPr/>
        <w:t>de</w:t>
      </w:r>
      <w:r>
        <w:rPr>
          <w:spacing w:val="-3"/>
        </w:rPr>
        <w:t> </w:t>
      </w:r>
      <w:r>
        <w:rPr/>
        <w:t>Europese</w:t>
      </w:r>
      <w:r>
        <w:rPr>
          <w:spacing w:val="-3"/>
        </w:rPr>
        <w:t> </w:t>
      </w:r>
      <w:r>
        <w:rPr/>
        <w:t>Centrale</w:t>
      </w:r>
      <w:r>
        <w:rPr>
          <w:spacing w:val="-3"/>
        </w:rPr>
        <w:t> </w:t>
      </w:r>
      <w:r>
        <w:rPr/>
        <w:t>Bank</w:t>
      </w:r>
      <w:r>
        <w:rPr>
          <w:spacing w:val="-4"/>
        </w:rPr>
        <w:t> </w:t>
      </w:r>
      <w:r>
        <w:rPr/>
        <w:t>op</w:t>
      </w:r>
      <w:r>
        <w:rPr>
          <w:spacing w:val="-3"/>
        </w:rPr>
        <w:t> </w:t>
      </w:r>
      <w:r>
        <w:rPr/>
        <w:t>de</w:t>
      </w:r>
      <w:r>
        <w:rPr>
          <w:spacing w:val="-3"/>
        </w:rPr>
        <w:t> </w:t>
      </w:r>
      <w:r>
        <w:rPr/>
        <w:t>hoogte</w:t>
      </w:r>
      <w:r>
        <w:rPr>
          <w:spacing w:val="-3"/>
        </w:rPr>
        <w:t> </w:t>
      </w:r>
      <w:r>
        <w:rPr/>
        <w:t>gehouden van de vorderingen die de industrie maakt ten aanzien van (het bespreken van) de verschillende operationele aspecten die aangepast moeten worden om over te kunnen gaan naar een T+1 </w:t>
      </w:r>
      <w:r>
        <w:rPr>
          <w:spacing w:val="-2"/>
        </w:rPr>
        <w:t>settlementcyclus.</w:t>
      </w:r>
    </w:p>
    <w:p>
      <w:pPr>
        <w:pStyle w:val="BodyText"/>
        <w:spacing w:before="17"/>
      </w:pPr>
    </w:p>
    <w:p>
      <w:pPr>
        <w:spacing w:before="0" w:line="264" w:lineRule="auto"/>
        <w:ind w:left="120" w:right="120" w:firstLine="0"/>
        <w:jc w:val="left"/>
        <w:rPr>
          <w:i/>
          <w:sz w:val="18"/>
        </w:rPr>
      </w:pPr>
      <w:r>
        <w:rPr>
          <w:i/>
          <w:sz w:val="18"/>
        </w:rPr>
        <w:t>Het kabinet wil er tijdens de onderhandelingen op inzetten dat er in principe geen andere</w:t>
      </w:r>
      <w:r>
        <w:rPr>
          <w:i/>
          <w:sz w:val="18"/>
        </w:rPr>
        <w:t> wijzigingen van CSDR aan het voorstel worden toegevoegd, constateren deze leden. Dit lijkt de leden van de VVD-fractie logisch, maar ze willen wel weten of er dus blijkbaar druk is vanuit de Europese</w:t>
      </w:r>
      <w:r>
        <w:rPr>
          <w:i/>
          <w:spacing w:val="-2"/>
          <w:sz w:val="18"/>
        </w:rPr>
        <w:t> </w:t>
      </w:r>
      <w:r>
        <w:rPr>
          <w:i/>
          <w:sz w:val="18"/>
        </w:rPr>
        <w:t>Commissie,</w:t>
      </w:r>
      <w:r>
        <w:rPr>
          <w:i/>
          <w:spacing w:val="-3"/>
          <w:sz w:val="18"/>
        </w:rPr>
        <w:t> </w:t>
      </w:r>
      <w:r>
        <w:rPr>
          <w:i/>
          <w:sz w:val="18"/>
        </w:rPr>
        <w:t>het</w:t>
      </w:r>
      <w:r>
        <w:rPr>
          <w:i/>
          <w:spacing w:val="-1"/>
          <w:sz w:val="18"/>
        </w:rPr>
        <w:t> </w:t>
      </w:r>
      <w:r>
        <w:rPr>
          <w:i/>
          <w:sz w:val="18"/>
        </w:rPr>
        <w:t>Europees</w:t>
      </w:r>
      <w:r>
        <w:rPr>
          <w:i/>
          <w:spacing w:val="-2"/>
          <w:sz w:val="18"/>
        </w:rPr>
        <w:t> </w:t>
      </w:r>
      <w:r>
        <w:rPr>
          <w:i/>
          <w:sz w:val="18"/>
        </w:rPr>
        <w:t>Parlement</w:t>
      </w:r>
      <w:r>
        <w:rPr>
          <w:i/>
          <w:spacing w:val="-1"/>
          <w:sz w:val="18"/>
        </w:rPr>
        <w:t> </w:t>
      </w:r>
      <w:r>
        <w:rPr>
          <w:i/>
          <w:sz w:val="18"/>
        </w:rPr>
        <w:t>of</w:t>
      </w:r>
      <w:r>
        <w:rPr>
          <w:i/>
          <w:spacing w:val="-3"/>
          <w:sz w:val="18"/>
        </w:rPr>
        <w:t> </w:t>
      </w:r>
      <w:r>
        <w:rPr>
          <w:i/>
          <w:sz w:val="18"/>
        </w:rPr>
        <w:t>lidstaten</w:t>
      </w:r>
      <w:r>
        <w:rPr>
          <w:i/>
          <w:spacing w:val="-1"/>
          <w:sz w:val="18"/>
        </w:rPr>
        <w:t> </w:t>
      </w:r>
      <w:r>
        <w:rPr>
          <w:i/>
          <w:sz w:val="18"/>
        </w:rPr>
        <w:t>om</w:t>
      </w:r>
      <w:r>
        <w:rPr>
          <w:i/>
          <w:spacing w:val="-2"/>
          <w:sz w:val="18"/>
        </w:rPr>
        <w:t> </w:t>
      </w:r>
      <w:r>
        <w:rPr>
          <w:i/>
          <w:sz w:val="18"/>
        </w:rPr>
        <w:t>nog</w:t>
      </w:r>
      <w:r>
        <w:rPr>
          <w:i/>
          <w:spacing w:val="-1"/>
          <w:sz w:val="18"/>
        </w:rPr>
        <w:t> </w:t>
      </w:r>
      <w:r>
        <w:rPr>
          <w:i/>
          <w:sz w:val="18"/>
        </w:rPr>
        <w:t>wel</w:t>
      </w:r>
      <w:r>
        <w:rPr>
          <w:i/>
          <w:spacing w:val="-1"/>
          <w:sz w:val="18"/>
        </w:rPr>
        <w:t> </w:t>
      </w:r>
      <w:r>
        <w:rPr>
          <w:i/>
          <w:sz w:val="18"/>
        </w:rPr>
        <w:t>zaken</w:t>
      </w:r>
      <w:r>
        <w:rPr>
          <w:i/>
          <w:spacing w:val="-1"/>
          <w:sz w:val="18"/>
        </w:rPr>
        <w:t> </w:t>
      </w:r>
      <w:r>
        <w:rPr>
          <w:i/>
          <w:sz w:val="18"/>
        </w:rPr>
        <w:t>toe</w:t>
      </w:r>
      <w:r>
        <w:rPr>
          <w:i/>
          <w:spacing w:val="-2"/>
          <w:sz w:val="18"/>
        </w:rPr>
        <w:t> </w:t>
      </w:r>
      <w:r>
        <w:rPr>
          <w:i/>
          <w:sz w:val="18"/>
        </w:rPr>
        <w:t>te</w:t>
      </w:r>
      <w:r>
        <w:rPr>
          <w:i/>
          <w:spacing w:val="-2"/>
          <w:sz w:val="18"/>
        </w:rPr>
        <w:t> </w:t>
      </w:r>
      <w:r>
        <w:rPr>
          <w:i/>
          <w:sz w:val="18"/>
        </w:rPr>
        <w:t>voegen.</w:t>
      </w:r>
      <w:r>
        <w:rPr>
          <w:i/>
          <w:spacing w:val="-3"/>
          <w:sz w:val="18"/>
        </w:rPr>
        <w:t> </w:t>
      </w:r>
      <w:r>
        <w:rPr>
          <w:i/>
          <w:sz w:val="18"/>
        </w:rPr>
        <w:t>Hoe</w:t>
      </w:r>
      <w:r>
        <w:rPr>
          <w:i/>
          <w:spacing w:val="-2"/>
          <w:sz w:val="18"/>
        </w:rPr>
        <w:t> </w:t>
      </w:r>
      <w:r>
        <w:rPr>
          <w:i/>
          <w:sz w:val="18"/>
        </w:rPr>
        <w:t>is het krachtenveld op dat punt?</w:t>
      </w:r>
    </w:p>
    <w:p>
      <w:pPr>
        <w:pStyle w:val="BodyText"/>
        <w:spacing w:before="18"/>
        <w:rPr>
          <w:i/>
        </w:rPr>
      </w:pPr>
    </w:p>
    <w:p>
      <w:pPr>
        <w:pStyle w:val="BodyText"/>
        <w:spacing w:line="264" w:lineRule="auto"/>
        <w:ind w:left="120" w:right="193"/>
      </w:pPr>
      <w:r>
        <w:rPr/>
        <w:t>Het</w:t>
      </w:r>
      <w:r>
        <w:rPr>
          <w:spacing w:val="-2"/>
        </w:rPr>
        <w:t> </w:t>
      </w:r>
      <w:r>
        <w:rPr/>
        <w:t>kabinet</w:t>
      </w:r>
      <w:r>
        <w:rPr>
          <w:spacing w:val="-2"/>
        </w:rPr>
        <w:t> </w:t>
      </w:r>
      <w:r>
        <w:rPr/>
        <w:t>ziet</w:t>
      </w:r>
      <w:r>
        <w:rPr>
          <w:spacing w:val="-2"/>
        </w:rPr>
        <w:t> </w:t>
      </w:r>
      <w:r>
        <w:rPr/>
        <w:t>op</w:t>
      </w:r>
      <w:r>
        <w:rPr>
          <w:spacing w:val="-3"/>
        </w:rPr>
        <w:t> </w:t>
      </w:r>
      <w:r>
        <w:rPr/>
        <w:t>dit</w:t>
      </w:r>
      <w:r>
        <w:rPr>
          <w:spacing w:val="-2"/>
        </w:rPr>
        <w:t> </w:t>
      </w:r>
      <w:r>
        <w:rPr/>
        <w:t>moment</w:t>
      </w:r>
      <w:r>
        <w:rPr>
          <w:spacing w:val="-2"/>
        </w:rPr>
        <w:t> </w:t>
      </w:r>
      <w:r>
        <w:rPr/>
        <w:t>geen</w:t>
      </w:r>
      <w:r>
        <w:rPr>
          <w:spacing w:val="-2"/>
        </w:rPr>
        <w:t> </w:t>
      </w:r>
      <w:r>
        <w:rPr/>
        <w:t>druk</w:t>
      </w:r>
      <w:r>
        <w:rPr>
          <w:spacing w:val="-4"/>
        </w:rPr>
        <w:t> </w:t>
      </w:r>
      <w:r>
        <w:rPr/>
        <w:t>vanuit</w:t>
      </w:r>
      <w:r>
        <w:rPr>
          <w:spacing w:val="-2"/>
        </w:rPr>
        <w:t> </w:t>
      </w:r>
      <w:r>
        <w:rPr/>
        <w:t>de</w:t>
      </w:r>
      <w:r>
        <w:rPr>
          <w:spacing w:val="-3"/>
        </w:rPr>
        <w:t> </w:t>
      </w:r>
      <w:r>
        <w:rPr/>
        <w:t>Europese</w:t>
      </w:r>
      <w:r>
        <w:rPr>
          <w:spacing w:val="-3"/>
        </w:rPr>
        <w:t> </w:t>
      </w:r>
      <w:r>
        <w:rPr/>
        <w:t>Commissie,</w:t>
      </w:r>
      <w:r>
        <w:rPr>
          <w:spacing w:val="-4"/>
        </w:rPr>
        <w:t> </w:t>
      </w:r>
      <w:r>
        <w:rPr/>
        <w:t>het</w:t>
      </w:r>
      <w:r>
        <w:rPr>
          <w:spacing w:val="-5"/>
        </w:rPr>
        <w:t> </w:t>
      </w:r>
      <w:r>
        <w:rPr/>
        <w:t>Europees</w:t>
      </w:r>
      <w:r>
        <w:rPr>
          <w:spacing w:val="-4"/>
        </w:rPr>
        <w:t> </w:t>
      </w:r>
      <w:r>
        <w:rPr/>
        <w:t>Parlement of lidstaten om het voorstel verder open te breken. De rapporteur voor het voorstel in het Europees Parlement heeft geen wijzigingen aangebracht in het voorstel. Het Economisch en Monetair comité van het Europees Parlement stemt hierover op 13 mei 2025.</w:t>
      </w:r>
    </w:p>
    <w:p>
      <w:pPr>
        <w:pStyle w:val="BodyText"/>
        <w:spacing w:before="18"/>
      </w:pPr>
    </w:p>
    <w:p>
      <w:pPr>
        <w:pStyle w:val="BodyText"/>
        <w:spacing w:line="264" w:lineRule="auto"/>
        <w:ind w:left="119"/>
      </w:pPr>
      <w:r>
        <w:rPr/>
        <w:t>Binnen de Raad speelt tot dusver enkel een technische discussie over een mogelijke uitzondering voor bepaalde transacties (</w:t>
      </w:r>
      <w:r>
        <w:rPr>
          <w:i/>
        </w:rPr>
        <w:t>securities financing transactions, </w:t>
      </w:r>
      <w:r>
        <w:rPr/>
        <w:t>SFT’s)</w:t>
      </w:r>
      <w:hyperlink w:history="true" w:anchor="_bookmark1">
        <w:r>
          <w:rPr>
            <w:position w:val="6"/>
            <w:sz w:val="12"/>
          </w:rPr>
          <w:t>2</w:t>
        </w:r>
      </w:hyperlink>
      <w:r>
        <w:rPr>
          <w:spacing w:val="38"/>
          <w:position w:val="6"/>
          <w:sz w:val="12"/>
        </w:rPr>
        <w:t> </w:t>
      </w:r>
      <w:r>
        <w:rPr/>
        <w:t>waarvoor een gestandaardiseerde settlementperiode van T+1 weinig zinvol is, nu dergelijke instrumenten vaak andere,</w:t>
      </w:r>
      <w:r>
        <w:rPr>
          <w:spacing w:val="-4"/>
        </w:rPr>
        <w:t> </w:t>
      </w:r>
      <w:r>
        <w:rPr/>
        <w:t>door</w:t>
      </w:r>
      <w:r>
        <w:rPr>
          <w:spacing w:val="-3"/>
        </w:rPr>
        <w:t> </w:t>
      </w:r>
      <w:r>
        <w:rPr/>
        <w:t>partijen</w:t>
      </w:r>
      <w:r>
        <w:rPr>
          <w:spacing w:val="-2"/>
        </w:rPr>
        <w:t> </w:t>
      </w:r>
      <w:r>
        <w:rPr/>
        <w:t>afgesproken,</w:t>
      </w:r>
      <w:r>
        <w:rPr>
          <w:spacing w:val="-4"/>
        </w:rPr>
        <w:t> </w:t>
      </w:r>
      <w:r>
        <w:rPr/>
        <w:t>settlementperiodes</w:t>
      </w:r>
      <w:r>
        <w:rPr>
          <w:spacing w:val="-4"/>
        </w:rPr>
        <w:t> </w:t>
      </w:r>
      <w:r>
        <w:rPr/>
        <w:t>volgen.</w:t>
      </w:r>
      <w:r>
        <w:rPr>
          <w:spacing w:val="-4"/>
        </w:rPr>
        <w:t> </w:t>
      </w:r>
      <w:r>
        <w:rPr/>
        <w:t>Een</w:t>
      </w:r>
      <w:r>
        <w:rPr>
          <w:spacing w:val="-2"/>
        </w:rPr>
        <w:t> </w:t>
      </w:r>
      <w:r>
        <w:rPr/>
        <w:t>wettelijke</w:t>
      </w:r>
      <w:r>
        <w:rPr>
          <w:spacing w:val="-3"/>
        </w:rPr>
        <w:t> </w:t>
      </w:r>
      <w:r>
        <w:rPr/>
        <w:t>verplichting</w:t>
      </w:r>
      <w:r>
        <w:rPr>
          <w:spacing w:val="-3"/>
        </w:rPr>
        <w:t> </w:t>
      </w:r>
      <w:r>
        <w:rPr/>
        <w:t>tot</w:t>
      </w:r>
      <w:r>
        <w:rPr>
          <w:spacing w:val="-2"/>
        </w:rPr>
        <w:t> </w:t>
      </w:r>
      <w:r>
        <w:rPr/>
        <w:t>T+1 settlement zou voor dergelijke SFT’s kunnen werken als ontmoediging om deze instrumenten op handelsplatformen te verhandelen. Verder zijn er geen voorstellen gedaan voor aanvullende wijzigingen van de CSDR.</w:t>
      </w:r>
    </w:p>
    <w:p>
      <w:pPr>
        <w:pStyle w:val="BodyText"/>
        <w:spacing w:before="18"/>
      </w:pPr>
    </w:p>
    <w:p>
      <w:pPr>
        <w:spacing w:before="0" w:line="264" w:lineRule="auto"/>
        <w:ind w:left="120" w:right="0" w:firstLine="0"/>
        <w:jc w:val="left"/>
        <w:rPr>
          <w:i/>
          <w:sz w:val="18"/>
        </w:rPr>
      </w:pPr>
      <w:r>
        <w:rPr>
          <w:i/>
          <w:sz w:val="18"/>
        </w:rPr>
        <w:t>De</w:t>
      </w:r>
      <w:r>
        <w:rPr>
          <w:i/>
          <w:spacing w:val="-3"/>
          <w:sz w:val="18"/>
        </w:rPr>
        <w:t> </w:t>
      </w:r>
      <w:r>
        <w:rPr>
          <w:i/>
          <w:sz w:val="18"/>
        </w:rPr>
        <w:t>leden</w:t>
      </w:r>
      <w:r>
        <w:rPr>
          <w:i/>
          <w:spacing w:val="-2"/>
          <w:sz w:val="18"/>
        </w:rPr>
        <w:t> </w:t>
      </w:r>
      <w:r>
        <w:rPr>
          <w:i/>
          <w:sz w:val="18"/>
        </w:rPr>
        <w:t>van</w:t>
      </w:r>
      <w:r>
        <w:rPr>
          <w:i/>
          <w:spacing w:val="-2"/>
          <w:sz w:val="18"/>
        </w:rPr>
        <w:t> </w:t>
      </w:r>
      <w:r>
        <w:rPr>
          <w:i/>
          <w:sz w:val="18"/>
        </w:rPr>
        <w:t>de</w:t>
      </w:r>
      <w:r>
        <w:rPr>
          <w:i/>
          <w:spacing w:val="-3"/>
          <w:sz w:val="18"/>
        </w:rPr>
        <w:t> </w:t>
      </w:r>
      <w:r>
        <w:rPr>
          <w:i/>
          <w:sz w:val="18"/>
        </w:rPr>
        <w:t>VVD-fractie</w:t>
      </w:r>
      <w:r>
        <w:rPr>
          <w:i/>
          <w:spacing w:val="-3"/>
          <w:sz w:val="18"/>
        </w:rPr>
        <w:t> </w:t>
      </w:r>
      <w:r>
        <w:rPr>
          <w:i/>
          <w:sz w:val="18"/>
        </w:rPr>
        <w:t>vragen</w:t>
      </w:r>
      <w:r>
        <w:rPr>
          <w:i/>
          <w:spacing w:val="-2"/>
          <w:sz w:val="18"/>
        </w:rPr>
        <w:t> </w:t>
      </w:r>
      <w:r>
        <w:rPr>
          <w:i/>
          <w:sz w:val="18"/>
        </w:rPr>
        <w:t>daarnaast</w:t>
      </w:r>
      <w:r>
        <w:rPr>
          <w:i/>
          <w:spacing w:val="-2"/>
          <w:sz w:val="18"/>
        </w:rPr>
        <w:t> </w:t>
      </w:r>
      <w:r>
        <w:rPr>
          <w:i/>
          <w:sz w:val="18"/>
        </w:rPr>
        <w:t>waarom</w:t>
      </w:r>
      <w:r>
        <w:rPr>
          <w:i/>
          <w:spacing w:val="-3"/>
          <w:sz w:val="18"/>
        </w:rPr>
        <w:t> </w:t>
      </w:r>
      <w:r>
        <w:rPr>
          <w:i/>
          <w:sz w:val="18"/>
        </w:rPr>
        <w:t>de</w:t>
      </w:r>
      <w:r>
        <w:rPr>
          <w:i/>
          <w:spacing w:val="-3"/>
          <w:sz w:val="18"/>
        </w:rPr>
        <w:t> </w:t>
      </w:r>
      <w:r>
        <w:rPr>
          <w:i/>
          <w:sz w:val="18"/>
        </w:rPr>
        <w:t>Europese</w:t>
      </w:r>
      <w:r>
        <w:rPr>
          <w:i/>
          <w:spacing w:val="-3"/>
          <w:sz w:val="18"/>
        </w:rPr>
        <w:t> </w:t>
      </w:r>
      <w:r>
        <w:rPr>
          <w:i/>
          <w:sz w:val="18"/>
        </w:rPr>
        <w:t>Commissie</w:t>
      </w:r>
      <w:r>
        <w:rPr>
          <w:i/>
          <w:spacing w:val="-5"/>
          <w:sz w:val="18"/>
        </w:rPr>
        <w:t> </w:t>
      </w:r>
      <w:r>
        <w:rPr>
          <w:i/>
          <w:sz w:val="18"/>
        </w:rPr>
        <w:t>geen</w:t>
      </w:r>
      <w:r>
        <w:rPr>
          <w:i/>
          <w:spacing w:val="-2"/>
          <w:sz w:val="18"/>
        </w:rPr>
        <w:t> </w:t>
      </w:r>
      <w:r>
        <w:rPr>
          <w:i/>
          <w:sz w:val="18"/>
        </w:rPr>
        <w:t>officiële</w:t>
      </w:r>
      <w:r>
        <w:rPr>
          <w:i/>
          <w:sz w:val="18"/>
        </w:rPr>
        <w:t> effectenbeoordeling heeft vastgesteld.</w:t>
      </w:r>
    </w:p>
    <w:p>
      <w:pPr>
        <w:pStyle w:val="BodyText"/>
        <w:spacing w:before="19"/>
        <w:rPr>
          <w:i/>
        </w:rPr>
      </w:pPr>
    </w:p>
    <w:p>
      <w:pPr>
        <w:pStyle w:val="BodyText"/>
        <w:spacing w:before="1" w:line="264" w:lineRule="auto"/>
        <w:ind w:left="120" w:right="193"/>
      </w:pPr>
      <w:r>
        <w:rPr/>
        <w:t>De</w:t>
      </w:r>
      <w:r>
        <w:rPr>
          <w:spacing w:val="-3"/>
        </w:rPr>
        <w:t> </w:t>
      </w:r>
      <w:r>
        <w:rPr/>
        <w:t>Europese</w:t>
      </w:r>
      <w:r>
        <w:rPr>
          <w:spacing w:val="-3"/>
        </w:rPr>
        <w:t> </w:t>
      </w:r>
      <w:r>
        <w:rPr/>
        <w:t>Commissie</w:t>
      </w:r>
      <w:r>
        <w:rPr>
          <w:spacing w:val="-5"/>
        </w:rPr>
        <w:t> </w:t>
      </w:r>
      <w:r>
        <w:rPr/>
        <w:t>heeft</w:t>
      </w:r>
      <w:r>
        <w:rPr>
          <w:spacing w:val="-2"/>
        </w:rPr>
        <w:t> </w:t>
      </w:r>
      <w:r>
        <w:rPr/>
        <w:t>geen</w:t>
      </w:r>
      <w:r>
        <w:rPr>
          <w:spacing w:val="-2"/>
        </w:rPr>
        <w:t> </w:t>
      </w:r>
      <w:r>
        <w:rPr/>
        <w:t>officiële</w:t>
      </w:r>
      <w:r>
        <w:rPr>
          <w:spacing w:val="-3"/>
        </w:rPr>
        <w:t> </w:t>
      </w:r>
      <w:r>
        <w:rPr/>
        <w:t>effectbeoordeling</w:t>
      </w:r>
      <w:r>
        <w:rPr>
          <w:spacing w:val="-3"/>
        </w:rPr>
        <w:t> </w:t>
      </w:r>
      <w:r>
        <w:rPr/>
        <w:t>opgesteld,</w:t>
      </w:r>
      <w:r>
        <w:rPr>
          <w:spacing w:val="-4"/>
        </w:rPr>
        <w:t> </w:t>
      </w:r>
      <w:r>
        <w:rPr/>
        <w:t>omdat</w:t>
      </w:r>
      <w:r>
        <w:rPr>
          <w:spacing w:val="-2"/>
        </w:rPr>
        <w:t> </w:t>
      </w:r>
      <w:r>
        <w:rPr/>
        <w:t>zij</w:t>
      </w:r>
      <w:r>
        <w:rPr>
          <w:spacing w:val="-3"/>
        </w:rPr>
        <w:t> </w:t>
      </w:r>
      <w:r>
        <w:rPr/>
        <w:t>zich</w:t>
      </w:r>
      <w:r>
        <w:rPr>
          <w:spacing w:val="-2"/>
        </w:rPr>
        <w:t> </w:t>
      </w:r>
      <w:r>
        <w:rPr/>
        <w:t>baseert</w:t>
      </w:r>
      <w:r>
        <w:rPr>
          <w:spacing w:val="-2"/>
        </w:rPr>
        <w:t> </w:t>
      </w:r>
      <w:r>
        <w:rPr/>
        <w:t>op het uitgebreide rapport van de Europese Autoriteit voor effecten en markten (ESMA) van november 2024.</w:t>
      </w:r>
      <w:hyperlink w:history="true" w:anchor="_bookmark2">
        <w:r>
          <w:rPr>
            <w:position w:val="6"/>
            <w:sz w:val="12"/>
          </w:rPr>
          <w:t>3</w:t>
        </w:r>
      </w:hyperlink>
      <w:r>
        <w:rPr>
          <w:spacing w:val="30"/>
          <w:position w:val="6"/>
          <w:sz w:val="12"/>
        </w:rPr>
        <w:t> </w:t>
      </w:r>
      <w:r>
        <w:rPr/>
        <w:t>In dat rapport zijn de kosten, baten en overwegingen rond de overgang naar een T+1 settlementcyclus uitvoerig geanalyseerd. Op basis van deze analyse heeft de Commissie een zogenoemd </w:t>
      </w:r>
      <w:r>
        <w:rPr>
          <w:i/>
        </w:rPr>
        <w:t>Staff Working Document </w:t>
      </w:r>
      <w:r>
        <w:rPr/>
        <w:t>gepubliceerd met een kwalitatieve inschatting van de impact.</w:t>
      </w:r>
      <w:hyperlink w:history="true" w:anchor="_bookmark3">
        <w:r>
          <w:rPr>
            <w:position w:val="6"/>
            <w:sz w:val="12"/>
          </w:rPr>
          <w:t>4</w:t>
        </w:r>
      </w:hyperlink>
      <w:r>
        <w:rPr>
          <w:spacing w:val="33"/>
          <w:position w:val="6"/>
          <w:sz w:val="12"/>
        </w:rPr>
        <w:t> </w:t>
      </w:r>
      <w:r>
        <w:rPr/>
        <w:t>Gezien de beschikbare onderbouwing van ESMA, achtte de Commissie een formele effectbeoordeling niet noodzakelijk.</w:t>
      </w:r>
    </w:p>
    <w:p>
      <w:pPr>
        <w:pStyle w:val="BodyText"/>
        <w:spacing w:before="17"/>
      </w:pPr>
    </w:p>
    <w:p>
      <w:pPr>
        <w:spacing w:before="0" w:line="264" w:lineRule="auto"/>
        <w:ind w:left="120" w:right="126" w:firstLine="0"/>
        <w:jc w:val="left"/>
        <w:rPr>
          <w:i/>
          <w:sz w:val="18"/>
        </w:rPr>
      </w:pPr>
      <w:r>
        <w:rPr>
          <w:i/>
          <w:sz w:val="18"/>
        </w:rPr>
        <w:t>Ook willen de leden van deze fractie een nadere duiding van het kabinet over of er hogere kosten</w:t>
      </w:r>
      <w:r>
        <w:rPr>
          <w:i/>
          <w:sz w:val="18"/>
        </w:rPr>
        <w:t> te verwachten zijn voor de consument door de kortere settlementcyclus, aangezien de Europese Commissie aangeeft dat twee grote EU-bankengroepen inschatten dat hun kosten met vier en tien miljoen euro stijgen als gevolg van de maatregel. Het kabinet schrijft dat de ervaring in de Verenigde</w:t>
      </w:r>
      <w:r>
        <w:rPr>
          <w:i/>
          <w:spacing w:val="-3"/>
          <w:sz w:val="18"/>
        </w:rPr>
        <w:t> </w:t>
      </w:r>
      <w:r>
        <w:rPr>
          <w:i/>
          <w:sz w:val="18"/>
        </w:rPr>
        <w:t>Staten</w:t>
      </w:r>
      <w:r>
        <w:rPr>
          <w:i/>
          <w:spacing w:val="-2"/>
          <w:sz w:val="18"/>
        </w:rPr>
        <w:t> </w:t>
      </w:r>
      <w:r>
        <w:rPr>
          <w:i/>
          <w:sz w:val="18"/>
        </w:rPr>
        <w:t>geen</w:t>
      </w:r>
      <w:r>
        <w:rPr>
          <w:i/>
          <w:spacing w:val="-2"/>
          <w:sz w:val="18"/>
        </w:rPr>
        <w:t> </w:t>
      </w:r>
      <w:r>
        <w:rPr>
          <w:i/>
          <w:sz w:val="18"/>
        </w:rPr>
        <w:t>aanleiding</w:t>
      </w:r>
      <w:r>
        <w:rPr>
          <w:i/>
          <w:spacing w:val="-2"/>
          <w:sz w:val="18"/>
        </w:rPr>
        <w:t> </w:t>
      </w:r>
      <w:r>
        <w:rPr>
          <w:i/>
          <w:sz w:val="18"/>
        </w:rPr>
        <w:t>geven</w:t>
      </w:r>
      <w:r>
        <w:rPr>
          <w:i/>
          <w:spacing w:val="-2"/>
          <w:sz w:val="18"/>
        </w:rPr>
        <w:t> </w:t>
      </w:r>
      <w:r>
        <w:rPr>
          <w:i/>
          <w:sz w:val="18"/>
        </w:rPr>
        <w:t>tot</w:t>
      </w:r>
      <w:r>
        <w:rPr>
          <w:i/>
          <w:spacing w:val="-2"/>
          <w:sz w:val="18"/>
        </w:rPr>
        <w:t> </w:t>
      </w:r>
      <w:r>
        <w:rPr>
          <w:i/>
          <w:sz w:val="18"/>
        </w:rPr>
        <w:t>zorgen</w:t>
      </w:r>
      <w:r>
        <w:rPr>
          <w:i/>
          <w:spacing w:val="-4"/>
          <w:sz w:val="18"/>
        </w:rPr>
        <w:t> </w:t>
      </w:r>
      <w:r>
        <w:rPr>
          <w:i/>
          <w:sz w:val="18"/>
        </w:rPr>
        <w:t>over</w:t>
      </w:r>
      <w:r>
        <w:rPr>
          <w:i/>
          <w:spacing w:val="-3"/>
          <w:sz w:val="18"/>
        </w:rPr>
        <w:t> </w:t>
      </w:r>
      <w:r>
        <w:rPr>
          <w:i/>
          <w:sz w:val="18"/>
        </w:rPr>
        <w:t>stijgende</w:t>
      </w:r>
      <w:r>
        <w:rPr>
          <w:i/>
          <w:spacing w:val="-3"/>
          <w:sz w:val="18"/>
        </w:rPr>
        <w:t> </w:t>
      </w:r>
      <w:r>
        <w:rPr>
          <w:i/>
          <w:sz w:val="18"/>
        </w:rPr>
        <w:t>kosten</w:t>
      </w:r>
      <w:r>
        <w:rPr>
          <w:i/>
          <w:spacing w:val="-2"/>
          <w:sz w:val="18"/>
        </w:rPr>
        <w:t> </w:t>
      </w:r>
      <w:r>
        <w:rPr>
          <w:i/>
          <w:sz w:val="18"/>
        </w:rPr>
        <w:t>voor</w:t>
      </w:r>
      <w:r>
        <w:rPr>
          <w:i/>
          <w:spacing w:val="-6"/>
          <w:sz w:val="18"/>
        </w:rPr>
        <w:t> </w:t>
      </w:r>
      <w:r>
        <w:rPr>
          <w:i/>
          <w:sz w:val="18"/>
        </w:rPr>
        <w:t>consumenten,</w:t>
      </w:r>
      <w:r>
        <w:rPr>
          <w:i/>
          <w:spacing w:val="-4"/>
          <w:sz w:val="18"/>
        </w:rPr>
        <w:t> </w:t>
      </w:r>
      <w:r>
        <w:rPr>
          <w:i/>
          <w:sz w:val="18"/>
        </w:rPr>
        <w:t>maar de situatie in de Europese Unie kan anders zijn natuurlijk.</w:t>
      </w:r>
    </w:p>
    <w:p>
      <w:pPr>
        <w:pStyle w:val="BodyText"/>
        <w:spacing w:before="17"/>
        <w:rPr>
          <w:i/>
        </w:rPr>
      </w:pPr>
    </w:p>
    <w:p>
      <w:pPr>
        <w:pStyle w:val="BodyText"/>
        <w:spacing w:line="264" w:lineRule="auto"/>
        <w:ind w:left="119" w:right="162"/>
      </w:pPr>
      <w:r>
        <w:rPr/>
        <w:t>In</w:t>
      </w:r>
      <w:r>
        <w:rPr>
          <w:spacing w:val="-1"/>
        </w:rPr>
        <w:t> </w:t>
      </w:r>
      <w:r>
        <w:rPr/>
        <w:t>de</w:t>
      </w:r>
      <w:r>
        <w:rPr>
          <w:spacing w:val="-2"/>
        </w:rPr>
        <w:t> </w:t>
      </w:r>
      <w:r>
        <w:rPr/>
        <w:t>Verenigde</w:t>
      </w:r>
      <w:r>
        <w:rPr>
          <w:spacing w:val="-2"/>
        </w:rPr>
        <w:t> </w:t>
      </w:r>
      <w:r>
        <w:rPr/>
        <w:t>Staten</w:t>
      </w:r>
      <w:r>
        <w:rPr>
          <w:spacing w:val="-1"/>
        </w:rPr>
        <w:t> </w:t>
      </w:r>
      <w:r>
        <w:rPr/>
        <w:t>zijn,</w:t>
      </w:r>
      <w:r>
        <w:rPr>
          <w:spacing w:val="-3"/>
        </w:rPr>
        <w:t> </w:t>
      </w:r>
      <w:r>
        <w:rPr/>
        <w:t>zoals</w:t>
      </w:r>
      <w:r>
        <w:rPr>
          <w:spacing w:val="-2"/>
        </w:rPr>
        <w:t> </w:t>
      </w:r>
      <w:r>
        <w:rPr/>
        <w:t>de</w:t>
      </w:r>
      <w:r>
        <w:rPr>
          <w:spacing w:val="-2"/>
        </w:rPr>
        <w:t> </w:t>
      </w:r>
      <w:r>
        <w:rPr/>
        <w:t>leden</w:t>
      </w:r>
      <w:r>
        <w:rPr>
          <w:spacing w:val="-1"/>
        </w:rPr>
        <w:t> </w:t>
      </w:r>
      <w:r>
        <w:rPr/>
        <w:t>van</w:t>
      </w:r>
      <w:r>
        <w:rPr>
          <w:spacing w:val="-1"/>
        </w:rPr>
        <w:t> </w:t>
      </w:r>
      <w:r>
        <w:rPr/>
        <w:t>de</w:t>
      </w:r>
      <w:r>
        <w:rPr>
          <w:spacing w:val="-2"/>
        </w:rPr>
        <w:t> </w:t>
      </w:r>
      <w:r>
        <w:rPr/>
        <w:t>VVD-fractie</w:t>
      </w:r>
      <w:r>
        <w:rPr>
          <w:spacing w:val="-2"/>
        </w:rPr>
        <w:t> </w:t>
      </w:r>
      <w:r>
        <w:rPr/>
        <w:t>ook</w:t>
      </w:r>
      <w:r>
        <w:rPr>
          <w:spacing w:val="-3"/>
        </w:rPr>
        <w:t> </w:t>
      </w:r>
      <w:r>
        <w:rPr/>
        <w:t>opmerken,</w:t>
      </w:r>
      <w:r>
        <w:rPr>
          <w:spacing w:val="-3"/>
        </w:rPr>
        <w:t> </w:t>
      </w:r>
      <w:r>
        <w:rPr/>
        <w:t>na</w:t>
      </w:r>
      <w:r>
        <w:rPr>
          <w:spacing w:val="-2"/>
        </w:rPr>
        <w:t> </w:t>
      </w:r>
      <w:r>
        <w:rPr/>
        <w:t>de</w:t>
      </w:r>
      <w:r>
        <w:rPr>
          <w:spacing w:val="-2"/>
        </w:rPr>
        <w:t> </w:t>
      </w:r>
      <w:r>
        <w:rPr/>
        <w:t>invoering</w:t>
      </w:r>
      <w:r>
        <w:rPr>
          <w:spacing w:val="-2"/>
        </w:rPr>
        <w:t> </w:t>
      </w:r>
      <w:r>
        <w:rPr/>
        <w:t>van T+1</w:t>
      </w:r>
      <w:r>
        <w:rPr>
          <w:spacing w:val="-3"/>
        </w:rPr>
        <w:t> </w:t>
      </w:r>
      <w:r>
        <w:rPr/>
        <w:t>geen</w:t>
      </w:r>
      <w:r>
        <w:rPr>
          <w:spacing w:val="-3"/>
        </w:rPr>
        <w:t> </w:t>
      </w:r>
      <w:r>
        <w:rPr/>
        <w:t>prijsstijgingen</w:t>
      </w:r>
      <w:r>
        <w:rPr>
          <w:spacing w:val="-3"/>
        </w:rPr>
        <w:t> </w:t>
      </w:r>
      <w:r>
        <w:rPr/>
        <w:t>voor</w:t>
      </w:r>
      <w:r>
        <w:rPr>
          <w:spacing w:val="-3"/>
        </w:rPr>
        <w:t> </w:t>
      </w:r>
      <w:r>
        <w:rPr/>
        <w:t>consumenten</w:t>
      </w:r>
      <w:r>
        <w:rPr>
          <w:spacing w:val="-3"/>
        </w:rPr>
        <w:t> </w:t>
      </w:r>
      <w:r>
        <w:rPr/>
        <w:t>geconstateerd.</w:t>
      </w:r>
      <w:r>
        <w:rPr>
          <w:spacing w:val="-5"/>
        </w:rPr>
        <w:t> </w:t>
      </w:r>
      <w:r>
        <w:rPr/>
        <w:t>Hoewel</w:t>
      </w:r>
      <w:r>
        <w:rPr>
          <w:spacing w:val="-3"/>
        </w:rPr>
        <w:t> </w:t>
      </w:r>
      <w:r>
        <w:rPr/>
        <w:t>de</w:t>
      </w:r>
      <w:r>
        <w:rPr>
          <w:spacing w:val="-3"/>
        </w:rPr>
        <w:t> </w:t>
      </w:r>
      <w:r>
        <w:rPr/>
        <w:t>situatie</w:t>
      </w:r>
      <w:r>
        <w:rPr>
          <w:spacing w:val="-3"/>
        </w:rPr>
        <w:t> </w:t>
      </w:r>
      <w:r>
        <w:rPr/>
        <w:t>in</w:t>
      </w:r>
      <w:r>
        <w:rPr>
          <w:spacing w:val="-3"/>
        </w:rPr>
        <w:t> </w:t>
      </w:r>
      <w:r>
        <w:rPr/>
        <w:t>de</w:t>
      </w:r>
      <w:r>
        <w:rPr>
          <w:spacing w:val="-3"/>
        </w:rPr>
        <w:t> </w:t>
      </w:r>
      <w:r>
        <w:rPr/>
        <w:t>Europese</w:t>
      </w:r>
      <w:r>
        <w:rPr>
          <w:spacing w:val="-3"/>
        </w:rPr>
        <w:t> </w:t>
      </w:r>
      <w:r>
        <w:rPr/>
        <w:t>Unie kan afwijken van die in de Verenigde Staten, ziet het kabinet op basis van de huidige informatie geen aanleiding om aan te nemen dat de verkorting van de settlementcyclus in de EU wel zal leiden tot hogere kosten voor consumenten. De Europese Commissie wijst erop dat sommige</w:t>
      </w:r>
    </w:p>
    <w:p>
      <w:pPr>
        <w:pStyle w:val="BodyText"/>
        <w:spacing w:before="8"/>
        <w:rPr>
          <w:sz w:val="12"/>
        </w:rPr>
      </w:pPr>
      <w:r>
        <w:rPr/>
        <ve:AlternateContent>
          <ve: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113294</wp:posOffset>
                </wp:positionV>
                <wp:extent cx="182880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2" style="position:absolute;margin-left:72pt;margin-top:8.920811pt;width:144pt;height:.48pt;mso-position-horizontal-relative:page;mso-position-vertical-relative:paragraph;z-index:-15728640;mso-wrap-distance-left:0;mso-wrap-distance-right:0" filled="true" fillcolor="#000000" stroked="false">
                <v:fill type="solid"/>
                <w10:wrap type="topAndBottom"/>
              </v:rect>
            </w:pict>
          </ve:Fallback>
        </ve:AlternateContent>
      </w:r>
    </w:p>
    <w:p>
      <w:pPr>
        <w:spacing w:before="88"/>
        <w:ind w:left="120" w:right="154" w:firstLine="0"/>
        <w:jc w:val="left"/>
        <w:rPr>
          <w:sz w:val="16"/>
        </w:rPr>
      </w:pPr>
      <w:bookmarkStart w:name="_bookmark0" w:id="1"/>
      <w:bookmarkEnd w:id="1"/>
      <w:r>
        <w:rPr/>
      </w:r>
      <w:r>
        <w:rPr>
          <w:sz w:val="16"/>
          <w:vertAlign w:val="superscript"/>
        </w:rPr>
        <w:t>1</w:t>
      </w:r>
      <w:r>
        <w:rPr>
          <w:sz w:val="16"/>
          <w:vertAlign w:val="baseline"/>
        </w:rPr>
        <w:t> Zie de coördinatiestructuur op </w:t>
      </w:r>
      <w:hyperlink r:id="rId6">
        <w:r>
          <w:rPr>
            <w:color w:val="0562C1"/>
            <w:sz w:val="16"/>
            <w:u w:val="single" w:color="0562C1"/>
            <w:vertAlign w:val="baseline"/>
          </w:rPr>
          <w:t>https://www.esma.europa.eu/esmas-activities/markets-and-</w:t>
        </w:r>
      </w:hyperlink>
      <w:r>
        <w:rPr>
          <w:color w:val="0562C1"/>
          <w:sz w:val="16"/>
          <w:u w:val="none"/>
          <w:vertAlign w:val="baseline"/>
        </w:rPr>
        <w:t> </w:t>
      </w:r>
      <w:hyperlink r:id="rId6">
        <w:r>
          <w:rPr>
            <w:color w:val="0562C1"/>
            <w:sz w:val="16"/>
            <w:u w:val="single" w:color="0562C1"/>
            <w:vertAlign w:val="baseline"/>
          </w:rPr>
          <w:t>infrastructure/shortening-settlement-cycle-t1-eu</w:t>
        </w:r>
      </w:hyperlink>
      <w:r>
        <w:rPr>
          <w:sz w:val="16"/>
          <w:u w:val="none"/>
          <w:vertAlign w:val="baseline"/>
        </w:rPr>
        <w:t>.</w:t>
      </w:r>
      <w:r>
        <w:rPr>
          <w:spacing w:val="-4"/>
          <w:sz w:val="16"/>
          <w:u w:val="none"/>
          <w:vertAlign w:val="baseline"/>
        </w:rPr>
        <w:t> </w:t>
      </w:r>
      <w:r>
        <w:rPr>
          <w:sz w:val="16"/>
          <w:u w:val="none"/>
          <w:vertAlign w:val="baseline"/>
        </w:rPr>
        <w:t>In</w:t>
      </w:r>
      <w:r>
        <w:rPr>
          <w:spacing w:val="-6"/>
          <w:sz w:val="16"/>
          <w:u w:val="none"/>
          <w:vertAlign w:val="baseline"/>
        </w:rPr>
        <w:t> </w:t>
      </w:r>
      <w:r>
        <w:rPr>
          <w:sz w:val="16"/>
          <w:u w:val="none"/>
          <w:vertAlign w:val="baseline"/>
        </w:rPr>
        <w:t>het</w:t>
      </w:r>
      <w:r>
        <w:rPr>
          <w:spacing w:val="-4"/>
          <w:sz w:val="16"/>
          <w:u w:val="none"/>
          <w:vertAlign w:val="baseline"/>
        </w:rPr>
        <w:t> </w:t>
      </w:r>
      <w:r>
        <w:rPr>
          <w:sz w:val="16"/>
          <w:u w:val="none"/>
          <w:vertAlign w:val="baseline"/>
        </w:rPr>
        <w:t>coördinatie-comité</w:t>
      </w:r>
      <w:r>
        <w:rPr>
          <w:spacing w:val="-3"/>
          <w:sz w:val="16"/>
          <w:u w:val="none"/>
          <w:vertAlign w:val="baseline"/>
        </w:rPr>
        <w:t> </w:t>
      </w:r>
      <w:r>
        <w:rPr>
          <w:sz w:val="16"/>
          <w:u w:val="none"/>
          <w:vertAlign w:val="baseline"/>
        </w:rPr>
        <w:t>hebben</w:t>
      </w:r>
      <w:r>
        <w:rPr>
          <w:spacing w:val="-7"/>
          <w:sz w:val="16"/>
          <w:u w:val="none"/>
          <w:vertAlign w:val="baseline"/>
        </w:rPr>
        <w:t> </w:t>
      </w:r>
      <w:r>
        <w:rPr>
          <w:sz w:val="16"/>
          <w:u w:val="none"/>
          <w:vertAlign w:val="baseline"/>
        </w:rPr>
        <w:t>vertegenwoordigers</w:t>
      </w:r>
      <w:r>
        <w:rPr>
          <w:spacing w:val="-5"/>
          <w:sz w:val="16"/>
          <w:u w:val="none"/>
          <w:vertAlign w:val="baseline"/>
        </w:rPr>
        <w:t> </w:t>
      </w:r>
      <w:r>
        <w:rPr>
          <w:sz w:val="16"/>
          <w:u w:val="none"/>
          <w:vertAlign w:val="baseline"/>
        </w:rPr>
        <w:t>van</w:t>
      </w:r>
      <w:r>
        <w:rPr>
          <w:spacing w:val="-6"/>
          <w:sz w:val="16"/>
          <w:u w:val="none"/>
          <w:vertAlign w:val="baseline"/>
        </w:rPr>
        <w:t> </w:t>
      </w:r>
      <w:r>
        <w:rPr>
          <w:sz w:val="16"/>
          <w:u w:val="none"/>
          <w:vertAlign w:val="baseline"/>
        </w:rPr>
        <w:t>de Europese Commissie, de Europese Autoriteit voor effecten en markten (ESMA) en de Europese Centrale Bank (ECB) zitting.</w:t>
      </w:r>
    </w:p>
    <w:p>
      <w:pPr>
        <w:spacing w:before="3"/>
        <w:ind w:left="119" w:right="120" w:firstLine="0"/>
        <w:jc w:val="left"/>
        <w:rPr>
          <w:sz w:val="16"/>
        </w:rPr>
      </w:pPr>
      <w:bookmarkStart w:name="_bookmark1" w:id="2"/>
      <w:bookmarkEnd w:id="2"/>
      <w:r>
        <w:rPr/>
      </w:r>
      <w:r>
        <w:rPr>
          <w:sz w:val="16"/>
          <w:vertAlign w:val="superscript"/>
        </w:rPr>
        <w:t>2</w:t>
      </w:r>
      <w:r>
        <w:rPr>
          <w:spacing w:val="-1"/>
          <w:sz w:val="16"/>
          <w:vertAlign w:val="baseline"/>
        </w:rPr>
        <w:t> </w:t>
      </w:r>
      <w:r>
        <w:rPr>
          <w:sz w:val="16"/>
          <w:vertAlign w:val="baseline"/>
        </w:rPr>
        <w:t>SFTs</w:t>
      </w:r>
      <w:r>
        <w:rPr>
          <w:spacing w:val="-2"/>
          <w:sz w:val="16"/>
          <w:vertAlign w:val="baseline"/>
        </w:rPr>
        <w:t> </w:t>
      </w:r>
      <w:r>
        <w:rPr>
          <w:sz w:val="16"/>
          <w:vertAlign w:val="baseline"/>
        </w:rPr>
        <w:t>is</w:t>
      </w:r>
      <w:r>
        <w:rPr>
          <w:spacing w:val="-4"/>
          <w:sz w:val="16"/>
          <w:vertAlign w:val="baseline"/>
        </w:rPr>
        <w:t> </w:t>
      </w:r>
      <w:r>
        <w:rPr>
          <w:sz w:val="16"/>
          <w:vertAlign w:val="baseline"/>
        </w:rPr>
        <w:t>de</w:t>
      </w:r>
      <w:r>
        <w:rPr>
          <w:spacing w:val="-4"/>
          <w:sz w:val="16"/>
          <w:vertAlign w:val="baseline"/>
        </w:rPr>
        <w:t> </w:t>
      </w:r>
      <w:r>
        <w:rPr>
          <w:sz w:val="16"/>
          <w:vertAlign w:val="baseline"/>
        </w:rPr>
        <w:t>verzamelterm</w:t>
      </w:r>
      <w:r>
        <w:rPr>
          <w:spacing w:val="-5"/>
          <w:sz w:val="16"/>
          <w:vertAlign w:val="baseline"/>
        </w:rPr>
        <w:t> </w:t>
      </w:r>
      <w:r>
        <w:rPr>
          <w:sz w:val="16"/>
          <w:vertAlign w:val="baseline"/>
        </w:rPr>
        <w:t>voor</w:t>
      </w:r>
      <w:r>
        <w:rPr>
          <w:spacing w:val="-1"/>
          <w:sz w:val="16"/>
          <w:vertAlign w:val="baseline"/>
        </w:rPr>
        <w:t> </w:t>
      </w:r>
      <w:r>
        <w:rPr>
          <w:sz w:val="16"/>
          <w:vertAlign w:val="baseline"/>
        </w:rPr>
        <w:t>een</w:t>
      </w:r>
      <w:r>
        <w:rPr>
          <w:spacing w:val="-3"/>
          <w:sz w:val="16"/>
          <w:vertAlign w:val="baseline"/>
        </w:rPr>
        <w:t> </w:t>
      </w:r>
      <w:r>
        <w:rPr>
          <w:sz w:val="16"/>
          <w:vertAlign w:val="baseline"/>
        </w:rPr>
        <w:t>aantal</w:t>
      </w:r>
      <w:r>
        <w:rPr>
          <w:spacing w:val="-3"/>
          <w:sz w:val="16"/>
          <w:vertAlign w:val="baseline"/>
        </w:rPr>
        <w:t> </w:t>
      </w:r>
      <w:r>
        <w:rPr>
          <w:sz w:val="16"/>
          <w:vertAlign w:val="baseline"/>
        </w:rPr>
        <w:t>verschillende</w:t>
      </w:r>
      <w:r>
        <w:rPr>
          <w:spacing w:val="-2"/>
          <w:sz w:val="16"/>
          <w:vertAlign w:val="baseline"/>
        </w:rPr>
        <w:t> </w:t>
      </w:r>
      <w:r>
        <w:rPr>
          <w:sz w:val="16"/>
          <w:vertAlign w:val="baseline"/>
        </w:rPr>
        <w:t>transacties</w:t>
      </w:r>
      <w:r>
        <w:rPr>
          <w:spacing w:val="-2"/>
          <w:sz w:val="16"/>
          <w:vertAlign w:val="baseline"/>
        </w:rPr>
        <w:t> </w:t>
      </w:r>
      <w:r>
        <w:rPr>
          <w:sz w:val="16"/>
          <w:vertAlign w:val="baseline"/>
        </w:rPr>
        <w:t>uitgevoerd</w:t>
      </w:r>
      <w:r>
        <w:rPr>
          <w:spacing w:val="-4"/>
          <w:sz w:val="16"/>
          <w:vertAlign w:val="baseline"/>
        </w:rPr>
        <w:t> </w:t>
      </w:r>
      <w:r>
        <w:rPr>
          <w:sz w:val="16"/>
          <w:vertAlign w:val="baseline"/>
        </w:rPr>
        <w:t>door</w:t>
      </w:r>
      <w:r>
        <w:rPr>
          <w:spacing w:val="-4"/>
          <w:sz w:val="16"/>
          <w:vertAlign w:val="baseline"/>
        </w:rPr>
        <w:t> </w:t>
      </w:r>
      <w:r>
        <w:rPr>
          <w:sz w:val="16"/>
          <w:vertAlign w:val="baseline"/>
        </w:rPr>
        <w:t>marktpartijen</w:t>
      </w:r>
      <w:r>
        <w:rPr>
          <w:spacing w:val="-3"/>
          <w:sz w:val="16"/>
          <w:vertAlign w:val="baseline"/>
        </w:rPr>
        <w:t> </w:t>
      </w:r>
      <w:r>
        <w:rPr>
          <w:sz w:val="16"/>
          <w:vertAlign w:val="baseline"/>
        </w:rPr>
        <w:t>om</w:t>
      </w:r>
      <w:r>
        <w:rPr>
          <w:spacing w:val="-3"/>
          <w:sz w:val="16"/>
          <w:vertAlign w:val="baseline"/>
        </w:rPr>
        <w:t> </w:t>
      </w:r>
      <w:r>
        <w:rPr>
          <w:sz w:val="16"/>
          <w:vertAlign w:val="baseline"/>
        </w:rPr>
        <w:t>hun activa,</w:t>
      </w:r>
      <w:r>
        <w:rPr>
          <w:spacing w:val="-2"/>
          <w:sz w:val="16"/>
          <w:vertAlign w:val="baseline"/>
        </w:rPr>
        <w:t> </w:t>
      </w:r>
      <w:r>
        <w:rPr>
          <w:sz w:val="16"/>
          <w:vertAlign w:val="baseline"/>
        </w:rPr>
        <w:t>zoals</w:t>
      </w:r>
      <w:r>
        <w:rPr>
          <w:spacing w:val="-1"/>
          <w:sz w:val="16"/>
          <w:vertAlign w:val="baseline"/>
        </w:rPr>
        <w:t> </w:t>
      </w:r>
      <w:r>
        <w:rPr>
          <w:sz w:val="16"/>
          <w:vertAlign w:val="baseline"/>
        </w:rPr>
        <w:t>aandelen</w:t>
      </w:r>
      <w:r>
        <w:rPr>
          <w:spacing w:val="-4"/>
          <w:sz w:val="16"/>
          <w:vertAlign w:val="baseline"/>
        </w:rPr>
        <w:t> </w:t>
      </w:r>
      <w:r>
        <w:rPr>
          <w:sz w:val="16"/>
          <w:vertAlign w:val="baseline"/>
        </w:rPr>
        <w:t>en</w:t>
      </w:r>
      <w:r>
        <w:rPr>
          <w:spacing w:val="-2"/>
          <w:sz w:val="16"/>
          <w:vertAlign w:val="baseline"/>
        </w:rPr>
        <w:t> </w:t>
      </w:r>
      <w:r>
        <w:rPr>
          <w:sz w:val="16"/>
          <w:vertAlign w:val="baseline"/>
        </w:rPr>
        <w:t>obligaties</w:t>
      </w:r>
      <w:r>
        <w:rPr>
          <w:spacing w:val="-1"/>
          <w:sz w:val="16"/>
          <w:vertAlign w:val="baseline"/>
        </w:rPr>
        <w:t> </w:t>
      </w:r>
      <w:r>
        <w:rPr>
          <w:sz w:val="16"/>
          <w:vertAlign w:val="baseline"/>
        </w:rPr>
        <w:t>te</w:t>
      </w:r>
      <w:r>
        <w:rPr>
          <w:spacing w:val="-3"/>
          <w:sz w:val="16"/>
          <w:vertAlign w:val="baseline"/>
        </w:rPr>
        <w:t> </w:t>
      </w:r>
      <w:r>
        <w:rPr>
          <w:sz w:val="16"/>
          <w:vertAlign w:val="baseline"/>
        </w:rPr>
        <w:t>gebruiken</w:t>
      </w:r>
      <w:r>
        <w:rPr>
          <w:spacing w:val="-4"/>
          <w:sz w:val="16"/>
          <w:vertAlign w:val="baseline"/>
        </w:rPr>
        <w:t> </w:t>
      </w:r>
      <w:r>
        <w:rPr>
          <w:sz w:val="16"/>
          <w:vertAlign w:val="baseline"/>
        </w:rPr>
        <w:t>om</w:t>
      </w:r>
      <w:r>
        <w:rPr>
          <w:spacing w:val="-4"/>
          <w:sz w:val="16"/>
          <w:vertAlign w:val="baseline"/>
        </w:rPr>
        <w:t> </w:t>
      </w:r>
      <w:r>
        <w:rPr>
          <w:sz w:val="16"/>
          <w:vertAlign w:val="baseline"/>
        </w:rPr>
        <w:t>snel</w:t>
      </w:r>
      <w:r>
        <w:rPr>
          <w:spacing w:val="-2"/>
          <w:sz w:val="16"/>
          <w:vertAlign w:val="baseline"/>
        </w:rPr>
        <w:t> </w:t>
      </w:r>
      <w:r>
        <w:rPr>
          <w:sz w:val="16"/>
          <w:vertAlign w:val="baseline"/>
        </w:rPr>
        <w:t>geld</w:t>
      </w:r>
      <w:r>
        <w:rPr>
          <w:spacing w:val="-3"/>
          <w:sz w:val="16"/>
          <w:vertAlign w:val="baseline"/>
        </w:rPr>
        <w:t> </w:t>
      </w:r>
      <w:r>
        <w:rPr>
          <w:sz w:val="16"/>
          <w:vertAlign w:val="baseline"/>
        </w:rPr>
        <w:t>op</w:t>
      </w:r>
      <w:r>
        <w:rPr>
          <w:spacing w:val="-3"/>
          <w:sz w:val="16"/>
          <w:vertAlign w:val="baseline"/>
        </w:rPr>
        <w:t> </w:t>
      </w:r>
      <w:r>
        <w:rPr>
          <w:sz w:val="16"/>
          <w:vertAlign w:val="baseline"/>
        </w:rPr>
        <w:t>te</w:t>
      </w:r>
      <w:r>
        <w:rPr>
          <w:spacing w:val="-1"/>
          <w:sz w:val="16"/>
          <w:vertAlign w:val="baseline"/>
        </w:rPr>
        <w:t> </w:t>
      </w:r>
      <w:r>
        <w:rPr>
          <w:sz w:val="16"/>
          <w:vertAlign w:val="baseline"/>
        </w:rPr>
        <w:t>halen</w:t>
      </w:r>
      <w:r>
        <w:rPr>
          <w:spacing w:val="-4"/>
          <w:sz w:val="16"/>
          <w:vertAlign w:val="baseline"/>
        </w:rPr>
        <w:t> </w:t>
      </w:r>
      <w:r>
        <w:rPr>
          <w:sz w:val="16"/>
          <w:vertAlign w:val="baseline"/>
        </w:rPr>
        <w:t>voor</w:t>
      </w:r>
      <w:r>
        <w:rPr>
          <w:spacing w:val="-3"/>
          <w:sz w:val="16"/>
          <w:vertAlign w:val="baseline"/>
        </w:rPr>
        <w:t> </w:t>
      </w:r>
      <w:r>
        <w:rPr>
          <w:sz w:val="16"/>
          <w:vertAlign w:val="baseline"/>
        </w:rPr>
        <w:t>hun</w:t>
      </w:r>
      <w:r>
        <w:rPr>
          <w:spacing w:val="-2"/>
          <w:sz w:val="16"/>
          <w:vertAlign w:val="baseline"/>
        </w:rPr>
        <w:t> </w:t>
      </w:r>
      <w:r>
        <w:rPr>
          <w:sz w:val="16"/>
          <w:vertAlign w:val="baseline"/>
        </w:rPr>
        <w:t>activiteiten.</w:t>
      </w:r>
      <w:r>
        <w:rPr>
          <w:spacing w:val="-2"/>
          <w:sz w:val="16"/>
          <w:vertAlign w:val="baseline"/>
        </w:rPr>
        <w:t> </w:t>
      </w:r>
      <w:r>
        <w:rPr>
          <w:sz w:val="16"/>
          <w:vertAlign w:val="baseline"/>
        </w:rPr>
        <w:t>Dergelijke transacties zijn onder meer de repurchase transactions (repo’s) waarbij iemand een effect verkoopt en afspreekt om dat later weer terug te kopen voor hetzelfde bedrag met rente.</w:t>
      </w:r>
    </w:p>
    <w:p>
      <w:pPr>
        <w:spacing w:before="0"/>
        <w:ind w:left="120" w:right="0" w:hanging="1"/>
        <w:jc w:val="left"/>
        <w:rPr>
          <w:sz w:val="16"/>
        </w:rPr>
      </w:pPr>
      <w:bookmarkStart w:name="_bookmark2" w:id="3"/>
      <w:bookmarkEnd w:id="3"/>
      <w:r>
        <w:rPr/>
      </w:r>
      <w:r>
        <w:rPr>
          <w:sz w:val="16"/>
          <w:vertAlign w:val="superscript"/>
        </w:rPr>
        <w:t>3</w:t>
      </w:r>
      <w:r>
        <w:rPr>
          <w:spacing w:val="-15"/>
          <w:sz w:val="16"/>
          <w:vertAlign w:val="baseline"/>
        </w:rPr>
        <w:t> </w:t>
      </w:r>
      <w:r>
        <w:rPr>
          <w:sz w:val="16"/>
          <w:vertAlign w:val="baseline"/>
        </w:rPr>
        <w:t>https</w:t>
      </w:r>
      <w:hyperlink r:id="rId7">
        <w:r>
          <w:rPr>
            <w:sz w:val="16"/>
            <w:vertAlign w:val="baseline"/>
          </w:rPr>
          <w:t>://www.esma.europa.eu/sites/default/files/2024-11/ESMA74-2119945925-</w:t>
        </w:r>
      </w:hyperlink>
      <w:r>
        <w:rPr>
          <w:sz w:val="16"/>
          <w:vertAlign w:val="baseline"/>
        </w:rPr>
        <w:t> </w:t>
      </w:r>
      <w:r>
        <w:rPr>
          <w:spacing w:val="-2"/>
          <w:sz w:val="16"/>
          <w:vertAlign w:val="baseline"/>
        </w:rPr>
        <w:t>1969_Report_on_shortening_settlement_cycle.pdf.</w:t>
      </w:r>
    </w:p>
    <w:p>
      <w:pPr>
        <w:spacing w:before="0"/>
        <w:ind w:left="120" w:right="0" w:firstLine="0"/>
        <w:jc w:val="left"/>
        <w:rPr>
          <w:sz w:val="16"/>
        </w:rPr>
      </w:pPr>
      <w:bookmarkStart w:name="_bookmark3" w:id="4"/>
      <w:bookmarkEnd w:id="4"/>
      <w:r>
        <w:rPr/>
      </w:r>
      <w:r>
        <w:rPr>
          <w:spacing w:val="-2"/>
          <w:sz w:val="16"/>
          <w:vertAlign w:val="superscript"/>
        </w:rPr>
        <w:t>4</w:t>
      </w:r>
      <w:r>
        <w:rPr>
          <w:spacing w:val="43"/>
          <w:sz w:val="16"/>
          <w:vertAlign w:val="baseline"/>
        </w:rPr>
        <w:t> </w:t>
      </w:r>
      <w:r>
        <w:rPr>
          <w:spacing w:val="-2"/>
          <w:sz w:val="16"/>
          <w:vertAlign w:val="baseline"/>
        </w:rPr>
        <w:t>https://eur-lex.europa.eu/legal-content/EN/TXT/PDF/?uri=CELEX:52025SC0037.</w:t>
      </w:r>
    </w:p>
    <w:p>
      <w:pPr>
        <w:spacing w:after="0"/>
        <w:jc w:val="left"/>
        <w:rPr>
          <w:sz w:val="16"/>
        </w:rPr>
        <w:sectPr>
          <w:pgSz w:w="11910" w:h="16850"/>
          <w:pgMar w:top="1380" w:right="1320" w:bottom="1100" w:left="1320" w:header="0" w:footer="900"/>
        </w:sectPr>
      </w:pPr>
    </w:p>
    <w:p>
      <w:pPr>
        <w:pStyle w:val="BodyText"/>
        <w:spacing w:before="80" w:line="264" w:lineRule="auto"/>
        <w:ind w:left="119" w:right="230"/>
      </w:pPr>
      <w:r>
        <w:rPr/>
        <w:t>marktpartijen, waaronder twee grote EU-bankengroepen, eenmalige aanpassingskosten verwachten.</w:t>
      </w:r>
      <w:r>
        <w:rPr>
          <w:spacing w:val="-5"/>
        </w:rPr>
        <w:t> </w:t>
      </w:r>
      <w:r>
        <w:rPr/>
        <w:t>Er</w:t>
      </w:r>
      <w:r>
        <w:rPr>
          <w:spacing w:val="-4"/>
        </w:rPr>
        <w:t> </w:t>
      </w:r>
      <w:r>
        <w:rPr/>
        <w:t>zijn</w:t>
      </w:r>
      <w:r>
        <w:rPr>
          <w:spacing w:val="-3"/>
        </w:rPr>
        <w:t> </w:t>
      </w:r>
      <w:r>
        <w:rPr/>
        <w:t>vooralsnog</w:t>
      </w:r>
      <w:r>
        <w:rPr>
          <w:spacing w:val="-4"/>
        </w:rPr>
        <w:t> </w:t>
      </w:r>
      <w:r>
        <w:rPr/>
        <w:t>echter</w:t>
      </w:r>
      <w:r>
        <w:rPr>
          <w:spacing w:val="-4"/>
        </w:rPr>
        <w:t> </w:t>
      </w:r>
      <w:r>
        <w:rPr/>
        <w:t>geen</w:t>
      </w:r>
      <w:r>
        <w:rPr>
          <w:spacing w:val="-3"/>
        </w:rPr>
        <w:t> </w:t>
      </w:r>
      <w:r>
        <w:rPr/>
        <w:t>aanwijzingen</w:t>
      </w:r>
      <w:r>
        <w:rPr>
          <w:spacing w:val="-3"/>
        </w:rPr>
        <w:t> </w:t>
      </w:r>
      <w:r>
        <w:rPr/>
        <w:t>dat</w:t>
      </w:r>
      <w:r>
        <w:rPr>
          <w:spacing w:val="-3"/>
        </w:rPr>
        <w:t> </w:t>
      </w:r>
      <w:r>
        <w:rPr/>
        <w:t>deze</w:t>
      </w:r>
      <w:r>
        <w:rPr>
          <w:spacing w:val="-4"/>
        </w:rPr>
        <w:t> </w:t>
      </w:r>
      <w:r>
        <w:rPr/>
        <w:t>kosten</w:t>
      </w:r>
      <w:r>
        <w:rPr>
          <w:spacing w:val="-3"/>
        </w:rPr>
        <w:t> </w:t>
      </w:r>
      <w:r>
        <w:rPr/>
        <w:t>structureel</w:t>
      </w:r>
      <w:r>
        <w:rPr>
          <w:spacing w:val="-3"/>
        </w:rPr>
        <w:t> </w:t>
      </w:r>
      <w:r>
        <w:rPr/>
        <w:t>zullen worden doorberekend de consument.</w:t>
      </w:r>
    </w:p>
    <w:p>
      <w:pPr>
        <w:pStyle w:val="BodyText"/>
        <w:spacing w:before="18"/>
      </w:pPr>
    </w:p>
    <w:p>
      <w:pPr>
        <w:spacing w:before="1" w:line="264" w:lineRule="auto"/>
        <w:ind w:left="119" w:right="120" w:firstLine="0"/>
        <w:jc w:val="left"/>
        <w:rPr>
          <w:i/>
          <w:sz w:val="18"/>
        </w:rPr>
      </w:pPr>
      <w:r>
        <w:rPr>
          <w:i/>
          <w:sz w:val="18"/>
        </w:rPr>
        <w:t>De leden van de VVD-fractie willen daarnaast weten wat de gevolgen zijn als de Nederlandse</w:t>
      </w:r>
      <w:r>
        <w:rPr>
          <w:i/>
          <w:sz w:val="18"/>
        </w:rPr>
        <w:t> overheid</w:t>
      </w:r>
      <w:r>
        <w:rPr>
          <w:i/>
          <w:spacing w:val="-3"/>
          <w:sz w:val="18"/>
        </w:rPr>
        <w:t> </w:t>
      </w:r>
      <w:r>
        <w:rPr>
          <w:i/>
          <w:sz w:val="18"/>
        </w:rPr>
        <w:t>zich</w:t>
      </w:r>
      <w:r>
        <w:rPr>
          <w:i/>
          <w:spacing w:val="-2"/>
          <w:sz w:val="18"/>
        </w:rPr>
        <w:t> </w:t>
      </w:r>
      <w:r>
        <w:rPr>
          <w:i/>
          <w:sz w:val="18"/>
        </w:rPr>
        <w:t>niet</w:t>
      </w:r>
      <w:r>
        <w:rPr>
          <w:i/>
          <w:spacing w:val="-2"/>
          <w:sz w:val="18"/>
        </w:rPr>
        <w:t> </w:t>
      </w:r>
      <w:r>
        <w:rPr>
          <w:i/>
          <w:sz w:val="18"/>
        </w:rPr>
        <w:t>aan</w:t>
      </w:r>
      <w:r>
        <w:rPr>
          <w:i/>
          <w:spacing w:val="-2"/>
          <w:sz w:val="18"/>
        </w:rPr>
        <w:t> </w:t>
      </w:r>
      <w:r>
        <w:rPr>
          <w:i/>
          <w:sz w:val="18"/>
        </w:rPr>
        <w:t>de</w:t>
      </w:r>
      <w:r>
        <w:rPr>
          <w:i/>
          <w:spacing w:val="-3"/>
          <w:sz w:val="18"/>
        </w:rPr>
        <w:t> </w:t>
      </w:r>
      <w:r>
        <w:rPr>
          <w:i/>
          <w:sz w:val="18"/>
        </w:rPr>
        <w:t>kortere</w:t>
      </w:r>
      <w:r>
        <w:rPr>
          <w:i/>
          <w:spacing w:val="-3"/>
          <w:sz w:val="18"/>
        </w:rPr>
        <w:t> </w:t>
      </w:r>
      <w:r>
        <w:rPr>
          <w:i/>
          <w:sz w:val="18"/>
        </w:rPr>
        <w:t>settlementcyclus</w:t>
      </w:r>
      <w:r>
        <w:rPr>
          <w:i/>
          <w:spacing w:val="-3"/>
          <w:sz w:val="18"/>
        </w:rPr>
        <w:t> </w:t>
      </w:r>
      <w:r>
        <w:rPr>
          <w:i/>
          <w:sz w:val="18"/>
        </w:rPr>
        <w:t>houdt</w:t>
      </w:r>
      <w:r>
        <w:rPr>
          <w:i/>
          <w:spacing w:val="-2"/>
          <w:sz w:val="18"/>
        </w:rPr>
        <w:t> </w:t>
      </w:r>
      <w:r>
        <w:rPr>
          <w:i/>
          <w:sz w:val="18"/>
        </w:rPr>
        <w:t>in</w:t>
      </w:r>
      <w:r>
        <w:rPr>
          <w:i/>
          <w:spacing w:val="-2"/>
          <w:sz w:val="18"/>
        </w:rPr>
        <w:t> </w:t>
      </w:r>
      <w:r>
        <w:rPr>
          <w:i/>
          <w:sz w:val="18"/>
        </w:rPr>
        <w:t>zijn</w:t>
      </w:r>
      <w:r>
        <w:rPr>
          <w:i/>
          <w:spacing w:val="-2"/>
          <w:sz w:val="18"/>
        </w:rPr>
        <w:t> </w:t>
      </w:r>
      <w:r>
        <w:rPr>
          <w:i/>
          <w:sz w:val="18"/>
        </w:rPr>
        <w:t>eigen</w:t>
      </w:r>
      <w:r>
        <w:rPr>
          <w:i/>
          <w:spacing w:val="-2"/>
          <w:sz w:val="18"/>
        </w:rPr>
        <w:t> </w:t>
      </w:r>
      <w:r>
        <w:rPr>
          <w:i/>
          <w:sz w:val="18"/>
        </w:rPr>
        <w:t>uitgifte</w:t>
      </w:r>
      <w:r>
        <w:rPr>
          <w:i/>
          <w:spacing w:val="-3"/>
          <w:sz w:val="18"/>
        </w:rPr>
        <w:t> </w:t>
      </w:r>
      <w:r>
        <w:rPr>
          <w:i/>
          <w:sz w:val="18"/>
        </w:rPr>
        <w:t>van</w:t>
      </w:r>
      <w:r>
        <w:rPr>
          <w:i/>
          <w:spacing w:val="-2"/>
          <w:sz w:val="18"/>
        </w:rPr>
        <w:t> </w:t>
      </w:r>
      <w:r>
        <w:rPr>
          <w:i/>
          <w:sz w:val="18"/>
        </w:rPr>
        <w:t>obligaties?</w:t>
      </w:r>
      <w:r>
        <w:rPr>
          <w:i/>
          <w:spacing w:val="-3"/>
          <w:sz w:val="18"/>
        </w:rPr>
        <w:t> </w:t>
      </w:r>
      <w:r>
        <w:rPr>
          <w:i/>
          <w:sz w:val="18"/>
        </w:rPr>
        <w:t>Het kabinet schrijft dat er geen problemen met de uitvoerbaarheid zijn voorzien, maar problemen kunnen</w:t>
      </w:r>
      <w:r>
        <w:rPr>
          <w:i/>
          <w:spacing w:val="-2"/>
          <w:sz w:val="18"/>
        </w:rPr>
        <w:t> </w:t>
      </w:r>
      <w:r>
        <w:rPr>
          <w:i/>
          <w:sz w:val="18"/>
        </w:rPr>
        <w:t>zich</w:t>
      </w:r>
      <w:r>
        <w:rPr>
          <w:i/>
          <w:spacing w:val="-2"/>
          <w:sz w:val="18"/>
        </w:rPr>
        <w:t> </w:t>
      </w:r>
      <w:r>
        <w:rPr>
          <w:i/>
          <w:sz w:val="18"/>
        </w:rPr>
        <w:t>uiteraard</w:t>
      </w:r>
      <w:r>
        <w:rPr>
          <w:i/>
          <w:spacing w:val="-3"/>
          <w:sz w:val="18"/>
        </w:rPr>
        <w:t> </w:t>
      </w:r>
      <w:r>
        <w:rPr>
          <w:i/>
          <w:sz w:val="18"/>
        </w:rPr>
        <w:t>altijd</w:t>
      </w:r>
      <w:r>
        <w:rPr>
          <w:i/>
          <w:spacing w:val="-3"/>
          <w:sz w:val="18"/>
        </w:rPr>
        <w:t> </w:t>
      </w:r>
      <w:r>
        <w:rPr>
          <w:i/>
          <w:sz w:val="18"/>
        </w:rPr>
        <w:t>onverwachts</w:t>
      </w:r>
      <w:r>
        <w:rPr>
          <w:i/>
          <w:spacing w:val="-3"/>
          <w:sz w:val="18"/>
        </w:rPr>
        <w:t> </w:t>
      </w:r>
      <w:r>
        <w:rPr>
          <w:i/>
          <w:sz w:val="18"/>
        </w:rPr>
        <w:t>voordoen.</w:t>
      </w:r>
      <w:r>
        <w:rPr>
          <w:i/>
          <w:spacing w:val="-6"/>
          <w:sz w:val="18"/>
        </w:rPr>
        <w:t> </w:t>
      </w:r>
      <w:r>
        <w:rPr>
          <w:i/>
          <w:sz w:val="18"/>
        </w:rPr>
        <w:t>Moet</w:t>
      </w:r>
      <w:r>
        <w:rPr>
          <w:i/>
          <w:spacing w:val="-2"/>
          <w:sz w:val="18"/>
        </w:rPr>
        <w:t> </w:t>
      </w:r>
      <w:r>
        <w:rPr>
          <w:i/>
          <w:sz w:val="18"/>
        </w:rPr>
        <w:t>de</w:t>
      </w:r>
      <w:r>
        <w:rPr>
          <w:i/>
          <w:spacing w:val="-3"/>
          <w:sz w:val="18"/>
        </w:rPr>
        <w:t> </w:t>
      </w:r>
      <w:r>
        <w:rPr>
          <w:i/>
          <w:sz w:val="18"/>
        </w:rPr>
        <w:t>Rijksoverheid</w:t>
      </w:r>
      <w:r>
        <w:rPr>
          <w:i/>
          <w:spacing w:val="-3"/>
          <w:sz w:val="18"/>
        </w:rPr>
        <w:t> </w:t>
      </w:r>
      <w:r>
        <w:rPr>
          <w:i/>
          <w:sz w:val="18"/>
        </w:rPr>
        <w:t>dan</w:t>
      </w:r>
      <w:r>
        <w:rPr>
          <w:i/>
          <w:spacing w:val="-4"/>
          <w:sz w:val="18"/>
        </w:rPr>
        <w:t> </w:t>
      </w:r>
      <w:r>
        <w:rPr>
          <w:i/>
          <w:sz w:val="18"/>
        </w:rPr>
        <w:t>een</w:t>
      </w:r>
      <w:r>
        <w:rPr>
          <w:i/>
          <w:spacing w:val="-2"/>
          <w:sz w:val="18"/>
        </w:rPr>
        <w:t> </w:t>
      </w:r>
      <w:r>
        <w:rPr>
          <w:i/>
          <w:sz w:val="18"/>
        </w:rPr>
        <w:t>boete</w:t>
      </w:r>
      <w:r>
        <w:rPr>
          <w:i/>
          <w:spacing w:val="-3"/>
          <w:sz w:val="18"/>
        </w:rPr>
        <w:t> </w:t>
      </w:r>
      <w:r>
        <w:rPr>
          <w:i/>
          <w:sz w:val="18"/>
        </w:rPr>
        <w:t>betalen aan de toezichthouder?</w:t>
      </w:r>
    </w:p>
    <w:p>
      <w:pPr>
        <w:pStyle w:val="BodyText"/>
        <w:spacing w:before="17"/>
        <w:rPr>
          <w:i/>
        </w:rPr>
      </w:pPr>
    </w:p>
    <w:p>
      <w:pPr>
        <w:pStyle w:val="BodyText"/>
        <w:spacing w:line="264" w:lineRule="auto"/>
        <w:ind w:left="120" w:right="193"/>
      </w:pPr>
      <w:r>
        <w:rPr/>
        <w:t>Om te voorkomen dat er een mislukte settlement plaatsvindt bij transacties hanteert de Nederlandse staat zeer uitgebreide interne procedures en voorbereidingen. Ook tegenpartijen hebben vergelijkbare procedures.</w:t>
      </w:r>
      <w:r>
        <w:rPr>
          <w:spacing w:val="-1"/>
        </w:rPr>
        <w:t> </w:t>
      </w:r>
      <w:r>
        <w:rPr/>
        <w:t>Juist daardoor worden mogelijke problemen</w:t>
      </w:r>
      <w:r>
        <w:rPr>
          <w:spacing w:val="-1"/>
        </w:rPr>
        <w:t> </w:t>
      </w:r>
      <w:r>
        <w:rPr/>
        <w:t>vaak</w:t>
      </w:r>
      <w:r>
        <w:rPr>
          <w:spacing w:val="-1"/>
        </w:rPr>
        <w:t> </w:t>
      </w:r>
      <w:r>
        <w:rPr/>
        <w:t>snel ontdekt en</w:t>
      </w:r>
      <w:r>
        <w:rPr>
          <w:spacing w:val="-2"/>
        </w:rPr>
        <w:t> </w:t>
      </w:r>
      <w:r>
        <w:rPr/>
        <w:t>kan</w:t>
      </w:r>
      <w:r>
        <w:rPr>
          <w:spacing w:val="-2"/>
        </w:rPr>
        <w:t> </w:t>
      </w:r>
      <w:r>
        <w:rPr/>
        <w:t>een</w:t>
      </w:r>
      <w:r>
        <w:rPr>
          <w:spacing w:val="-2"/>
        </w:rPr>
        <w:t> </w:t>
      </w:r>
      <w:r>
        <w:rPr/>
        <w:t>oplossing</w:t>
      </w:r>
      <w:r>
        <w:rPr>
          <w:spacing w:val="-3"/>
        </w:rPr>
        <w:t> </w:t>
      </w:r>
      <w:r>
        <w:rPr/>
        <w:t>gezocht</w:t>
      </w:r>
      <w:r>
        <w:rPr>
          <w:spacing w:val="-2"/>
        </w:rPr>
        <w:t> </w:t>
      </w:r>
      <w:r>
        <w:rPr/>
        <w:t>worden.</w:t>
      </w:r>
      <w:r>
        <w:rPr>
          <w:spacing w:val="-4"/>
        </w:rPr>
        <w:t> </w:t>
      </w:r>
      <w:r>
        <w:rPr/>
        <w:t>Daarmee</w:t>
      </w:r>
      <w:r>
        <w:rPr>
          <w:spacing w:val="-3"/>
        </w:rPr>
        <w:t> </w:t>
      </w:r>
      <w:r>
        <w:rPr/>
        <w:t>wordt</w:t>
      </w:r>
      <w:r>
        <w:rPr>
          <w:spacing w:val="-2"/>
        </w:rPr>
        <w:t> </w:t>
      </w:r>
      <w:r>
        <w:rPr/>
        <w:t>de</w:t>
      </w:r>
      <w:r>
        <w:rPr>
          <w:spacing w:val="-3"/>
        </w:rPr>
        <w:t> </w:t>
      </w:r>
      <w:r>
        <w:rPr/>
        <w:t>kans</w:t>
      </w:r>
      <w:r>
        <w:rPr>
          <w:spacing w:val="-3"/>
        </w:rPr>
        <w:t> </w:t>
      </w:r>
      <w:r>
        <w:rPr/>
        <w:t>op</w:t>
      </w:r>
      <w:r>
        <w:rPr>
          <w:spacing w:val="-3"/>
        </w:rPr>
        <w:t> </w:t>
      </w:r>
      <w:r>
        <w:rPr/>
        <w:t>mislukte</w:t>
      </w:r>
      <w:r>
        <w:rPr>
          <w:spacing w:val="-3"/>
        </w:rPr>
        <w:t> </w:t>
      </w:r>
      <w:r>
        <w:rPr/>
        <w:t>settlement</w:t>
      </w:r>
      <w:r>
        <w:rPr>
          <w:spacing w:val="-2"/>
        </w:rPr>
        <w:t> </w:t>
      </w:r>
      <w:r>
        <w:rPr/>
        <w:t>verkleind. De lange aanlooptijd naar de overgang naar T+1 op 11 oktober 2027 biedt bovendien de ruimte aan marktpartijen en de Nederlandse staat om tijdig hun procedures aan te passen.</w:t>
      </w:r>
    </w:p>
    <w:p>
      <w:pPr>
        <w:pStyle w:val="BodyText"/>
        <w:spacing w:before="17"/>
      </w:pPr>
    </w:p>
    <w:p>
      <w:pPr>
        <w:pStyle w:val="BodyText"/>
        <w:spacing w:line="264" w:lineRule="auto"/>
        <w:ind w:left="120" w:right="220"/>
        <w:jc w:val="both"/>
      </w:pPr>
      <w:r>
        <w:rPr/>
        <w:t>Wanneer</w:t>
      </w:r>
      <w:r>
        <w:rPr>
          <w:spacing w:val="-1"/>
        </w:rPr>
        <w:t> </w:t>
      </w:r>
      <w:r>
        <w:rPr/>
        <w:t>een transactie,</w:t>
      </w:r>
      <w:r>
        <w:rPr>
          <w:spacing w:val="-2"/>
        </w:rPr>
        <w:t> </w:t>
      </w:r>
      <w:r>
        <w:rPr/>
        <w:t>in</w:t>
      </w:r>
      <w:r>
        <w:rPr>
          <w:spacing w:val="-2"/>
        </w:rPr>
        <w:t> </w:t>
      </w:r>
      <w:r>
        <w:rPr/>
        <w:t>dit geval de</w:t>
      </w:r>
      <w:r>
        <w:rPr>
          <w:spacing w:val="-1"/>
        </w:rPr>
        <w:t> </w:t>
      </w:r>
      <w:r>
        <w:rPr/>
        <w:t>uitgifte</w:t>
      </w:r>
      <w:r>
        <w:rPr>
          <w:spacing w:val="-1"/>
        </w:rPr>
        <w:t> </w:t>
      </w:r>
      <w:r>
        <w:rPr/>
        <w:t>van een obligatie,</w:t>
      </w:r>
      <w:r>
        <w:rPr>
          <w:spacing w:val="-2"/>
        </w:rPr>
        <w:t> </w:t>
      </w:r>
      <w:r>
        <w:rPr/>
        <w:t>door</w:t>
      </w:r>
      <w:r>
        <w:rPr>
          <w:spacing w:val="-1"/>
        </w:rPr>
        <w:t> </w:t>
      </w:r>
      <w:r>
        <w:rPr/>
        <w:t>het toedoen van een partij toch</w:t>
      </w:r>
      <w:r>
        <w:rPr>
          <w:spacing w:val="-2"/>
        </w:rPr>
        <w:t> </w:t>
      </w:r>
      <w:r>
        <w:rPr/>
        <w:t>leidt</w:t>
      </w:r>
      <w:r>
        <w:rPr>
          <w:spacing w:val="-2"/>
        </w:rPr>
        <w:t> </w:t>
      </w:r>
      <w:r>
        <w:rPr/>
        <w:t>tot</w:t>
      </w:r>
      <w:r>
        <w:rPr>
          <w:spacing w:val="-2"/>
        </w:rPr>
        <w:t> </w:t>
      </w:r>
      <w:r>
        <w:rPr/>
        <w:t>een</w:t>
      </w:r>
      <w:r>
        <w:rPr>
          <w:spacing w:val="-2"/>
        </w:rPr>
        <w:t> </w:t>
      </w:r>
      <w:r>
        <w:rPr/>
        <w:t>mislukte</w:t>
      </w:r>
      <w:r>
        <w:rPr>
          <w:spacing w:val="-5"/>
        </w:rPr>
        <w:t> </w:t>
      </w:r>
      <w:r>
        <w:rPr/>
        <w:t>settlement</w:t>
      </w:r>
      <w:r>
        <w:rPr>
          <w:spacing w:val="-2"/>
        </w:rPr>
        <w:t> </w:t>
      </w:r>
      <w:r>
        <w:rPr/>
        <w:t>na</w:t>
      </w:r>
      <w:r>
        <w:rPr>
          <w:spacing w:val="-3"/>
        </w:rPr>
        <w:t> </w:t>
      </w:r>
      <w:r>
        <w:rPr/>
        <w:t>T+1,</w:t>
      </w:r>
      <w:r>
        <w:rPr>
          <w:spacing w:val="-4"/>
        </w:rPr>
        <w:t> </w:t>
      </w:r>
      <w:r>
        <w:rPr/>
        <w:t>ontvangt</w:t>
      </w:r>
      <w:r>
        <w:rPr>
          <w:spacing w:val="-2"/>
        </w:rPr>
        <w:t> </w:t>
      </w:r>
      <w:r>
        <w:rPr/>
        <w:t>de</w:t>
      </w:r>
      <w:r>
        <w:rPr>
          <w:spacing w:val="-3"/>
        </w:rPr>
        <w:t> </w:t>
      </w:r>
      <w:r>
        <w:rPr/>
        <w:t>veroorzakende</w:t>
      </w:r>
      <w:r>
        <w:rPr>
          <w:spacing w:val="-3"/>
        </w:rPr>
        <w:t> </w:t>
      </w:r>
      <w:r>
        <w:rPr/>
        <w:t>partij</w:t>
      </w:r>
      <w:r>
        <w:rPr>
          <w:spacing w:val="-6"/>
        </w:rPr>
        <w:t> </w:t>
      </w:r>
      <w:r>
        <w:rPr/>
        <w:t>een</w:t>
      </w:r>
      <w:r>
        <w:rPr>
          <w:spacing w:val="-2"/>
        </w:rPr>
        <w:t> </w:t>
      </w:r>
      <w:r>
        <w:rPr/>
        <w:t>boete</w:t>
      </w:r>
      <w:r>
        <w:rPr>
          <w:spacing w:val="-3"/>
        </w:rPr>
        <w:t> </w:t>
      </w:r>
      <w:r>
        <w:rPr/>
        <w:t>van</w:t>
      </w:r>
      <w:r>
        <w:rPr>
          <w:spacing w:val="-2"/>
        </w:rPr>
        <w:t> </w:t>
      </w:r>
      <w:r>
        <w:rPr/>
        <w:t>de CSD. Deze boetes worden uitgekeerd aan partijen die door de mislukte settlement zijn geraakt.</w:t>
      </w:r>
    </w:p>
    <w:p>
      <w:pPr>
        <w:pStyle w:val="BodyText"/>
        <w:spacing w:line="264" w:lineRule="auto"/>
        <w:ind w:left="120" w:right="145"/>
        <w:jc w:val="both"/>
        <w:rPr>
          <w:sz w:val="12"/>
        </w:rPr>
      </w:pPr>
      <w:r>
        <w:rPr/>
        <w:t>Overigens</w:t>
      </w:r>
      <w:r>
        <w:rPr>
          <w:spacing w:val="-3"/>
        </w:rPr>
        <w:t> </w:t>
      </w:r>
      <w:r>
        <w:rPr/>
        <w:t>geldt</w:t>
      </w:r>
      <w:r>
        <w:rPr>
          <w:spacing w:val="-2"/>
        </w:rPr>
        <w:t> </w:t>
      </w:r>
      <w:r>
        <w:rPr/>
        <w:t>bij</w:t>
      </w:r>
      <w:r>
        <w:rPr>
          <w:spacing w:val="-3"/>
        </w:rPr>
        <w:t> </w:t>
      </w:r>
      <w:r>
        <w:rPr/>
        <w:t>onverwachte</w:t>
      </w:r>
      <w:r>
        <w:rPr>
          <w:spacing w:val="-3"/>
        </w:rPr>
        <w:t> </w:t>
      </w:r>
      <w:r>
        <w:rPr/>
        <w:t>problemen</w:t>
      </w:r>
      <w:r>
        <w:rPr>
          <w:spacing w:val="-2"/>
        </w:rPr>
        <w:t> </w:t>
      </w:r>
      <w:r>
        <w:rPr/>
        <w:t>(zoals</w:t>
      </w:r>
      <w:r>
        <w:rPr>
          <w:spacing w:val="-3"/>
        </w:rPr>
        <w:t> </w:t>
      </w:r>
      <w:r>
        <w:rPr/>
        <w:t>storingen</w:t>
      </w:r>
      <w:r>
        <w:rPr>
          <w:spacing w:val="-2"/>
        </w:rPr>
        <w:t> </w:t>
      </w:r>
      <w:r>
        <w:rPr/>
        <w:t>bij</w:t>
      </w:r>
      <w:r>
        <w:rPr>
          <w:spacing w:val="-3"/>
        </w:rPr>
        <w:t> </w:t>
      </w:r>
      <w:r>
        <w:rPr/>
        <w:t>belangrijke</w:t>
      </w:r>
      <w:r>
        <w:rPr>
          <w:spacing w:val="-3"/>
        </w:rPr>
        <w:t> </w:t>
      </w:r>
      <w:r>
        <w:rPr/>
        <w:t>systemen)</w:t>
      </w:r>
      <w:r>
        <w:rPr>
          <w:spacing w:val="-4"/>
        </w:rPr>
        <w:t> </w:t>
      </w:r>
      <w:r>
        <w:rPr/>
        <w:t>dat</w:t>
      </w:r>
      <w:r>
        <w:rPr>
          <w:spacing w:val="-2"/>
        </w:rPr>
        <w:t> </w:t>
      </w:r>
      <w:r>
        <w:rPr/>
        <w:t>het</w:t>
      </w:r>
      <w:r>
        <w:rPr>
          <w:spacing w:val="-2"/>
        </w:rPr>
        <w:t> </w:t>
      </w:r>
      <w:r>
        <w:rPr/>
        <w:t>SDR tijdelijk wordt stilgezet of dat boetes later worden teruggedraaid.</w:t>
      </w:r>
      <w:hyperlink w:history="true" w:anchor="_bookmark4">
        <w:r>
          <w:rPr>
            <w:position w:val="6"/>
            <w:sz w:val="12"/>
          </w:rPr>
          <w:t>5</w:t>
        </w:r>
      </w:hyperlink>
    </w:p>
    <w:p>
      <w:pPr>
        <w:pStyle w:val="BodyText"/>
        <w:spacing w:before="19"/>
      </w:pPr>
    </w:p>
    <w:p>
      <w:pPr>
        <w:spacing w:before="0" w:line="264" w:lineRule="auto"/>
        <w:ind w:left="119" w:right="120" w:firstLine="0"/>
        <w:jc w:val="left"/>
        <w:rPr>
          <w:i/>
          <w:sz w:val="18"/>
        </w:rPr>
      </w:pPr>
      <w:r>
        <w:rPr>
          <w:i/>
          <w:sz w:val="18"/>
        </w:rPr>
        <w:t>Tot slot willen de leden van de VVD-fractie weten welk overleg het kabinet heeft gehad met de</w:t>
      </w:r>
      <w:r>
        <w:rPr>
          <w:i/>
          <w:sz w:val="18"/>
        </w:rPr>
        <w:t> sector</w:t>
      </w:r>
      <w:r>
        <w:rPr>
          <w:i/>
          <w:spacing w:val="-3"/>
          <w:sz w:val="18"/>
        </w:rPr>
        <w:t> </w:t>
      </w:r>
      <w:r>
        <w:rPr>
          <w:i/>
          <w:sz w:val="18"/>
        </w:rPr>
        <w:t>om</w:t>
      </w:r>
      <w:r>
        <w:rPr>
          <w:i/>
          <w:spacing w:val="-3"/>
          <w:sz w:val="18"/>
        </w:rPr>
        <w:t> </w:t>
      </w:r>
      <w:r>
        <w:rPr>
          <w:i/>
          <w:sz w:val="18"/>
        </w:rPr>
        <w:t>de</w:t>
      </w:r>
      <w:r>
        <w:rPr>
          <w:i/>
          <w:spacing w:val="-3"/>
          <w:sz w:val="18"/>
        </w:rPr>
        <w:t> </w:t>
      </w:r>
      <w:r>
        <w:rPr>
          <w:i/>
          <w:sz w:val="18"/>
        </w:rPr>
        <w:t>kabinetsinzet</w:t>
      </w:r>
      <w:r>
        <w:rPr>
          <w:i/>
          <w:spacing w:val="-5"/>
          <w:sz w:val="18"/>
        </w:rPr>
        <w:t> </w:t>
      </w:r>
      <w:r>
        <w:rPr>
          <w:i/>
          <w:sz w:val="18"/>
        </w:rPr>
        <w:t>te</w:t>
      </w:r>
      <w:r>
        <w:rPr>
          <w:i/>
          <w:spacing w:val="-3"/>
          <w:sz w:val="18"/>
        </w:rPr>
        <w:t> </w:t>
      </w:r>
      <w:r>
        <w:rPr>
          <w:i/>
          <w:sz w:val="18"/>
        </w:rPr>
        <w:t>kunnen</w:t>
      </w:r>
      <w:r>
        <w:rPr>
          <w:i/>
          <w:spacing w:val="-2"/>
          <w:sz w:val="18"/>
        </w:rPr>
        <w:t> </w:t>
      </w:r>
      <w:r>
        <w:rPr>
          <w:i/>
          <w:sz w:val="18"/>
        </w:rPr>
        <w:t>bepalen.</w:t>
      </w:r>
      <w:r>
        <w:rPr>
          <w:i/>
          <w:spacing w:val="-4"/>
          <w:sz w:val="18"/>
        </w:rPr>
        <w:t> </w:t>
      </w:r>
      <w:r>
        <w:rPr>
          <w:i/>
          <w:sz w:val="18"/>
        </w:rPr>
        <w:t>Zijn</w:t>
      </w:r>
      <w:r>
        <w:rPr>
          <w:i/>
          <w:spacing w:val="-2"/>
          <w:sz w:val="18"/>
        </w:rPr>
        <w:t> </w:t>
      </w:r>
      <w:r>
        <w:rPr>
          <w:i/>
          <w:sz w:val="18"/>
        </w:rPr>
        <w:t>er</w:t>
      </w:r>
      <w:r>
        <w:rPr>
          <w:i/>
          <w:spacing w:val="-3"/>
          <w:sz w:val="18"/>
        </w:rPr>
        <w:t> </w:t>
      </w:r>
      <w:r>
        <w:rPr>
          <w:i/>
          <w:sz w:val="18"/>
        </w:rPr>
        <w:t>gesprekken</w:t>
      </w:r>
      <w:r>
        <w:rPr>
          <w:i/>
          <w:spacing w:val="-2"/>
          <w:sz w:val="18"/>
        </w:rPr>
        <w:t> </w:t>
      </w:r>
      <w:r>
        <w:rPr>
          <w:i/>
          <w:sz w:val="18"/>
        </w:rPr>
        <w:t>geweest</w:t>
      </w:r>
      <w:r>
        <w:rPr>
          <w:i/>
          <w:spacing w:val="-2"/>
          <w:sz w:val="18"/>
        </w:rPr>
        <w:t> </w:t>
      </w:r>
      <w:r>
        <w:rPr>
          <w:i/>
          <w:sz w:val="18"/>
        </w:rPr>
        <w:t>en</w:t>
      </w:r>
      <w:r>
        <w:rPr>
          <w:i/>
          <w:spacing w:val="-2"/>
          <w:sz w:val="18"/>
        </w:rPr>
        <w:t> </w:t>
      </w:r>
      <w:r>
        <w:rPr>
          <w:i/>
          <w:sz w:val="18"/>
        </w:rPr>
        <w:t>zo</w:t>
      </w:r>
      <w:r>
        <w:rPr>
          <w:i/>
          <w:spacing w:val="-2"/>
          <w:sz w:val="18"/>
        </w:rPr>
        <w:t> </w:t>
      </w:r>
      <w:r>
        <w:rPr>
          <w:i/>
          <w:sz w:val="18"/>
        </w:rPr>
        <w:t>ja,</w:t>
      </w:r>
      <w:r>
        <w:rPr>
          <w:i/>
          <w:spacing w:val="-4"/>
          <w:sz w:val="18"/>
        </w:rPr>
        <w:t> </w:t>
      </w:r>
      <w:r>
        <w:rPr>
          <w:i/>
          <w:sz w:val="18"/>
        </w:rPr>
        <w:t>met</w:t>
      </w:r>
      <w:r>
        <w:rPr>
          <w:i/>
          <w:spacing w:val="-2"/>
          <w:sz w:val="18"/>
        </w:rPr>
        <w:t> </w:t>
      </w:r>
      <w:r>
        <w:rPr>
          <w:i/>
          <w:sz w:val="18"/>
        </w:rPr>
        <w:t>welke </w:t>
      </w:r>
      <w:r>
        <w:rPr>
          <w:i/>
          <w:spacing w:val="-2"/>
          <w:sz w:val="18"/>
        </w:rPr>
        <w:t>partijen?</w:t>
      </w:r>
    </w:p>
    <w:p>
      <w:pPr>
        <w:pStyle w:val="BodyText"/>
        <w:spacing w:before="19"/>
        <w:rPr>
          <w:i/>
        </w:rPr>
      </w:pPr>
    </w:p>
    <w:p>
      <w:pPr>
        <w:pStyle w:val="BodyText"/>
        <w:spacing w:line="264" w:lineRule="auto"/>
        <w:ind w:left="119" w:right="162"/>
      </w:pPr>
      <w:r>
        <w:rPr/>
        <w:t>Ter voorbereiding op de Nederlandse inzet is overleg gevoerd met zowel de Autoriteit Financiële Markten (AFM) als de Nederlandsche Bank (DNB) over de inhoud en uitvoeringsaspecten van het voorstel.</w:t>
      </w:r>
      <w:r>
        <w:rPr>
          <w:spacing w:val="-4"/>
        </w:rPr>
        <w:t> </w:t>
      </w:r>
      <w:r>
        <w:rPr/>
        <w:t>Ook</w:t>
      </w:r>
      <w:r>
        <w:rPr>
          <w:spacing w:val="-4"/>
        </w:rPr>
        <w:t> </w:t>
      </w:r>
      <w:r>
        <w:rPr/>
        <w:t>is</w:t>
      </w:r>
      <w:r>
        <w:rPr>
          <w:spacing w:val="-3"/>
        </w:rPr>
        <w:t> </w:t>
      </w:r>
      <w:r>
        <w:rPr/>
        <w:t>het</w:t>
      </w:r>
      <w:r>
        <w:rPr>
          <w:spacing w:val="-2"/>
        </w:rPr>
        <w:t> </w:t>
      </w:r>
      <w:r>
        <w:rPr/>
        <w:t>onderwerp</w:t>
      </w:r>
      <w:r>
        <w:rPr>
          <w:spacing w:val="-3"/>
        </w:rPr>
        <w:t> </w:t>
      </w:r>
      <w:r>
        <w:rPr/>
        <w:t>in</w:t>
      </w:r>
      <w:r>
        <w:rPr>
          <w:spacing w:val="-2"/>
        </w:rPr>
        <w:t> </w:t>
      </w:r>
      <w:r>
        <w:rPr/>
        <w:t>diverse</w:t>
      </w:r>
      <w:r>
        <w:rPr>
          <w:spacing w:val="-3"/>
        </w:rPr>
        <w:t> </w:t>
      </w:r>
      <w:r>
        <w:rPr/>
        <w:t>gesprekken</w:t>
      </w:r>
      <w:r>
        <w:rPr>
          <w:spacing w:val="-2"/>
        </w:rPr>
        <w:t> </w:t>
      </w:r>
      <w:r>
        <w:rPr/>
        <w:t>met</w:t>
      </w:r>
      <w:r>
        <w:rPr>
          <w:spacing w:val="-2"/>
        </w:rPr>
        <w:t> </w:t>
      </w:r>
      <w:r>
        <w:rPr/>
        <w:t>marktpartijen</w:t>
      </w:r>
      <w:r>
        <w:rPr>
          <w:spacing w:val="-2"/>
        </w:rPr>
        <w:t> </w:t>
      </w:r>
      <w:r>
        <w:rPr/>
        <w:t>aan</w:t>
      </w:r>
      <w:r>
        <w:rPr>
          <w:spacing w:val="-2"/>
        </w:rPr>
        <w:t> </w:t>
      </w:r>
      <w:r>
        <w:rPr/>
        <w:t>de</w:t>
      </w:r>
      <w:r>
        <w:rPr>
          <w:spacing w:val="-3"/>
        </w:rPr>
        <w:t> </w:t>
      </w:r>
      <w:r>
        <w:rPr/>
        <w:t>orde</w:t>
      </w:r>
      <w:r>
        <w:rPr>
          <w:spacing w:val="-3"/>
        </w:rPr>
        <w:t> </w:t>
      </w:r>
      <w:r>
        <w:rPr/>
        <w:t>gekomen.</w:t>
      </w:r>
      <w:r>
        <w:rPr>
          <w:spacing w:val="-4"/>
        </w:rPr>
        <w:t> </w:t>
      </w:r>
      <w:r>
        <w:rPr/>
        <w:t>De sector onderschrijft het belang van de overgang naar T+1, maar benadrukt dat dit een operationele inspanning vraagt van alle betrokken partijen. Tot slot is intern gekeken naar de impact van de verkorte settlementcyclus op de uitgifte van staatsobligaties.</w:t>
      </w:r>
    </w:p>
    <w:p>
      <w:pPr>
        <w:pStyle w:val="BodyText"/>
        <w:spacing w:before="17"/>
      </w:pPr>
    </w:p>
    <w:p>
      <w:pPr>
        <w:pStyle w:val="Heading1"/>
        <w:ind w:left="119"/>
        <w:jc w:val="both"/>
      </w:pPr>
      <w:r>
        <w:rPr/>
        <w:t>Vragen</w:t>
      </w:r>
      <w:r>
        <w:rPr>
          <w:spacing w:val="-6"/>
        </w:rPr>
        <w:t> </w:t>
      </w:r>
      <w:r>
        <w:rPr/>
        <w:t>en</w:t>
      </w:r>
      <w:r>
        <w:rPr>
          <w:spacing w:val="-4"/>
        </w:rPr>
        <w:t> </w:t>
      </w:r>
      <w:r>
        <w:rPr/>
        <w:t>opmerkingen</w:t>
      </w:r>
      <w:r>
        <w:rPr>
          <w:spacing w:val="-1"/>
        </w:rPr>
        <w:t> </w:t>
      </w:r>
      <w:r>
        <w:rPr/>
        <w:t>van</w:t>
      </w:r>
      <w:r>
        <w:rPr>
          <w:spacing w:val="-3"/>
        </w:rPr>
        <w:t> </w:t>
      </w:r>
      <w:r>
        <w:rPr/>
        <w:t>de</w:t>
      </w:r>
      <w:r>
        <w:rPr>
          <w:spacing w:val="-2"/>
        </w:rPr>
        <w:t> </w:t>
      </w:r>
      <w:r>
        <w:rPr/>
        <w:t>leden</w:t>
      </w:r>
      <w:r>
        <w:rPr>
          <w:spacing w:val="-4"/>
        </w:rPr>
        <w:t> </w:t>
      </w:r>
      <w:r>
        <w:rPr/>
        <w:t>van</w:t>
      </w:r>
      <w:r>
        <w:rPr>
          <w:spacing w:val="-4"/>
        </w:rPr>
        <w:t> </w:t>
      </w:r>
      <w:r>
        <w:rPr/>
        <w:t>de</w:t>
      </w:r>
      <w:r>
        <w:rPr>
          <w:spacing w:val="-1"/>
        </w:rPr>
        <w:t> </w:t>
      </w:r>
      <w:r>
        <w:rPr/>
        <w:t>NSC-</w:t>
      </w:r>
      <w:r>
        <w:rPr>
          <w:spacing w:val="-2"/>
        </w:rPr>
        <w:t>fractie</w:t>
      </w:r>
    </w:p>
    <w:p>
      <w:pPr>
        <w:pStyle w:val="BodyText"/>
        <w:spacing w:before="43"/>
        <w:rPr>
          <w:b/>
        </w:rPr>
      </w:pPr>
    </w:p>
    <w:p>
      <w:pPr>
        <w:spacing w:before="0" w:line="264" w:lineRule="auto"/>
        <w:ind w:left="119" w:right="133" w:firstLine="0"/>
        <w:jc w:val="left"/>
        <w:rPr>
          <w:i/>
          <w:sz w:val="18"/>
        </w:rPr>
      </w:pPr>
      <w:r>
        <w:rPr>
          <w:i/>
          <w:sz w:val="18"/>
        </w:rPr>
        <w:t>De</w:t>
      </w:r>
      <w:r>
        <w:rPr>
          <w:i/>
          <w:spacing w:val="-1"/>
          <w:sz w:val="18"/>
        </w:rPr>
        <w:t> </w:t>
      </w:r>
      <w:r>
        <w:rPr>
          <w:i/>
          <w:sz w:val="18"/>
        </w:rPr>
        <w:t>leden van de</w:t>
      </w:r>
      <w:r>
        <w:rPr>
          <w:i/>
          <w:spacing w:val="-1"/>
          <w:sz w:val="18"/>
        </w:rPr>
        <w:t> </w:t>
      </w:r>
      <w:r>
        <w:rPr>
          <w:i/>
          <w:sz w:val="18"/>
        </w:rPr>
        <w:t>NSC-fractie</w:t>
      </w:r>
      <w:r>
        <w:rPr>
          <w:i/>
          <w:spacing w:val="-1"/>
          <w:sz w:val="18"/>
        </w:rPr>
        <w:t> </w:t>
      </w:r>
      <w:r>
        <w:rPr>
          <w:i/>
          <w:sz w:val="18"/>
        </w:rPr>
        <w:t>onderschrijven</w:t>
      </w:r>
      <w:r>
        <w:rPr>
          <w:i/>
          <w:spacing w:val="-2"/>
          <w:sz w:val="18"/>
        </w:rPr>
        <w:t> </w:t>
      </w:r>
      <w:r>
        <w:rPr>
          <w:i/>
          <w:sz w:val="18"/>
        </w:rPr>
        <w:t>het belang van harmonisatie</w:t>
      </w:r>
      <w:r>
        <w:rPr>
          <w:i/>
          <w:spacing w:val="-1"/>
          <w:sz w:val="18"/>
        </w:rPr>
        <w:t> </w:t>
      </w:r>
      <w:r>
        <w:rPr>
          <w:i/>
          <w:sz w:val="18"/>
        </w:rPr>
        <w:t>en standaardisatie</w:t>
      </w:r>
      <w:r>
        <w:rPr>
          <w:i/>
          <w:spacing w:val="-1"/>
          <w:sz w:val="18"/>
        </w:rPr>
        <w:t> </w:t>
      </w:r>
      <w:r>
        <w:rPr>
          <w:i/>
          <w:sz w:val="18"/>
        </w:rPr>
        <w:t>om</w:t>
      </w:r>
      <w:r>
        <w:rPr>
          <w:i/>
          <w:spacing w:val="-1"/>
          <w:sz w:val="18"/>
        </w:rPr>
        <w:t> </w:t>
      </w:r>
      <w:r>
        <w:rPr>
          <w:i/>
          <w:sz w:val="18"/>
        </w:rPr>
        <w:t>zo</w:t>
      </w:r>
      <w:r>
        <w:rPr>
          <w:i/>
          <w:sz w:val="18"/>
        </w:rPr>
        <w:t> de Europese kapitaalmarkt te versterken. De verkorting van de settlementcyclus naar T+1 zou volgens het fiche leiden tot minder risico en verbeterde efficiëntie. De verkorting zou ook betekenen dat de cyclus gelijk wordt getrokken met die van andere jurisdicties (o.a. Verenigde Staten en China). Echter zoals de AFME concludeert, wordt de Europese kapitaalmarkt gekarakteriseerd door een breed scala aan juridische, fiscale en regelgevende kaders. Als voorbeeld,</w:t>
      </w:r>
      <w:r>
        <w:rPr>
          <w:i/>
          <w:spacing w:val="-3"/>
          <w:sz w:val="18"/>
        </w:rPr>
        <w:t> </w:t>
      </w:r>
      <w:r>
        <w:rPr>
          <w:i/>
          <w:sz w:val="18"/>
        </w:rPr>
        <w:t>in</w:t>
      </w:r>
      <w:r>
        <w:rPr>
          <w:i/>
          <w:spacing w:val="-1"/>
          <w:sz w:val="18"/>
        </w:rPr>
        <w:t> </w:t>
      </w:r>
      <w:r>
        <w:rPr>
          <w:i/>
          <w:sz w:val="18"/>
        </w:rPr>
        <w:t>de</w:t>
      </w:r>
      <w:r>
        <w:rPr>
          <w:i/>
          <w:spacing w:val="-2"/>
          <w:sz w:val="18"/>
        </w:rPr>
        <w:t> </w:t>
      </w:r>
      <w:r>
        <w:rPr>
          <w:i/>
          <w:sz w:val="18"/>
        </w:rPr>
        <w:t>Europese</w:t>
      </w:r>
      <w:r>
        <w:rPr>
          <w:i/>
          <w:spacing w:val="-2"/>
          <w:sz w:val="18"/>
        </w:rPr>
        <w:t> </w:t>
      </w:r>
      <w:r>
        <w:rPr>
          <w:i/>
          <w:sz w:val="18"/>
        </w:rPr>
        <w:t>setting</w:t>
      </w:r>
      <w:r>
        <w:rPr>
          <w:i/>
          <w:spacing w:val="-4"/>
          <w:sz w:val="18"/>
        </w:rPr>
        <w:t> </w:t>
      </w:r>
      <w:r>
        <w:rPr>
          <w:i/>
          <w:sz w:val="18"/>
        </w:rPr>
        <w:t>is</w:t>
      </w:r>
      <w:r>
        <w:rPr>
          <w:i/>
          <w:spacing w:val="-2"/>
          <w:sz w:val="18"/>
        </w:rPr>
        <w:t> </w:t>
      </w:r>
      <w:r>
        <w:rPr>
          <w:i/>
          <w:sz w:val="18"/>
        </w:rPr>
        <w:t>er</w:t>
      </w:r>
      <w:r>
        <w:rPr>
          <w:i/>
          <w:spacing w:val="-2"/>
          <w:sz w:val="18"/>
        </w:rPr>
        <w:t> </w:t>
      </w:r>
      <w:r>
        <w:rPr>
          <w:i/>
          <w:sz w:val="18"/>
        </w:rPr>
        <w:t>sprake</w:t>
      </w:r>
      <w:r>
        <w:rPr>
          <w:i/>
          <w:spacing w:val="-2"/>
          <w:sz w:val="18"/>
        </w:rPr>
        <w:t> </w:t>
      </w:r>
      <w:r>
        <w:rPr>
          <w:i/>
          <w:sz w:val="18"/>
        </w:rPr>
        <w:t>van</w:t>
      </w:r>
      <w:r>
        <w:rPr>
          <w:i/>
          <w:spacing w:val="-1"/>
          <w:sz w:val="18"/>
        </w:rPr>
        <w:t> </w:t>
      </w:r>
      <w:r>
        <w:rPr>
          <w:i/>
          <w:sz w:val="18"/>
        </w:rPr>
        <w:t>35</w:t>
      </w:r>
      <w:r>
        <w:rPr>
          <w:i/>
          <w:spacing w:val="-2"/>
          <w:sz w:val="18"/>
        </w:rPr>
        <w:t> </w:t>
      </w:r>
      <w:r>
        <w:rPr>
          <w:i/>
          <w:sz w:val="18"/>
        </w:rPr>
        <w:t>beursgenoteerde</w:t>
      </w:r>
      <w:r>
        <w:rPr>
          <w:i/>
          <w:spacing w:val="-2"/>
          <w:sz w:val="18"/>
        </w:rPr>
        <w:t> </w:t>
      </w:r>
      <w:r>
        <w:rPr>
          <w:i/>
          <w:sz w:val="18"/>
        </w:rPr>
        <w:t>markten</w:t>
      </w:r>
      <w:r>
        <w:rPr>
          <w:i/>
          <w:spacing w:val="-3"/>
          <w:sz w:val="18"/>
        </w:rPr>
        <w:t> </w:t>
      </w:r>
      <w:r>
        <w:rPr>
          <w:i/>
          <w:sz w:val="18"/>
        </w:rPr>
        <w:t>ten</w:t>
      </w:r>
      <w:r>
        <w:rPr>
          <w:i/>
          <w:spacing w:val="-1"/>
          <w:sz w:val="18"/>
        </w:rPr>
        <w:t> </w:t>
      </w:r>
      <w:r>
        <w:rPr>
          <w:i/>
          <w:sz w:val="18"/>
        </w:rPr>
        <w:t>opzichte</w:t>
      </w:r>
      <w:r>
        <w:rPr>
          <w:i/>
          <w:spacing w:val="-2"/>
          <w:sz w:val="18"/>
        </w:rPr>
        <w:t> </w:t>
      </w:r>
      <w:r>
        <w:rPr>
          <w:i/>
          <w:sz w:val="18"/>
        </w:rPr>
        <w:t>van</w:t>
      </w:r>
      <w:r>
        <w:rPr>
          <w:i/>
          <w:spacing w:val="-1"/>
          <w:sz w:val="18"/>
        </w:rPr>
        <w:t> </w:t>
      </w:r>
      <w:r>
        <w:rPr>
          <w:i/>
          <w:sz w:val="18"/>
        </w:rPr>
        <w:t>3 in de Verenigde Staten en 14 verschillende valuta in Europa, terwijl in de Verenigde Staten enkel sprake is van de dollar. De ECMI en AFME adviseren dan ook een grondige impact assessment.</w:t>
      </w:r>
    </w:p>
    <w:p>
      <w:pPr>
        <w:spacing w:before="0" w:line="264" w:lineRule="auto"/>
        <w:ind w:left="119" w:right="230" w:firstLine="0"/>
        <w:jc w:val="left"/>
        <w:rPr>
          <w:i/>
          <w:sz w:val="18"/>
        </w:rPr>
      </w:pPr>
      <w:r>
        <w:rPr>
          <w:i/>
          <w:sz w:val="18"/>
        </w:rPr>
        <w:t>Deze</w:t>
      </w:r>
      <w:r>
        <w:rPr>
          <w:i/>
          <w:spacing w:val="-2"/>
          <w:sz w:val="18"/>
        </w:rPr>
        <w:t> </w:t>
      </w:r>
      <w:r>
        <w:rPr>
          <w:i/>
          <w:sz w:val="18"/>
        </w:rPr>
        <w:t>leden</w:t>
      </w:r>
      <w:r>
        <w:rPr>
          <w:i/>
          <w:spacing w:val="-1"/>
          <w:sz w:val="18"/>
        </w:rPr>
        <w:t> </w:t>
      </w:r>
      <w:r>
        <w:rPr>
          <w:i/>
          <w:sz w:val="18"/>
        </w:rPr>
        <w:t>constateren</w:t>
      </w:r>
      <w:r>
        <w:rPr>
          <w:i/>
          <w:spacing w:val="-1"/>
          <w:sz w:val="18"/>
        </w:rPr>
        <w:t> </w:t>
      </w:r>
      <w:r>
        <w:rPr>
          <w:i/>
          <w:sz w:val="18"/>
        </w:rPr>
        <w:t>dat</w:t>
      </w:r>
      <w:r>
        <w:rPr>
          <w:i/>
          <w:spacing w:val="-1"/>
          <w:sz w:val="18"/>
        </w:rPr>
        <w:t> </w:t>
      </w:r>
      <w:r>
        <w:rPr>
          <w:i/>
          <w:sz w:val="18"/>
        </w:rPr>
        <w:t>de</w:t>
      </w:r>
      <w:r>
        <w:rPr>
          <w:i/>
          <w:spacing w:val="-2"/>
          <w:sz w:val="18"/>
        </w:rPr>
        <w:t> </w:t>
      </w:r>
      <w:r>
        <w:rPr>
          <w:i/>
          <w:sz w:val="18"/>
        </w:rPr>
        <w:t>Europese</w:t>
      </w:r>
      <w:r>
        <w:rPr>
          <w:i/>
          <w:spacing w:val="-2"/>
          <w:sz w:val="18"/>
        </w:rPr>
        <w:t> </w:t>
      </w:r>
      <w:r>
        <w:rPr>
          <w:i/>
          <w:sz w:val="18"/>
        </w:rPr>
        <w:t>Commissie</w:t>
      </w:r>
      <w:r>
        <w:rPr>
          <w:i/>
          <w:spacing w:val="-4"/>
          <w:sz w:val="18"/>
        </w:rPr>
        <w:t> </w:t>
      </w:r>
      <w:r>
        <w:rPr>
          <w:i/>
          <w:sz w:val="18"/>
        </w:rPr>
        <w:t>geen</w:t>
      </w:r>
      <w:r>
        <w:rPr>
          <w:i/>
          <w:spacing w:val="-1"/>
          <w:sz w:val="18"/>
        </w:rPr>
        <w:t> </w:t>
      </w:r>
      <w:r>
        <w:rPr>
          <w:i/>
          <w:sz w:val="18"/>
        </w:rPr>
        <w:t>officiële</w:t>
      </w:r>
      <w:r>
        <w:rPr>
          <w:i/>
          <w:spacing w:val="-2"/>
          <w:sz w:val="18"/>
        </w:rPr>
        <w:t> </w:t>
      </w:r>
      <w:r>
        <w:rPr>
          <w:i/>
          <w:sz w:val="18"/>
        </w:rPr>
        <w:t>effectbeoordeling</w:t>
      </w:r>
      <w:r>
        <w:rPr>
          <w:i/>
          <w:spacing w:val="-1"/>
          <w:sz w:val="18"/>
        </w:rPr>
        <w:t> </w:t>
      </w:r>
      <w:r>
        <w:rPr>
          <w:i/>
          <w:sz w:val="18"/>
        </w:rPr>
        <w:t>heeft</w:t>
      </w:r>
      <w:r>
        <w:rPr>
          <w:i/>
          <w:spacing w:val="-1"/>
          <w:sz w:val="18"/>
        </w:rPr>
        <w:t> </w:t>
      </w:r>
      <w:r>
        <w:rPr>
          <w:i/>
          <w:sz w:val="18"/>
        </w:rPr>
        <w:t>laten</w:t>
      </w:r>
      <w:r>
        <w:rPr>
          <w:i/>
          <w:sz w:val="18"/>
        </w:rPr>
        <w:t> uitvoeren. Deze leden vragen dan ook aan het kabinet waarom de Europese Commissie dit achterwege</w:t>
      </w:r>
      <w:r>
        <w:rPr>
          <w:i/>
          <w:spacing w:val="-3"/>
          <w:sz w:val="18"/>
        </w:rPr>
        <w:t> </w:t>
      </w:r>
      <w:r>
        <w:rPr>
          <w:i/>
          <w:sz w:val="18"/>
        </w:rPr>
        <w:t>heeft</w:t>
      </w:r>
      <w:r>
        <w:rPr>
          <w:i/>
          <w:spacing w:val="-2"/>
          <w:sz w:val="18"/>
        </w:rPr>
        <w:t> </w:t>
      </w:r>
      <w:r>
        <w:rPr>
          <w:i/>
          <w:sz w:val="18"/>
        </w:rPr>
        <w:t>gelaten.</w:t>
      </w:r>
      <w:r>
        <w:rPr>
          <w:i/>
          <w:spacing w:val="-4"/>
          <w:sz w:val="18"/>
        </w:rPr>
        <w:t> </w:t>
      </w:r>
      <w:r>
        <w:rPr>
          <w:i/>
          <w:sz w:val="18"/>
        </w:rPr>
        <w:t>Is</w:t>
      </w:r>
      <w:r>
        <w:rPr>
          <w:i/>
          <w:spacing w:val="-3"/>
          <w:sz w:val="18"/>
        </w:rPr>
        <w:t> </w:t>
      </w:r>
      <w:r>
        <w:rPr>
          <w:i/>
          <w:sz w:val="18"/>
        </w:rPr>
        <w:t>het</w:t>
      </w:r>
      <w:r>
        <w:rPr>
          <w:i/>
          <w:spacing w:val="-2"/>
          <w:sz w:val="18"/>
        </w:rPr>
        <w:t> </w:t>
      </w:r>
      <w:r>
        <w:rPr>
          <w:i/>
          <w:sz w:val="18"/>
        </w:rPr>
        <w:t>kabinet</w:t>
      </w:r>
      <w:r>
        <w:rPr>
          <w:i/>
          <w:spacing w:val="-2"/>
          <w:sz w:val="18"/>
        </w:rPr>
        <w:t> </w:t>
      </w:r>
      <w:r>
        <w:rPr>
          <w:i/>
          <w:sz w:val="18"/>
        </w:rPr>
        <w:t>nog</w:t>
      </w:r>
      <w:r>
        <w:rPr>
          <w:i/>
          <w:spacing w:val="-2"/>
          <w:sz w:val="18"/>
        </w:rPr>
        <w:t> </w:t>
      </w:r>
      <w:r>
        <w:rPr>
          <w:i/>
          <w:sz w:val="18"/>
        </w:rPr>
        <w:t>voornemens</w:t>
      </w:r>
      <w:r>
        <w:rPr>
          <w:i/>
          <w:spacing w:val="-3"/>
          <w:sz w:val="18"/>
        </w:rPr>
        <w:t> </w:t>
      </w:r>
      <w:r>
        <w:rPr>
          <w:i/>
          <w:sz w:val="18"/>
        </w:rPr>
        <w:t>om</w:t>
      </w:r>
      <w:r>
        <w:rPr>
          <w:i/>
          <w:spacing w:val="-3"/>
          <w:sz w:val="18"/>
        </w:rPr>
        <w:t> </w:t>
      </w:r>
      <w:r>
        <w:rPr>
          <w:i/>
          <w:sz w:val="18"/>
        </w:rPr>
        <w:t>er</w:t>
      </w:r>
      <w:r>
        <w:rPr>
          <w:i/>
          <w:spacing w:val="-3"/>
          <w:sz w:val="18"/>
        </w:rPr>
        <w:t> </w:t>
      </w:r>
      <w:r>
        <w:rPr>
          <w:i/>
          <w:sz w:val="18"/>
        </w:rPr>
        <w:t>bij</w:t>
      </w:r>
      <w:r>
        <w:rPr>
          <w:i/>
          <w:spacing w:val="-3"/>
          <w:sz w:val="18"/>
        </w:rPr>
        <w:t> </w:t>
      </w:r>
      <w:r>
        <w:rPr>
          <w:i/>
          <w:sz w:val="18"/>
        </w:rPr>
        <w:t>de</w:t>
      </w:r>
      <w:r>
        <w:rPr>
          <w:i/>
          <w:spacing w:val="-3"/>
          <w:sz w:val="18"/>
        </w:rPr>
        <w:t> </w:t>
      </w:r>
      <w:r>
        <w:rPr>
          <w:i/>
          <w:sz w:val="18"/>
        </w:rPr>
        <w:t>Europese</w:t>
      </w:r>
      <w:r>
        <w:rPr>
          <w:i/>
          <w:spacing w:val="-3"/>
          <w:sz w:val="18"/>
        </w:rPr>
        <w:t> </w:t>
      </w:r>
      <w:r>
        <w:rPr>
          <w:i/>
          <w:sz w:val="18"/>
        </w:rPr>
        <w:t>Commissie</w:t>
      </w:r>
      <w:r>
        <w:rPr>
          <w:i/>
          <w:spacing w:val="-3"/>
          <w:sz w:val="18"/>
        </w:rPr>
        <w:t> </w:t>
      </w:r>
      <w:r>
        <w:rPr>
          <w:i/>
          <w:sz w:val="18"/>
        </w:rPr>
        <w:t>op aan te dringen deze alsnog uit te laten voeren?</w:t>
      </w:r>
    </w:p>
    <w:p>
      <w:pPr>
        <w:pStyle w:val="BodyText"/>
        <w:spacing w:before="12"/>
        <w:rPr>
          <w:i/>
        </w:rPr>
      </w:pPr>
    </w:p>
    <w:p>
      <w:pPr>
        <w:pStyle w:val="BodyText"/>
        <w:spacing w:line="264" w:lineRule="auto"/>
        <w:ind w:left="119"/>
      </w:pPr>
      <w:r>
        <w:rPr/>
        <w:t>Voor de vraag over de effectbeoordeling verwijs ik naar de beantwoording van de VVD-fractie. Gezien</w:t>
      </w:r>
      <w:r>
        <w:rPr>
          <w:spacing w:val="-2"/>
        </w:rPr>
        <w:t> </w:t>
      </w:r>
      <w:r>
        <w:rPr/>
        <w:t>de</w:t>
      </w:r>
      <w:r>
        <w:rPr>
          <w:spacing w:val="-3"/>
        </w:rPr>
        <w:t> </w:t>
      </w:r>
      <w:r>
        <w:rPr/>
        <w:t>uitgebreide</w:t>
      </w:r>
      <w:r>
        <w:rPr>
          <w:spacing w:val="-3"/>
        </w:rPr>
        <w:t> </w:t>
      </w:r>
      <w:r>
        <w:rPr/>
        <w:t>analyse</w:t>
      </w:r>
      <w:r>
        <w:rPr>
          <w:spacing w:val="-3"/>
        </w:rPr>
        <w:t> </w:t>
      </w:r>
      <w:r>
        <w:rPr/>
        <w:t>van</w:t>
      </w:r>
      <w:r>
        <w:rPr>
          <w:spacing w:val="-2"/>
        </w:rPr>
        <w:t> </w:t>
      </w:r>
      <w:r>
        <w:rPr/>
        <w:t>ESMA</w:t>
      </w:r>
      <w:r>
        <w:rPr>
          <w:spacing w:val="-4"/>
        </w:rPr>
        <w:t> </w:t>
      </w:r>
      <w:r>
        <w:rPr/>
        <w:t>ten</w:t>
      </w:r>
      <w:r>
        <w:rPr>
          <w:spacing w:val="-2"/>
        </w:rPr>
        <w:t> </w:t>
      </w:r>
      <w:r>
        <w:rPr/>
        <w:t>aanzien</w:t>
      </w:r>
      <w:r>
        <w:rPr>
          <w:spacing w:val="-4"/>
        </w:rPr>
        <w:t> </w:t>
      </w:r>
      <w:r>
        <w:rPr/>
        <w:t>van</w:t>
      </w:r>
      <w:r>
        <w:rPr>
          <w:spacing w:val="-3"/>
        </w:rPr>
        <w:t> </w:t>
      </w:r>
      <w:r>
        <w:rPr/>
        <w:t>de</w:t>
      </w:r>
      <w:r>
        <w:rPr>
          <w:spacing w:val="-3"/>
        </w:rPr>
        <w:t> </w:t>
      </w:r>
      <w:r>
        <w:rPr/>
        <w:t>kosten,</w:t>
      </w:r>
      <w:r>
        <w:rPr>
          <w:spacing w:val="-4"/>
        </w:rPr>
        <w:t> </w:t>
      </w:r>
      <w:r>
        <w:rPr/>
        <w:t>baten</w:t>
      </w:r>
      <w:r>
        <w:rPr>
          <w:spacing w:val="-2"/>
        </w:rPr>
        <w:t> </w:t>
      </w:r>
      <w:r>
        <w:rPr/>
        <w:t>en</w:t>
      </w:r>
      <w:r>
        <w:rPr>
          <w:spacing w:val="-2"/>
        </w:rPr>
        <w:t> </w:t>
      </w:r>
      <w:r>
        <w:rPr/>
        <w:t>uitvoerbaarheid</w:t>
      </w:r>
      <w:r>
        <w:rPr>
          <w:spacing w:val="-3"/>
        </w:rPr>
        <w:t> </w:t>
      </w:r>
      <w:r>
        <w:rPr/>
        <w:t>van een verkorting van de settlementcyclus, ziet het kabinet geen aanleiding om bij de Europese Commissie aan te dringen op het alsnog uitvoeren van een effectbeoordeling.</w:t>
      </w:r>
    </w:p>
    <w:p>
      <w:pPr>
        <w:pStyle w:val="BodyText"/>
        <w:spacing w:before="4"/>
        <w:rPr>
          <w:sz w:val="6"/>
        </w:rPr>
      </w:pPr>
      <w:r>
        <w:rPr/>
        <ve:AlternateContent>
          <ve: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64232</wp:posOffset>
                </wp:positionV>
                <wp:extent cx="182880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3" style="position:absolute;margin-left:72pt;margin-top:5.057685pt;width:144pt;height:.48pt;mso-position-horizontal-relative:page;mso-position-vertical-relative:paragraph;z-index:-15728128;mso-wrap-distance-left:0;mso-wrap-distance-right:0" filled="true" fillcolor="#000000" stroked="false">
                <v:fill type="solid"/>
                <w10:wrap type="topAndBottom"/>
              </v:rect>
            </w:pict>
          </ve:Fallback>
        </ve:AlternateContent>
      </w:r>
    </w:p>
    <w:p>
      <w:pPr>
        <w:spacing w:before="91"/>
        <w:ind w:left="119" w:right="119" w:firstLine="0"/>
        <w:jc w:val="left"/>
        <w:rPr>
          <w:sz w:val="16"/>
        </w:rPr>
      </w:pPr>
      <w:bookmarkStart w:name="_bookmark4" w:id="5"/>
      <w:bookmarkEnd w:id="5"/>
      <w:r>
        <w:rPr/>
      </w:r>
      <w:r>
        <w:rPr>
          <w:sz w:val="16"/>
          <w:vertAlign w:val="superscript"/>
        </w:rPr>
        <w:t>5</w:t>
      </w:r>
      <w:r>
        <w:rPr>
          <w:sz w:val="16"/>
          <w:vertAlign w:val="baseline"/>
        </w:rPr>
        <w:t> Zie ter</w:t>
      </w:r>
      <w:r>
        <w:rPr>
          <w:spacing w:val="-2"/>
          <w:sz w:val="16"/>
          <w:vertAlign w:val="baseline"/>
        </w:rPr>
        <w:t> </w:t>
      </w:r>
      <w:r>
        <w:rPr>
          <w:sz w:val="16"/>
          <w:vertAlign w:val="baseline"/>
        </w:rPr>
        <w:t>illustratie het</w:t>
      </w:r>
      <w:r>
        <w:rPr>
          <w:spacing w:val="-1"/>
          <w:sz w:val="16"/>
          <w:vertAlign w:val="baseline"/>
        </w:rPr>
        <w:t> </w:t>
      </w:r>
      <w:r>
        <w:rPr>
          <w:sz w:val="16"/>
          <w:vertAlign w:val="baseline"/>
        </w:rPr>
        <w:t>niet</w:t>
      </w:r>
      <w:r>
        <w:rPr>
          <w:spacing w:val="-1"/>
          <w:sz w:val="16"/>
          <w:vertAlign w:val="baseline"/>
        </w:rPr>
        <w:t> </w:t>
      </w:r>
      <w:r>
        <w:rPr>
          <w:sz w:val="16"/>
          <w:vertAlign w:val="baseline"/>
        </w:rPr>
        <w:t>opleggen</w:t>
      </w:r>
      <w:r>
        <w:rPr>
          <w:spacing w:val="-3"/>
          <w:sz w:val="16"/>
          <w:vertAlign w:val="baseline"/>
        </w:rPr>
        <w:t> </w:t>
      </w:r>
      <w:r>
        <w:rPr>
          <w:sz w:val="16"/>
          <w:vertAlign w:val="baseline"/>
        </w:rPr>
        <w:t>van</w:t>
      </w:r>
      <w:r>
        <w:rPr>
          <w:spacing w:val="-4"/>
          <w:sz w:val="16"/>
          <w:vertAlign w:val="baseline"/>
        </w:rPr>
        <w:t> </w:t>
      </w:r>
      <w:r>
        <w:rPr>
          <w:sz w:val="16"/>
          <w:vertAlign w:val="baseline"/>
        </w:rPr>
        <w:t>boetes</w:t>
      </w:r>
      <w:r>
        <w:rPr>
          <w:spacing w:val="-2"/>
          <w:sz w:val="16"/>
          <w:vertAlign w:val="baseline"/>
        </w:rPr>
        <w:t> </w:t>
      </w:r>
      <w:r>
        <w:rPr>
          <w:sz w:val="16"/>
          <w:vertAlign w:val="baseline"/>
        </w:rPr>
        <w:t>toen</w:t>
      </w:r>
      <w:r>
        <w:rPr>
          <w:spacing w:val="-3"/>
          <w:sz w:val="16"/>
          <w:vertAlign w:val="baseline"/>
        </w:rPr>
        <w:t> </w:t>
      </w:r>
      <w:r>
        <w:rPr>
          <w:sz w:val="16"/>
          <w:vertAlign w:val="baseline"/>
        </w:rPr>
        <w:t>begin</w:t>
      </w:r>
      <w:r>
        <w:rPr>
          <w:spacing w:val="-3"/>
          <w:sz w:val="16"/>
          <w:vertAlign w:val="baseline"/>
        </w:rPr>
        <w:t> </w:t>
      </w:r>
      <w:r>
        <w:rPr>
          <w:sz w:val="16"/>
          <w:vertAlign w:val="baseline"/>
        </w:rPr>
        <w:t>dit</w:t>
      </w:r>
      <w:r>
        <w:rPr>
          <w:spacing w:val="-1"/>
          <w:sz w:val="16"/>
          <w:vertAlign w:val="baseline"/>
        </w:rPr>
        <w:t> </w:t>
      </w:r>
      <w:r>
        <w:rPr>
          <w:sz w:val="16"/>
          <w:vertAlign w:val="baseline"/>
        </w:rPr>
        <w:t>jaar</w:t>
      </w:r>
      <w:r>
        <w:rPr>
          <w:spacing w:val="-2"/>
          <w:sz w:val="16"/>
          <w:vertAlign w:val="baseline"/>
        </w:rPr>
        <w:t> </w:t>
      </w:r>
      <w:r>
        <w:rPr>
          <w:sz w:val="16"/>
          <w:vertAlign w:val="baseline"/>
        </w:rPr>
        <w:t>settlement</w:t>
      </w:r>
      <w:r>
        <w:rPr>
          <w:spacing w:val="-1"/>
          <w:sz w:val="16"/>
          <w:vertAlign w:val="baseline"/>
        </w:rPr>
        <w:t> </w:t>
      </w:r>
      <w:r>
        <w:rPr>
          <w:sz w:val="16"/>
          <w:vertAlign w:val="baseline"/>
        </w:rPr>
        <w:t>niet</w:t>
      </w:r>
      <w:r>
        <w:rPr>
          <w:spacing w:val="-1"/>
          <w:sz w:val="16"/>
          <w:vertAlign w:val="baseline"/>
        </w:rPr>
        <w:t> </w:t>
      </w:r>
      <w:r>
        <w:rPr>
          <w:sz w:val="16"/>
          <w:vertAlign w:val="baseline"/>
        </w:rPr>
        <w:t>mogelijk</w:t>
      </w:r>
      <w:r>
        <w:rPr>
          <w:spacing w:val="-2"/>
          <w:sz w:val="16"/>
          <w:vertAlign w:val="baseline"/>
        </w:rPr>
        <w:t> </w:t>
      </w:r>
      <w:r>
        <w:rPr>
          <w:sz w:val="16"/>
          <w:vertAlign w:val="baseline"/>
        </w:rPr>
        <w:t>bleek</w:t>
      </w:r>
      <w:r>
        <w:rPr>
          <w:spacing w:val="-4"/>
          <w:sz w:val="16"/>
          <w:vertAlign w:val="baseline"/>
        </w:rPr>
        <w:t> </w:t>
      </w:r>
      <w:r>
        <w:rPr>
          <w:sz w:val="16"/>
          <w:vertAlign w:val="baseline"/>
        </w:rPr>
        <w:t>vanwege</w:t>
      </w:r>
      <w:r>
        <w:rPr>
          <w:spacing w:val="-2"/>
          <w:sz w:val="16"/>
          <w:vertAlign w:val="baseline"/>
        </w:rPr>
        <w:t> </w:t>
      </w:r>
      <w:r>
        <w:rPr>
          <w:sz w:val="16"/>
          <w:vertAlign w:val="baseline"/>
        </w:rPr>
        <w:t>een grote storing in het Target-2-Securities-systeem van het Eurosysteem: </w:t>
      </w:r>
      <w:r>
        <w:rPr>
          <w:spacing w:val="-2"/>
          <w:sz w:val="16"/>
          <w:vertAlign w:val="baseline"/>
        </w:rPr>
        <w:t>https</w:t>
      </w:r>
      <w:hyperlink r:id="rId8">
        <w:r>
          <w:rPr>
            <w:spacing w:val="-2"/>
            <w:sz w:val="16"/>
            <w:vertAlign w:val="baseline"/>
          </w:rPr>
          <w:t>://www.esma.europa.eu/sites/default/files/2025-03/ESMA74-2119945926-3232_Statement_on_non-</w:t>
        </w:r>
      </w:hyperlink>
      <w:r>
        <w:rPr>
          <w:spacing w:val="-2"/>
          <w:sz w:val="16"/>
          <w:vertAlign w:val="baseline"/>
        </w:rPr>
        <w:t> application_of_cash_penalties_due_to_major_incident_affecting_T2S_and_T2.pdf.</w:t>
      </w:r>
    </w:p>
    <w:p>
      <w:pPr>
        <w:spacing w:after="0"/>
        <w:jc w:val="left"/>
        <w:rPr>
          <w:sz w:val="16"/>
        </w:rPr>
        <w:sectPr>
          <w:pgSz w:w="11910" w:h="16850"/>
          <w:pgMar w:top="1380" w:right="1320" w:bottom="1100" w:left="1320" w:header="0" w:footer="900"/>
        </w:sectPr>
      </w:pPr>
    </w:p>
    <w:p>
      <w:pPr>
        <w:spacing w:before="79" w:line="264" w:lineRule="auto"/>
        <w:ind w:left="119" w:right="162" w:firstLine="0"/>
        <w:jc w:val="left"/>
        <w:rPr>
          <w:i/>
          <w:sz w:val="18"/>
        </w:rPr>
      </w:pPr>
      <w:r>
        <w:rPr>
          <w:i/>
          <w:sz w:val="18"/>
        </w:rPr>
        <w:t>De leden van de NSC-fractie lezen in het ESMA-rapport dat bij de overgang naar T+1 in de</w:t>
      </w:r>
      <w:r>
        <w:rPr>
          <w:i/>
          <w:sz w:val="18"/>
        </w:rPr>
        <w:t> Verenigde Staten de stakeholders meer personeel hebben aangenomen om tegemoet te komen aan de directe behoeften die de transitie naar T+1 vereiste. Voorziet het kabinet problemen ten aanzien</w:t>
      </w:r>
      <w:r>
        <w:rPr>
          <w:i/>
          <w:spacing w:val="-2"/>
          <w:sz w:val="18"/>
        </w:rPr>
        <w:t> </w:t>
      </w:r>
      <w:r>
        <w:rPr>
          <w:i/>
          <w:sz w:val="18"/>
        </w:rPr>
        <w:t>van</w:t>
      </w:r>
      <w:r>
        <w:rPr>
          <w:i/>
          <w:spacing w:val="-2"/>
          <w:sz w:val="18"/>
        </w:rPr>
        <w:t> </w:t>
      </w:r>
      <w:r>
        <w:rPr>
          <w:i/>
          <w:sz w:val="18"/>
        </w:rPr>
        <w:t>de</w:t>
      </w:r>
      <w:r>
        <w:rPr>
          <w:i/>
          <w:spacing w:val="-3"/>
          <w:sz w:val="18"/>
        </w:rPr>
        <w:t> </w:t>
      </w:r>
      <w:r>
        <w:rPr>
          <w:i/>
          <w:sz w:val="18"/>
        </w:rPr>
        <w:t>Nederlandse</w:t>
      </w:r>
      <w:r>
        <w:rPr>
          <w:i/>
          <w:spacing w:val="-3"/>
          <w:sz w:val="18"/>
        </w:rPr>
        <w:t> </w:t>
      </w:r>
      <w:r>
        <w:rPr>
          <w:i/>
          <w:sz w:val="18"/>
        </w:rPr>
        <w:t>context,</w:t>
      </w:r>
      <w:r>
        <w:rPr>
          <w:i/>
          <w:spacing w:val="-4"/>
          <w:sz w:val="18"/>
        </w:rPr>
        <w:t> </w:t>
      </w:r>
      <w:r>
        <w:rPr>
          <w:i/>
          <w:sz w:val="18"/>
        </w:rPr>
        <w:t>gezien</w:t>
      </w:r>
      <w:r>
        <w:rPr>
          <w:i/>
          <w:spacing w:val="-2"/>
          <w:sz w:val="18"/>
        </w:rPr>
        <w:t> </w:t>
      </w:r>
      <w:r>
        <w:rPr>
          <w:i/>
          <w:sz w:val="18"/>
        </w:rPr>
        <w:t>de</w:t>
      </w:r>
      <w:r>
        <w:rPr>
          <w:i/>
          <w:spacing w:val="-3"/>
          <w:sz w:val="18"/>
        </w:rPr>
        <w:t> </w:t>
      </w:r>
      <w:r>
        <w:rPr>
          <w:i/>
          <w:sz w:val="18"/>
        </w:rPr>
        <w:t>huidige</w:t>
      </w:r>
      <w:r>
        <w:rPr>
          <w:i/>
          <w:spacing w:val="-3"/>
          <w:sz w:val="18"/>
        </w:rPr>
        <w:t> </w:t>
      </w:r>
      <w:r>
        <w:rPr>
          <w:i/>
          <w:sz w:val="18"/>
        </w:rPr>
        <w:t>arbeidsmarkt?</w:t>
      </w:r>
      <w:r>
        <w:rPr>
          <w:i/>
          <w:spacing w:val="-3"/>
          <w:sz w:val="18"/>
        </w:rPr>
        <w:t> </w:t>
      </w:r>
      <w:r>
        <w:rPr>
          <w:i/>
          <w:sz w:val="18"/>
        </w:rPr>
        <w:t>Is</w:t>
      </w:r>
      <w:r>
        <w:rPr>
          <w:i/>
          <w:spacing w:val="-3"/>
          <w:sz w:val="18"/>
        </w:rPr>
        <w:t> </w:t>
      </w:r>
      <w:r>
        <w:rPr>
          <w:i/>
          <w:sz w:val="18"/>
        </w:rPr>
        <w:t>de</w:t>
      </w:r>
      <w:r>
        <w:rPr>
          <w:i/>
          <w:spacing w:val="-3"/>
          <w:sz w:val="18"/>
        </w:rPr>
        <w:t> </w:t>
      </w:r>
      <w:r>
        <w:rPr>
          <w:i/>
          <w:sz w:val="18"/>
        </w:rPr>
        <w:t>go-live</w:t>
      </w:r>
      <w:r>
        <w:rPr>
          <w:i/>
          <w:spacing w:val="-3"/>
          <w:sz w:val="18"/>
        </w:rPr>
        <w:t> </w:t>
      </w:r>
      <w:r>
        <w:rPr>
          <w:i/>
          <w:sz w:val="18"/>
        </w:rPr>
        <w:t>termijn</w:t>
      </w:r>
      <w:r>
        <w:rPr>
          <w:i/>
          <w:spacing w:val="-2"/>
          <w:sz w:val="18"/>
        </w:rPr>
        <w:t> </w:t>
      </w:r>
      <w:r>
        <w:rPr>
          <w:i/>
          <w:sz w:val="18"/>
        </w:rPr>
        <w:t>van</w:t>
      </w:r>
      <w:r>
        <w:rPr>
          <w:i/>
          <w:spacing w:val="-2"/>
          <w:sz w:val="18"/>
        </w:rPr>
        <w:t> </w:t>
      </w:r>
      <w:r>
        <w:rPr>
          <w:i/>
          <w:sz w:val="18"/>
        </w:rPr>
        <w:t>11 oktober 2027 wel haalbaar en uitvoerbaar?</w:t>
      </w:r>
    </w:p>
    <w:p>
      <w:pPr>
        <w:pStyle w:val="BodyText"/>
        <w:spacing w:before="18"/>
        <w:rPr>
          <w:i/>
        </w:rPr>
      </w:pPr>
    </w:p>
    <w:p>
      <w:pPr>
        <w:pStyle w:val="BodyText"/>
        <w:spacing w:line="264" w:lineRule="auto"/>
        <w:ind w:left="119" w:right="133"/>
      </w:pPr>
      <w:r>
        <w:rPr/>
        <w:t>Het kabinet erkent dat de overgang naar een T+1 settlementcyclus in bepaalde gevallen kan</w:t>
      </w:r>
      <w:r>
        <w:rPr>
          <w:spacing w:val="40"/>
        </w:rPr>
        <w:t> </w:t>
      </w:r>
      <w:r>
        <w:rPr/>
        <w:t>leiden tot een behoefte aan extra personeel bij marktpartijen, afhankelijk van hun bedrijfsmodel</w:t>
      </w:r>
      <w:r>
        <w:rPr>
          <w:spacing w:val="40"/>
        </w:rPr>
        <w:t> </w:t>
      </w:r>
      <w:r>
        <w:rPr/>
        <w:t>en operationele inrichting. Het kabinet voorziet daarin vooralsnog geen specifieke knelpunten. De geplande invoeringsdatum van 11 oktober 2027 wordt door zowel ESMA als vertegenwoordigers van de financiële sector als haalbaar en uitvoerbaar beoordeeld. Tegelijkertijd vraagt de voorbereiding</w:t>
      </w:r>
      <w:r>
        <w:rPr>
          <w:spacing w:val="-2"/>
        </w:rPr>
        <w:t> </w:t>
      </w:r>
      <w:r>
        <w:rPr/>
        <w:t>een</w:t>
      </w:r>
      <w:r>
        <w:rPr>
          <w:spacing w:val="-1"/>
        </w:rPr>
        <w:t> </w:t>
      </w:r>
      <w:r>
        <w:rPr/>
        <w:t>aanzienlijke</w:t>
      </w:r>
      <w:r>
        <w:rPr>
          <w:spacing w:val="-2"/>
        </w:rPr>
        <w:t> </w:t>
      </w:r>
      <w:r>
        <w:rPr/>
        <w:t>inspanning</w:t>
      </w:r>
      <w:r>
        <w:rPr>
          <w:spacing w:val="-2"/>
        </w:rPr>
        <w:t> </w:t>
      </w:r>
      <w:r>
        <w:rPr/>
        <w:t>van</w:t>
      </w:r>
      <w:r>
        <w:rPr>
          <w:spacing w:val="-1"/>
        </w:rPr>
        <w:t> </w:t>
      </w:r>
      <w:r>
        <w:rPr/>
        <w:t>alle</w:t>
      </w:r>
      <w:r>
        <w:rPr>
          <w:spacing w:val="-2"/>
        </w:rPr>
        <w:t> </w:t>
      </w:r>
      <w:r>
        <w:rPr/>
        <w:t>betrokken</w:t>
      </w:r>
      <w:r>
        <w:rPr>
          <w:spacing w:val="-2"/>
        </w:rPr>
        <w:t> </w:t>
      </w:r>
      <w:r>
        <w:rPr/>
        <w:t>partijen,</w:t>
      </w:r>
      <w:r>
        <w:rPr>
          <w:spacing w:val="-3"/>
        </w:rPr>
        <w:t> </w:t>
      </w:r>
      <w:r>
        <w:rPr/>
        <w:t>onder</w:t>
      </w:r>
      <w:r>
        <w:rPr>
          <w:spacing w:val="-2"/>
        </w:rPr>
        <w:t> </w:t>
      </w:r>
      <w:r>
        <w:rPr/>
        <w:t>meer</w:t>
      </w:r>
      <w:r>
        <w:rPr>
          <w:spacing w:val="-2"/>
        </w:rPr>
        <w:t> </w:t>
      </w:r>
      <w:r>
        <w:rPr/>
        <w:t>om</w:t>
      </w:r>
      <w:r>
        <w:rPr>
          <w:spacing w:val="-2"/>
        </w:rPr>
        <w:t> </w:t>
      </w:r>
      <w:r>
        <w:rPr/>
        <w:t>gezamenlijk tot nieuwe marktpraktijken te komen en deze voorafgaand aan de invoering zorgvuldig te testen. Zoals eerder aangegeven in antwoord op een vraag van de leden van de VVD-fractie worden de Europese</w:t>
      </w:r>
      <w:r>
        <w:rPr>
          <w:spacing w:val="-2"/>
        </w:rPr>
        <w:t> </w:t>
      </w:r>
      <w:r>
        <w:rPr/>
        <w:t>Commissie,</w:t>
      </w:r>
      <w:r>
        <w:rPr>
          <w:spacing w:val="-3"/>
        </w:rPr>
        <w:t> </w:t>
      </w:r>
      <w:r>
        <w:rPr/>
        <w:t>ESMA</w:t>
      </w:r>
      <w:r>
        <w:rPr>
          <w:spacing w:val="-3"/>
        </w:rPr>
        <w:t> </w:t>
      </w:r>
      <w:r>
        <w:rPr/>
        <w:t>en</w:t>
      </w:r>
      <w:r>
        <w:rPr>
          <w:spacing w:val="-1"/>
        </w:rPr>
        <w:t> </w:t>
      </w:r>
      <w:r>
        <w:rPr/>
        <w:t>de</w:t>
      </w:r>
      <w:r>
        <w:rPr>
          <w:spacing w:val="-2"/>
        </w:rPr>
        <w:t> </w:t>
      </w:r>
      <w:r>
        <w:rPr/>
        <w:t>ECB</w:t>
      </w:r>
      <w:r>
        <w:rPr>
          <w:spacing w:val="-1"/>
        </w:rPr>
        <w:t> </w:t>
      </w:r>
      <w:r>
        <w:rPr/>
        <w:t>op</w:t>
      </w:r>
      <w:r>
        <w:rPr>
          <w:spacing w:val="-2"/>
        </w:rPr>
        <w:t> </w:t>
      </w:r>
      <w:r>
        <w:rPr/>
        <w:t>de</w:t>
      </w:r>
      <w:r>
        <w:rPr>
          <w:spacing w:val="-2"/>
        </w:rPr>
        <w:t> </w:t>
      </w:r>
      <w:r>
        <w:rPr/>
        <w:t>hoogte</w:t>
      </w:r>
      <w:r>
        <w:rPr>
          <w:spacing w:val="-2"/>
        </w:rPr>
        <w:t> </w:t>
      </w:r>
      <w:r>
        <w:rPr/>
        <w:t>gehouden</w:t>
      </w:r>
      <w:r>
        <w:rPr>
          <w:spacing w:val="-1"/>
        </w:rPr>
        <w:t> </w:t>
      </w:r>
      <w:r>
        <w:rPr/>
        <w:t>van</w:t>
      </w:r>
      <w:r>
        <w:rPr>
          <w:spacing w:val="-1"/>
        </w:rPr>
        <w:t> </w:t>
      </w:r>
      <w:r>
        <w:rPr/>
        <w:t>de</w:t>
      </w:r>
      <w:r>
        <w:rPr>
          <w:spacing w:val="-2"/>
        </w:rPr>
        <w:t> </w:t>
      </w:r>
      <w:r>
        <w:rPr/>
        <w:t>vorderingen</w:t>
      </w:r>
      <w:r>
        <w:rPr>
          <w:spacing w:val="-1"/>
        </w:rPr>
        <w:t> </w:t>
      </w:r>
      <w:r>
        <w:rPr/>
        <w:t>die</w:t>
      </w:r>
      <w:r>
        <w:rPr>
          <w:spacing w:val="-2"/>
        </w:rPr>
        <w:t> </w:t>
      </w:r>
      <w:r>
        <w:rPr/>
        <w:t>de</w:t>
      </w:r>
      <w:r>
        <w:rPr>
          <w:spacing w:val="-2"/>
        </w:rPr>
        <w:t> </w:t>
      </w:r>
      <w:r>
        <w:rPr/>
        <w:t>industrie maakt bij het komen tot operationele aanpassingen om naar een T+1 settlementcyclus over te kunnen gaan.</w:t>
      </w:r>
    </w:p>
    <w:p>
      <w:pPr>
        <w:pStyle w:val="BodyText"/>
        <w:spacing w:before="14"/>
      </w:pPr>
    </w:p>
    <w:p>
      <w:pPr>
        <w:spacing w:before="0" w:line="264" w:lineRule="auto"/>
        <w:ind w:left="120" w:right="154" w:firstLine="0"/>
        <w:jc w:val="left"/>
        <w:rPr>
          <w:i/>
          <w:sz w:val="18"/>
        </w:rPr>
      </w:pPr>
      <w:r>
        <w:rPr>
          <w:i/>
          <w:sz w:val="18"/>
        </w:rPr>
        <w:t>Hierop aansluitend lezen de leden van de NSC-fractie dat het kabinet wil bezien of er een</w:t>
      </w:r>
      <w:r>
        <w:rPr>
          <w:i/>
          <w:sz w:val="18"/>
        </w:rPr>
        <w:t> mogelijkheid</w:t>
      </w:r>
      <w:r>
        <w:rPr>
          <w:i/>
          <w:spacing w:val="-1"/>
          <w:sz w:val="18"/>
        </w:rPr>
        <w:t> </w:t>
      </w:r>
      <w:r>
        <w:rPr>
          <w:i/>
          <w:sz w:val="18"/>
        </w:rPr>
        <w:t>tot coulance</w:t>
      </w:r>
      <w:r>
        <w:rPr>
          <w:i/>
          <w:spacing w:val="-3"/>
          <w:sz w:val="18"/>
        </w:rPr>
        <w:t> </w:t>
      </w:r>
      <w:r>
        <w:rPr>
          <w:i/>
          <w:sz w:val="18"/>
        </w:rPr>
        <w:t>door</w:t>
      </w:r>
      <w:r>
        <w:rPr>
          <w:i/>
          <w:spacing w:val="-1"/>
          <w:sz w:val="18"/>
        </w:rPr>
        <w:t> </w:t>
      </w:r>
      <w:r>
        <w:rPr>
          <w:i/>
          <w:sz w:val="18"/>
        </w:rPr>
        <w:t>de</w:t>
      </w:r>
      <w:r>
        <w:rPr>
          <w:i/>
          <w:spacing w:val="-3"/>
          <w:sz w:val="18"/>
        </w:rPr>
        <w:t> </w:t>
      </w:r>
      <w:r>
        <w:rPr>
          <w:i/>
          <w:sz w:val="18"/>
        </w:rPr>
        <w:t>toezichthouders</w:t>
      </w:r>
      <w:r>
        <w:rPr>
          <w:i/>
          <w:spacing w:val="-1"/>
          <w:sz w:val="18"/>
        </w:rPr>
        <w:t> </w:t>
      </w:r>
      <w:r>
        <w:rPr>
          <w:i/>
          <w:sz w:val="18"/>
        </w:rPr>
        <w:t>kan worden gecreëerd</w:t>
      </w:r>
      <w:r>
        <w:rPr>
          <w:i/>
          <w:spacing w:val="-1"/>
          <w:sz w:val="18"/>
        </w:rPr>
        <w:t> </w:t>
      </w:r>
      <w:r>
        <w:rPr>
          <w:i/>
          <w:sz w:val="18"/>
        </w:rPr>
        <w:t>bij</w:t>
      </w:r>
      <w:r>
        <w:rPr>
          <w:i/>
          <w:spacing w:val="-1"/>
          <w:sz w:val="18"/>
        </w:rPr>
        <w:t> </w:t>
      </w:r>
      <w:r>
        <w:rPr>
          <w:i/>
          <w:sz w:val="18"/>
        </w:rPr>
        <w:t>mislukte</w:t>
      </w:r>
      <w:r>
        <w:rPr>
          <w:i/>
          <w:spacing w:val="-1"/>
          <w:sz w:val="18"/>
        </w:rPr>
        <w:t> </w:t>
      </w:r>
      <w:r>
        <w:rPr>
          <w:i/>
          <w:sz w:val="18"/>
        </w:rPr>
        <w:t>settlements. Het ESMA-rapport geeft echter aan dat op basis van opgedane ervaring bij andere jurisdicties die naar T+1 gegaan zijn, er geen aanleiding is om aan te nemen dat het aantal mislukte settlements enorm zal toenemen. Op welk moment van het traject dient hierover een beslissing plaats te vinden?</w:t>
      </w:r>
      <w:r>
        <w:rPr>
          <w:i/>
          <w:spacing w:val="-2"/>
          <w:sz w:val="18"/>
        </w:rPr>
        <w:t> </w:t>
      </w:r>
      <w:r>
        <w:rPr>
          <w:i/>
          <w:sz w:val="18"/>
        </w:rPr>
        <w:t>Deze</w:t>
      </w:r>
      <w:r>
        <w:rPr>
          <w:i/>
          <w:spacing w:val="-2"/>
          <w:sz w:val="18"/>
        </w:rPr>
        <w:t> </w:t>
      </w:r>
      <w:r>
        <w:rPr>
          <w:i/>
          <w:sz w:val="18"/>
        </w:rPr>
        <w:t>leden</w:t>
      </w:r>
      <w:r>
        <w:rPr>
          <w:i/>
          <w:spacing w:val="-1"/>
          <w:sz w:val="18"/>
        </w:rPr>
        <w:t> </w:t>
      </w:r>
      <w:r>
        <w:rPr>
          <w:i/>
          <w:sz w:val="18"/>
        </w:rPr>
        <w:t>kunnen</w:t>
      </w:r>
      <w:r>
        <w:rPr>
          <w:i/>
          <w:spacing w:val="-1"/>
          <w:sz w:val="18"/>
        </w:rPr>
        <w:t> </w:t>
      </w:r>
      <w:r>
        <w:rPr>
          <w:i/>
          <w:sz w:val="18"/>
        </w:rPr>
        <w:t>zich</w:t>
      </w:r>
      <w:r>
        <w:rPr>
          <w:i/>
          <w:spacing w:val="-1"/>
          <w:sz w:val="18"/>
        </w:rPr>
        <w:t> </w:t>
      </w:r>
      <w:r>
        <w:rPr>
          <w:i/>
          <w:sz w:val="18"/>
        </w:rPr>
        <w:t>voorstellen</w:t>
      </w:r>
      <w:r>
        <w:rPr>
          <w:i/>
          <w:spacing w:val="-1"/>
          <w:sz w:val="18"/>
        </w:rPr>
        <w:t> </w:t>
      </w:r>
      <w:r>
        <w:rPr>
          <w:i/>
          <w:sz w:val="18"/>
        </w:rPr>
        <w:t>dat</w:t>
      </w:r>
      <w:r>
        <w:rPr>
          <w:i/>
          <w:spacing w:val="-1"/>
          <w:sz w:val="18"/>
        </w:rPr>
        <w:t> </w:t>
      </w:r>
      <w:r>
        <w:rPr>
          <w:i/>
          <w:sz w:val="18"/>
        </w:rPr>
        <w:t>het</w:t>
      </w:r>
      <w:r>
        <w:rPr>
          <w:i/>
          <w:spacing w:val="-4"/>
          <w:sz w:val="18"/>
        </w:rPr>
        <w:t> </w:t>
      </w:r>
      <w:r>
        <w:rPr>
          <w:i/>
          <w:sz w:val="18"/>
        </w:rPr>
        <w:t>beste</w:t>
      </w:r>
      <w:r>
        <w:rPr>
          <w:i/>
          <w:spacing w:val="-2"/>
          <w:sz w:val="18"/>
        </w:rPr>
        <w:t> </w:t>
      </w:r>
      <w:r>
        <w:rPr>
          <w:i/>
          <w:sz w:val="18"/>
        </w:rPr>
        <w:t>beeld</w:t>
      </w:r>
      <w:r>
        <w:rPr>
          <w:i/>
          <w:spacing w:val="-4"/>
          <w:sz w:val="18"/>
        </w:rPr>
        <w:t> </w:t>
      </w:r>
      <w:r>
        <w:rPr>
          <w:i/>
          <w:sz w:val="18"/>
        </w:rPr>
        <w:t>ontstaat</w:t>
      </w:r>
      <w:r>
        <w:rPr>
          <w:i/>
          <w:spacing w:val="-1"/>
          <w:sz w:val="18"/>
        </w:rPr>
        <w:t> </w:t>
      </w:r>
      <w:r>
        <w:rPr>
          <w:i/>
          <w:sz w:val="18"/>
        </w:rPr>
        <w:t>tijdens</w:t>
      </w:r>
      <w:r>
        <w:rPr>
          <w:i/>
          <w:spacing w:val="-2"/>
          <w:sz w:val="18"/>
        </w:rPr>
        <w:t> </w:t>
      </w:r>
      <w:r>
        <w:rPr>
          <w:i/>
          <w:sz w:val="18"/>
        </w:rPr>
        <w:t>de</w:t>
      </w:r>
      <w:r>
        <w:rPr>
          <w:i/>
          <w:spacing w:val="-2"/>
          <w:sz w:val="18"/>
        </w:rPr>
        <w:t> </w:t>
      </w:r>
      <w:r>
        <w:rPr>
          <w:i/>
          <w:sz w:val="18"/>
        </w:rPr>
        <w:t>testfase.</w:t>
      </w:r>
      <w:r>
        <w:rPr>
          <w:i/>
          <w:spacing w:val="-3"/>
          <w:sz w:val="18"/>
        </w:rPr>
        <w:t> </w:t>
      </w:r>
      <w:r>
        <w:rPr>
          <w:i/>
          <w:sz w:val="18"/>
        </w:rPr>
        <w:t>Is</w:t>
      </w:r>
      <w:r>
        <w:rPr>
          <w:i/>
          <w:spacing w:val="-2"/>
          <w:sz w:val="18"/>
        </w:rPr>
        <w:t> </w:t>
      </w:r>
      <w:r>
        <w:rPr>
          <w:i/>
          <w:sz w:val="18"/>
        </w:rPr>
        <w:t>het in</w:t>
      </w:r>
      <w:r>
        <w:rPr>
          <w:i/>
          <w:spacing w:val="-2"/>
          <w:sz w:val="18"/>
        </w:rPr>
        <w:t> </w:t>
      </w:r>
      <w:r>
        <w:rPr>
          <w:i/>
          <w:sz w:val="18"/>
        </w:rPr>
        <w:t>die</w:t>
      </w:r>
      <w:r>
        <w:rPr>
          <w:i/>
          <w:spacing w:val="-3"/>
          <w:sz w:val="18"/>
        </w:rPr>
        <w:t> </w:t>
      </w:r>
      <w:r>
        <w:rPr>
          <w:i/>
          <w:sz w:val="18"/>
        </w:rPr>
        <w:t>fase</w:t>
      </w:r>
      <w:r>
        <w:rPr>
          <w:i/>
          <w:spacing w:val="-3"/>
          <w:sz w:val="18"/>
        </w:rPr>
        <w:t> </w:t>
      </w:r>
      <w:r>
        <w:rPr>
          <w:i/>
          <w:sz w:val="18"/>
        </w:rPr>
        <w:t>nog</w:t>
      </w:r>
      <w:r>
        <w:rPr>
          <w:i/>
          <w:spacing w:val="-2"/>
          <w:sz w:val="18"/>
        </w:rPr>
        <w:t> </w:t>
      </w:r>
      <w:r>
        <w:rPr>
          <w:i/>
          <w:sz w:val="18"/>
        </w:rPr>
        <w:t>mogelijk</w:t>
      </w:r>
      <w:r>
        <w:rPr>
          <w:i/>
          <w:spacing w:val="-3"/>
          <w:sz w:val="18"/>
        </w:rPr>
        <w:t> </w:t>
      </w:r>
      <w:r>
        <w:rPr>
          <w:i/>
          <w:sz w:val="18"/>
        </w:rPr>
        <w:t>om</w:t>
      </w:r>
      <w:r>
        <w:rPr>
          <w:i/>
          <w:spacing w:val="-3"/>
          <w:sz w:val="18"/>
        </w:rPr>
        <w:t> </w:t>
      </w:r>
      <w:r>
        <w:rPr>
          <w:i/>
          <w:sz w:val="18"/>
        </w:rPr>
        <w:t>tot</w:t>
      </w:r>
      <w:r>
        <w:rPr>
          <w:i/>
          <w:spacing w:val="-2"/>
          <w:sz w:val="18"/>
        </w:rPr>
        <w:t> </w:t>
      </w:r>
      <w:r>
        <w:rPr>
          <w:i/>
          <w:sz w:val="18"/>
        </w:rPr>
        <w:t>een</w:t>
      </w:r>
      <w:r>
        <w:rPr>
          <w:i/>
          <w:spacing w:val="-2"/>
          <w:sz w:val="18"/>
        </w:rPr>
        <w:t> </w:t>
      </w:r>
      <w:r>
        <w:rPr>
          <w:i/>
          <w:sz w:val="18"/>
        </w:rPr>
        <w:t>coulanceregeling</w:t>
      </w:r>
      <w:r>
        <w:rPr>
          <w:i/>
          <w:spacing w:val="-2"/>
          <w:sz w:val="18"/>
        </w:rPr>
        <w:t> </w:t>
      </w:r>
      <w:r>
        <w:rPr>
          <w:i/>
          <w:sz w:val="18"/>
        </w:rPr>
        <w:t>voor</w:t>
      </w:r>
      <w:r>
        <w:rPr>
          <w:i/>
          <w:spacing w:val="-3"/>
          <w:sz w:val="18"/>
        </w:rPr>
        <w:t> </w:t>
      </w:r>
      <w:r>
        <w:rPr>
          <w:i/>
          <w:sz w:val="18"/>
        </w:rPr>
        <w:t>beperkte</w:t>
      </w:r>
      <w:r>
        <w:rPr>
          <w:i/>
          <w:spacing w:val="-3"/>
          <w:sz w:val="18"/>
        </w:rPr>
        <w:t> </w:t>
      </w:r>
      <w:r>
        <w:rPr>
          <w:i/>
          <w:sz w:val="18"/>
        </w:rPr>
        <w:t>duur</w:t>
      </w:r>
      <w:r>
        <w:rPr>
          <w:i/>
          <w:spacing w:val="-3"/>
          <w:sz w:val="18"/>
        </w:rPr>
        <w:t> </w:t>
      </w:r>
      <w:r>
        <w:rPr>
          <w:i/>
          <w:sz w:val="18"/>
        </w:rPr>
        <w:t>te</w:t>
      </w:r>
      <w:r>
        <w:rPr>
          <w:i/>
          <w:spacing w:val="-3"/>
          <w:sz w:val="18"/>
        </w:rPr>
        <w:t> </w:t>
      </w:r>
      <w:r>
        <w:rPr>
          <w:i/>
          <w:sz w:val="18"/>
        </w:rPr>
        <w:t>komen?</w:t>
      </w:r>
      <w:r>
        <w:rPr>
          <w:i/>
          <w:spacing w:val="-3"/>
          <w:sz w:val="18"/>
        </w:rPr>
        <w:t> </w:t>
      </w:r>
      <w:r>
        <w:rPr>
          <w:i/>
          <w:sz w:val="18"/>
        </w:rPr>
        <w:t>Zo</w:t>
      </w:r>
      <w:r>
        <w:rPr>
          <w:i/>
          <w:spacing w:val="-2"/>
          <w:sz w:val="18"/>
        </w:rPr>
        <w:t> </w:t>
      </w:r>
      <w:r>
        <w:rPr>
          <w:i/>
          <w:sz w:val="18"/>
        </w:rPr>
        <w:t>ja,</w:t>
      </w:r>
      <w:r>
        <w:rPr>
          <w:i/>
          <w:spacing w:val="-4"/>
          <w:sz w:val="18"/>
        </w:rPr>
        <w:t> </w:t>
      </w:r>
      <w:r>
        <w:rPr>
          <w:i/>
          <w:sz w:val="18"/>
        </w:rPr>
        <w:t>hoe</w:t>
      </w:r>
      <w:r>
        <w:rPr>
          <w:i/>
          <w:spacing w:val="-3"/>
          <w:sz w:val="18"/>
        </w:rPr>
        <w:t> </w:t>
      </w:r>
      <w:r>
        <w:rPr>
          <w:i/>
          <w:sz w:val="18"/>
        </w:rPr>
        <w:t>zou een dergelijke coulanceregeling er uit kunnen zien? Hoe gaat, afgezien van een eventuele coulanceregeling, de handhaving eruit zien? Wie gaat toezichthouden en welke sancties zijn er op het niet naleven van de verordening? Tot slot, zou het kabinet de Kamer kunnen informeren over de stand van zaken ten tijde van de testfase?</w:t>
      </w:r>
    </w:p>
    <w:p>
      <w:pPr>
        <w:pStyle w:val="BodyText"/>
        <w:spacing w:before="13"/>
        <w:rPr>
          <w:i/>
        </w:rPr>
      </w:pPr>
    </w:p>
    <w:p>
      <w:pPr>
        <w:pStyle w:val="BodyText"/>
        <w:spacing w:line="264" w:lineRule="auto"/>
        <w:ind w:left="120"/>
      </w:pPr>
      <w:r>
        <w:rPr/>
        <w:t>Zoals</w:t>
      </w:r>
      <w:r>
        <w:rPr>
          <w:spacing w:val="-3"/>
        </w:rPr>
        <w:t> </w:t>
      </w:r>
      <w:r>
        <w:rPr/>
        <w:t>hiervoor</w:t>
      </w:r>
      <w:r>
        <w:rPr>
          <w:spacing w:val="-3"/>
        </w:rPr>
        <w:t> </w:t>
      </w:r>
      <w:r>
        <w:rPr/>
        <w:t>in</w:t>
      </w:r>
      <w:r>
        <w:rPr>
          <w:spacing w:val="-2"/>
        </w:rPr>
        <w:t> </w:t>
      </w:r>
      <w:r>
        <w:rPr/>
        <w:t>antwoord</w:t>
      </w:r>
      <w:r>
        <w:rPr>
          <w:spacing w:val="-5"/>
        </w:rPr>
        <w:t> </w:t>
      </w:r>
      <w:r>
        <w:rPr/>
        <w:t>op</w:t>
      </w:r>
      <w:r>
        <w:rPr>
          <w:spacing w:val="-3"/>
        </w:rPr>
        <w:t> </w:t>
      </w:r>
      <w:r>
        <w:rPr/>
        <w:t>de</w:t>
      </w:r>
      <w:r>
        <w:rPr>
          <w:spacing w:val="-3"/>
        </w:rPr>
        <w:t> </w:t>
      </w:r>
      <w:r>
        <w:rPr/>
        <w:t>vraag</w:t>
      </w:r>
      <w:r>
        <w:rPr>
          <w:spacing w:val="-3"/>
        </w:rPr>
        <w:t> </w:t>
      </w:r>
      <w:r>
        <w:rPr/>
        <w:t>van</w:t>
      </w:r>
      <w:r>
        <w:rPr>
          <w:spacing w:val="-2"/>
        </w:rPr>
        <w:t> </w:t>
      </w:r>
      <w:r>
        <w:rPr/>
        <w:t>de</w:t>
      </w:r>
      <w:r>
        <w:rPr>
          <w:spacing w:val="-3"/>
        </w:rPr>
        <w:t> </w:t>
      </w:r>
      <w:r>
        <w:rPr/>
        <w:t>leden</w:t>
      </w:r>
      <w:r>
        <w:rPr>
          <w:spacing w:val="-4"/>
        </w:rPr>
        <w:t> </w:t>
      </w:r>
      <w:r>
        <w:rPr/>
        <w:t>van</w:t>
      </w:r>
      <w:r>
        <w:rPr>
          <w:spacing w:val="-2"/>
        </w:rPr>
        <w:t> </w:t>
      </w:r>
      <w:r>
        <w:rPr/>
        <w:t>de</w:t>
      </w:r>
      <w:r>
        <w:rPr>
          <w:spacing w:val="-3"/>
        </w:rPr>
        <w:t> </w:t>
      </w:r>
      <w:r>
        <w:rPr/>
        <w:t>VVD-fractie</w:t>
      </w:r>
      <w:r>
        <w:rPr>
          <w:spacing w:val="-3"/>
        </w:rPr>
        <w:t> </w:t>
      </w:r>
      <w:r>
        <w:rPr/>
        <w:t>is</w:t>
      </w:r>
      <w:r>
        <w:rPr>
          <w:spacing w:val="-3"/>
        </w:rPr>
        <w:t> </w:t>
      </w:r>
      <w:r>
        <w:rPr/>
        <w:t>aangegeven,</w:t>
      </w:r>
      <w:r>
        <w:rPr>
          <w:spacing w:val="-4"/>
        </w:rPr>
        <w:t> </w:t>
      </w:r>
      <w:r>
        <w:rPr/>
        <w:t>steunt</w:t>
      </w:r>
      <w:r>
        <w:rPr>
          <w:spacing w:val="-2"/>
        </w:rPr>
        <w:t> </w:t>
      </w:r>
      <w:r>
        <w:rPr/>
        <w:t>het kabinet het voorstel in de Raad om een overweging in de verordening op te nemen. In die overweging wordt de Commissie opgeroepen om een vorm van coulance op te nemen in het SDR, indien uit haar monitoring blijkt dat er een toename van mislukte settlement is.</w:t>
      </w:r>
    </w:p>
    <w:p>
      <w:pPr>
        <w:pStyle w:val="BodyText"/>
        <w:spacing w:before="18"/>
      </w:pPr>
    </w:p>
    <w:p>
      <w:pPr>
        <w:pStyle w:val="BodyText"/>
        <w:spacing w:before="1" w:line="264" w:lineRule="auto"/>
        <w:ind w:left="120" w:right="120"/>
      </w:pPr>
      <w:r>
        <w:rPr/>
        <w:t>Het</w:t>
      </w:r>
      <w:r>
        <w:rPr>
          <w:spacing w:val="-1"/>
        </w:rPr>
        <w:t> </w:t>
      </w:r>
      <w:r>
        <w:rPr/>
        <w:t>toezicht</w:t>
      </w:r>
      <w:r>
        <w:rPr>
          <w:spacing w:val="-1"/>
        </w:rPr>
        <w:t> </w:t>
      </w:r>
      <w:r>
        <w:rPr/>
        <w:t>op</w:t>
      </w:r>
      <w:r>
        <w:rPr>
          <w:spacing w:val="-2"/>
        </w:rPr>
        <w:t> </w:t>
      </w:r>
      <w:r>
        <w:rPr/>
        <w:t>en</w:t>
      </w:r>
      <w:r>
        <w:rPr>
          <w:spacing w:val="-1"/>
        </w:rPr>
        <w:t> </w:t>
      </w:r>
      <w:r>
        <w:rPr/>
        <w:t>handhaving</w:t>
      </w:r>
      <w:r>
        <w:rPr>
          <w:spacing w:val="-2"/>
        </w:rPr>
        <w:t> </w:t>
      </w:r>
      <w:r>
        <w:rPr/>
        <w:t>van</w:t>
      </w:r>
      <w:r>
        <w:rPr>
          <w:spacing w:val="-1"/>
        </w:rPr>
        <w:t> </w:t>
      </w:r>
      <w:r>
        <w:rPr/>
        <w:t>de</w:t>
      </w:r>
      <w:r>
        <w:rPr>
          <w:spacing w:val="-2"/>
        </w:rPr>
        <w:t> </w:t>
      </w:r>
      <w:r>
        <w:rPr/>
        <w:t>CSDR</w:t>
      </w:r>
      <w:r>
        <w:rPr>
          <w:spacing w:val="-3"/>
        </w:rPr>
        <w:t> </w:t>
      </w:r>
      <w:r>
        <w:rPr/>
        <w:t>vindt</w:t>
      </w:r>
      <w:r>
        <w:rPr>
          <w:spacing w:val="-1"/>
        </w:rPr>
        <w:t> </w:t>
      </w:r>
      <w:r>
        <w:rPr/>
        <w:t>in</w:t>
      </w:r>
      <w:r>
        <w:rPr>
          <w:spacing w:val="-3"/>
        </w:rPr>
        <w:t> </w:t>
      </w:r>
      <w:r>
        <w:rPr/>
        <w:t>Nederland</w:t>
      </w:r>
      <w:r>
        <w:rPr>
          <w:spacing w:val="-2"/>
        </w:rPr>
        <w:t> </w:t>
      </w:r>
      <w:r>
        <w:rPr/>
        <w:t>plaats</w:t>
      </w:r>
      <w:r>
        <w:rPr>
          <w:spacing w:val="-3"/>
        </w:rPr>
        <w:t> </w:t>
      </w:r>
      <w:r>
        <w:rPr/>
        <w:t>op</w:t>
      </w:r>
      <w:r>
        <w:rPr>
          <w:spacing w:val="-2"/>
        </w:rPr>
        <w:t> </w:t>
      </w:r>
      <w:r>
        <w:rPr/>
        <w:t>grond</w:t>
      </w:r>
      <w:r>
        <w:rPr>
          <w:spacing w:val="-4"/>
        </w:rPr>
        <w:t> </w:t>
      </w:r>
      <w:r>
        <w:rPr/>
        <w:t>van</w:t>
      </w:r>
      <w:r>
        <w:rPr>
          <w:spacing w:val="-1"/>
        </w:rPr>
        <w:t> </w:t>
      </w:r>
      <w:r>
        <w:rPr/>
        <w:t>de</w:t>
      </w:r>
      <w:r>
        <w:rPr>
          <w:spacing w:val="-2"/>
        </w:rPr>
        <w:t> </w:t>
      </w:r>
      <w:r>
        <w:rPr/>
        <w:t>Wet</w:t>
      </w:r>
      <w:r>
        <w:rPr>
          <w:spacing w:val="-1"/>
        </w:rPr>
        <w:t> </w:t>
      </w:r>
      <w:r>
        <w:rPr/>
        <w:t>op</w:t>
      </w:r>
      <w:r>
        <w:rPr>
          <w:spacing w:val="-2"/>
        </w:rPr>
        <w:t> </w:t>
      </w:r>
      <w:r>
        <w:rPr/>
        <w:t>het financieel toezicht en het Besluit EU-verordeningen Wft. Voor artikel 5 van CSDR, waarin de settlementcyclus van T+1 wordt vastgelegd, is de AFM aangewezen als toezichthouder. Op basis van</w:t>
      </w:r>
      <w:r>
        <w:rPr>
          <w:spacing w:val="-2"/>
        </w:rPr>
        <w:t> </w:t>
      </w:r>
      <w:r>
        <w:rPr/>
        <w:t>het</w:t>
      </w:r>
      <w:r>
        <w:rPr>
          <w:spacing w:val="-2"/>
        </w:rPr>
        <w:t> </w:t>
      </w:r>
      <w:r>
        <w:rPr/>
        <w:t>voorstel</w:t>
      </w:r>
      <w:r>
        <w:rPr>
          <w:spacing w:val="-2"/>
        </w:rPr>
        <w:t> </w:t>
      </w:r>
      <w:r>
        <w:rPr/>
        <w:t>van</w:t>
      </w:r>
      <w:r>
        <w:rPr>
          <w:spacing w:val="-2"/>
        </w:rPr>
        <w:t> </w:t>
      </w:r>
      <w:r>
        <w:rPr/>
        <w:t>de</w:t>
      </w:r>
      <w:r>
        <w:rPr>
          <w:spacing w:val="-3"/>
        </w:rPr>
        <w:t> </w:t>
      </w:r>
      <w:r>
        <w:rPr/>
        <w:t>Commissie</w:t>
      </w:r>
      <w:r>
        <w:rPr>
          <w:spacing w:val="-3"/>
        </w:rPr>
        <w:t> </w:t>
      </w:r>
      <w:r>
        <w:rPr/>
        <w:t>wordt</w:t>
      </w:r>
      <w:r>
        <w:rPr>
          <w:spacing w:val="-3"/>
        </w:rPr>
        <w:t> </w:t>
      </w:r>
      <w:r>
        <w:rPr/>
        <w:t>hierin</w:t>
      </w:r>
      <w:r>
        <w:rPr>
          <w:spacing w:val="-2"/>
        </w:rPr>
        <w:t> </w:t>
      </w:r>
      <w:r>
        <w:rPr/>
        <w:t>geen</w:t>
      </w:r>
      <w:r>
        <w:rPr>
          <w:spacing w:val="-4"/>
        </w:rPr>
        <w:t> </w:t>
      </w:r>
      <w:r>
        <w:rPr/>
        <w:t>wijziging</w:t>
      </w:r>
      <w:r>
        <w:rPr>
          <w:spacing w:val="-3"/>
        </w:rPr>
        <w:t> </w:t>
      </w:r>
      <w:r>
        <w:rPr/>
        <w:t>voorzien.</w:t>
      </w:r>
      <w:r>
        <w:rPr>
          <w:spacing w:val="-4"/>
        </w:rPr>
        <w:t> </w:t>
      </w:r>
      <w:r>
        <w:rPr/>
        <w:t>Overigens</w:t>
      </w:r>
      <w:r>
        <w:rPr>
          <w:spacing w:val="-3"/>
        </w:rPr>
        <w:t> </w:t>
      </w:r>
      <w:r>
        <w:rPr/>
        <w:t>is</w:t>
      </w:r>
      <w:r>
        <w:rPr>
          <w:spacing w:val="-3"/>
        </w:rPr>
        <w:t> </w:t>
      </w:r>
      <w:r>
        <w:rPr/>
        <w:t>het</w:t>
      </w:r>
      <w:r>
        <w:rPr>
          <w:spacing w:val="-2"/>
        </w:rPr>
        <w:t> </w:t>
      </w:r>
      <w:r>
        <w:rPr/>
        <w:t>SDR</w:t>
      </w:r>
      <w:r>
        <w:rPr>
          <w:spacing w:val="-4"/>
        </w:rPr>
        <w:t> </w:t>
      </w:r>
      <w:r>
        <w:rPr/>
        <w:t>een regime dat vooral zelfwerkzaam is, nu marktpartijen, zoals centrale tegenpartijen en CSDs, mechanismen hebben om boetes op te leggen bij het niet tijdig leveren.</w:t>
      </w:r>
    </w:p>
    <w:p>
      <w:pPr>
        <w:pStyle w:val="BodyText"/>
        <w:spacing w:before="16"/>
      </w:pPr>
    </w:p>
    <w:p>
      <w:pPr>
        <w:pStyle w:val="BodyText"/>
        <w:spacing w:before="1" w:line="264" w:lineRule="auto"/>
        <w:ind w:left="120"/>
      </w:pPr>
      <w:r>
        <w:rPr/>
        <w:t>ESMA</w:t>
      </w:r>
      <w:r>
        <w:rPr>
          <w:spacing w:val="-2"/>
        </w:rPr>
        <w:t> </w:t>
      </w:r>
      <w:r>
        <w:rPr/>
        <w:t>houdt</w:t>
      </w:r>
      <w:r>
        <w:rPr>
          <w:spacing w:val="-2"/>
        </w:rPr>
        <w:t> </w:t>
      </w:r>
      <w:r>
        <w:rPr/>
        <w:t>volgt</w:t>
      </w:r>
      <w:r>
        <w:rPr>
          <w:spacing w:val="-2"/>
        </w:rPr>
        <w:t> </w:t>
      </w:r>
      <w:r>
        <w:rPr/>
        <w:t>de</w:t>
      </w:r>
      <w:r>
        <w:rPr>
          <w:spacing w:val="-3"/>
        </w:rPr>
        <w:t> </w:t>
      </w:r>
      <w:r>
        <w:rPr/>
        <w:t>ontwikkelingen</w:t>
      </w:r>
      <w:r>
        <w:rPr>
          <w:spacing w:val="-2"/>
        </w:rPr>
        <w:t> </w:t>
      </w:r>
      <w:r>
        <w:rPr/>
        <w:t>rondom</w:t>
      </w:r>
      <w:r>
        <w:rPr>
          <w:spacing w:val="-3"/>
        </w:rPr>
        <w:t> </w:t>
      </w:r>
      <w:r>
        <w:rPr/>
        <w:t>en</w:t>
      </w:r>
      <w:r>
        <w:rPr>
          <w:spacing w:val="-2"/>
        </w:rPr>
        <w:t> </w:t>
      </w:r>
      <w:r>
        <w:rPr/>
        <w:t>de</w:t>
      </w:r>
      <w:r>
        <w:rPr>
          <w:spacing w:val="-3"/>
        </w:rPr>
        <w:t> </w:t>
      </w:r>
      <w:r>
        <w:rPr/>
        <w:t>voorbereidingen</w:t>
      </w:r>
      <w:r>
        <w:rPr>
          <w:spacing w:val="-2"/>
        </w:rPr>
        <w:t> </w:t>
      </w:r>
      <w:r>
        <w:rPr/>
        <w:t>op</w:t>
      </w:r>
      <w:r>
        <w:rPr>
          <w:spacing w:val="-3"/>
        </w:rPr>
        <w:t> </w:t>
      </w:r>
      <w:r>
        <w:rPr/>
        <w:t>de</w:t>
      </w:r>
      <w:r>
        <w:rPr>
          <w:spacing w:val="-3"/>
        </w:rPr>
        <w:t> </w:t>
      </w:r>
      <w:r>
        <w:rPr/>
        <w:t>transitie</w:t>
      </w:r>
      <w:r>
        <w:rPr>
          <w:spacing w:val="-3"/>
        </w:rPr>
        <w:t> </w:t>
      </w:r>
      <w:r>
        <w:rPr/>
        <w:t>naar</w:t>
      </w:r>
      <w:r>
        <w:rPr>
          <w:spacing w:val="-3"/>
        </w:rPr>
        <w:t> </w:t>
      </w:r>
      <w:r>
        <w:rPr/>
        <w:t>T+1</w:t>
      </w:r>
      <w:r>
        <w:rPr>
          <w:spacing w:val="-3"/>
        </w:rPr>
        <w:t> </w:t>
      </w:r>
      <w:r>
        <w:rPr/>
        <w:t>en publiceert hierover op haar website.</w:t>
      </w:r>
      <w:hyperlink w:history="true" w:anchor="_bookmark5">
        <w:r>
          <w:rPr>
            <w:position w:val="6"/>
            <w:sz w:val="12"/>
          </w:rPr>
          <w:t>6</w:t>
        </w:r>
      </w:hyperlink>
      <w:r>
        <w:rPr>
          <w:spacing w:val="26"/>
          <w:position w:val="6"/>
          <w:sz w:val="12"/>
        </w:rPr>
        <w:t> </w:t>
      </w:r>
      <w:r>
        <w:rPr/>
        <w:t>In deze publicaties zal ook de stand van zaken tijdens de testfase, waarnaar de leden van de NSC-fractie verwijzen, tot uitdrukking komen.</w:t>
      </w:r>
    </w:p>
    <w:p>
      <w:pPr>
        <w:pStyle w:val="BodyText"/>
        <w:spacing w:before="21"/>
      </w:pPr>
    </w:p>
    <w:p>
      <w:pPr>
        <w:pStyle w:val="Heading1"/>
      </w:pPr>
      <w:r>
        <w:rPr/>
        <w:t>Vragen</w:t>
      </w:r>
      <w:r>
        <w:rPr>
          <w:spacing w:val="-6"/>
        </w:rPr>
        <w:t> </w:t>
      </w:r>
      <w:r>
        <w:rPr/>
        <w:t>en</w:t>
      </w:r>
      <w:r>
        <w:rPr>
          <w:spacing w:val="-4"/>
        </w:rPr>
        <w:t> </w:t>
      </w:r>
      <w:r>
        <w:rPr/>
        <w:t>opmerkingen</w:t>
      </w:r>
      <w:r>
        <w:rPr>
          <w:spacing w:val="-2"/>
        </w:rPr>
        <w:t> </w:t>
      </w:r>
      <w:r>
        <w:rPr/>
        <w:t>van</w:t>
      </w:r>
      <w:r>
        <w:rPr>
          <w:spacing w:val="-3"/>
        </w:rPr>
        <w:t> </w:t>
      </w:r>
      <w:r>
        <w:rPr/>
        <w:t>de</w:t>
      </w:r>
      <w:r>
        <w:rPr>
          <w:spacing w:val="-3"/>
        </w:rPr>
        <w:t> </w:t>
      </w:r>
      <w:r>
        <w:rPr/>
        <w:t>leden</w:t>
      </w:r>
      <w:r>
        <w:rPr>
          <w:spacing w:val="-3"/>
        </w:rPr>
        <w:t> </w:t>
      </w:r>
      <w:r>
        <w:rPr/>
        <w:t>van</w:t>
      </w:r>
      <w:r>
        <w:rPr>
          <w:spacing w:val="-4"/>
        </w:rPr>
        <w:t> </w:t>
      </w:r>
      <w:r>
        <w:rPr/>
        <w:t>de</w:t>
      </w:r>
      <w:r>
        <w:rPr>
          <w:spacing w:val="-2"/>
        </w:rPr>
        <w:t> </w:t>
      </w:r>
      <w:r>
        <w:rPr/>
        <w:t>BBB-</w:t>
      </w:r>
      <w:r>
        <w:rPr>
          <w:spacing w:val="-2"/>
        </w:rPr>
        <w:t>fractie</w:t>
      </w:r>
    </w:p>
    <w:p>
      <w:pPr>
        <w:pStyle w:val="BodyText"/>
        <w:spacing w:before="43"/>
        <w:rPr>
          <w:b/>
        </w:rPr>
      </w:pPr>
    </w:p>
    <w:p>
      <w:pPr>
        <w:spacing w:before="0" w:line="264" w:lineRule="auto"/>
        <w:ind w:left="120" w:right="0" w:firstLine="0"/>
        <w:jc w:val="left"/>
        <w:rPr>
          <w:i/>
          <w:sz w:val="18"/>
        </w:rPr>
      </w:pPr>
      <w:r>
        <w:rPr>
          <w:i/>
          <w:sz w:val="18"/>
        </w:rPr>
        <w:t>De leden van de BBB-fractie lezen op pagina vier van het fiche over mogelijke problemen die de</w:t>
      </w:r>
      <w:r>
        <w:rPr>
          <w:i/>
          <w:sz w:val="18"/>
        </w:rPr>
        <w:t> kortere settlement cyclus kan geven. Deze leden vragen hoe het kabinet deze knelpunten wil adresseren.</w:t>
      </w:r>
      <w:r>
        <w:rPr>
          <w:i/>
          <w:spacing w:val="-4"/>
          <w:sz w:val="18"/>
        </w:rPr>
        <w:t> </w:t>
      </w:r>
      <w:r>
        <w:rPr>
          <w:i/>
          <w:sz w:val="18"/>
        </w:rPr>
        <w:t>Ook</w:t>
      </w:r>
      <w:r>
        <w:rPr>
          <w:i/>
          <w:spacing w:val="-3"/>
          <w:sz w:val="18"/>
        </w:rPr>
        <w:t> </w:t>
      </w:r>
      <w:r>
        <w:rPr>
          <w:i/>
          <w:sz w:val="18"/>
        </w:rPr>
        <w:t>vragen</w:t>
      </w:r>
      <w:r>
        <w:rPr>
          <w:i/>
          <w:spacing w:val="-2"/>
          <w:sz w:val="18"/>
        </w:rPr>
        <w:t> </w:t>
      </w:r>
      <w:r>
        <w:rPr>
          <w:i/>
          <w:sz w:val="18"/>
        </w:rPr>
        <w:t>deze</w:t>
      </w:r>
      <w:r>
        <w:rPr>
          <w:i/>
          <w:spacing w:val="-3"/>
          <w:sz w:val="18"/>
        </w:rPr>
        <w:t> </w:t>
      </w:r>
      <w:r>
        <w:rPr>
          <w:i/>
          <w:sz w:val="18"/>
        </w:rPr>
        <w:t>leden</w:t>
      </w:r>
      <w:r>
        <w:rPr>
          <w:i/>
          <w:spacing w:val="-2"/>
          <w:sz w:val="18"/>
        </w:rPr>
        <w:t> </w:t>
      </w:r>
      <w:r>
        <w:rPr>
          <w:i/>
          <w:sz w:val="18"/>
        </w:rPr>
        <w:t>welke</w:t>
      </w:r>
      <w:r>
        <w:rPr>
          <w:i/>
          <w:spacing w:val="-3"/>
          <w:sz w:val="18"/>
        </w:rPr>
        <w:t> </w:t>
      </w:r>
      <w:r>
        <w:rPr>
          <w:i/>
          <w:sz w:val="18"/>
        </w:rPr>
        <w:t>nadelige</w:t>
      </w:r>
      <w:r>
        <w:rPr>
          <w:i/>
          <w:spacing w:val="-3"/>
          <w:sz w:val="18"/>
        </w:rPr>
        <w:t> </w:t>
      </w:r>
      <w:r>
        <w:rPr>
          <w:i/>
          <w:sz w:val="18"/>
        </w:rPr>
        <w:t>effecten</w:t>
      </w:r>
      <w:r>
        <w:rPr>
          <w:i/>
          <w:spacing w:val="-2"/>
          <w:sz w:val="18"/>
        </w:rPr>
        <w:t> </w:t>
      </w:r>
      <w:r>
        <w:rPr>
          <w:i/>
          <w:sz w:val="18"/>
        </w:rPr>
        <w:t>kunnen</w:t>
      </w:r>
      <w:r>
        <w:rPr>
          <w:i/>
          <w:spacing w:val="-2"/>
          <w:sz w:val="18"/>
        </w:rPr>
        <w:t> </w:t>
      </w:r>
      <w:r>
        <w:rPr>
          <w:i/>
          <w:sz w:val="18"/>
        </w:rPr>
        <w:t>optreden</w:t>
      </w:r>
      <w:r>
        <w:rPr>
          <w:i/>
          <w:spacing w:val="-2"/>
          <w:sz w:val="18"/>
        </w:rPr>
        <w:t> </w:t>
      </w:r>
      <w:r>
        <w:rPr>
          <w:i/>
          <w:sz w:val="18"/>
        </w:rPr>
        <w:t>als</w:t>
      </w:r>
      <w:r>
        <w:rPr>
          <w:i/>
          <w:spacing w:val="-6"/>
          <w:sz w:val="18"/>
        </w:rPr>
        <w:t> </w:t>
      </w:r>
      <w:r>
        <w:rPr>
          <w:i/>
          <w:sz w:val="18"/>
        </w:rPr>
        <w:t>gevolg</w:t>
      </w:r>
      <w:r>
        <w:rPr>
          <w:i/>
          <w:spacing w:val="-2"/>
          <w:sz w:val="18"/>
        </w:rPr>
        <w:t> </w:t>
      </w:r>
      <w:r>
        <w:rPr>
          <w:i/>
          <w:sz w:val="18"/>
        </w:rPr>
        <w:t>van</w:t>
      </w:r>
      <w:r>
        <w:rPr>
          <w:i/>
          <w:spacing w:val="-2"/>
          <w:sz w:val="18"/>
        </w:rPr>
        <w:t> </w:t>
      </w:r>
      <w:r>
        <w:rPr>
          <w:i/>
          <w:sz w:val="18"/>
        </w:rPr>
        <w:t>deze druk op transacties.</w:t>
      </w:r>
    </w:p>
    <w:p>
      <w:pPr>
        <w:pStyle w:val="BodyText"/>
        <w:rPr>
          <w:i/>
          <w:sz w:val="20"/>
        </w:rPr>
      </w:pPr>
    </w:p>
    <w:p>
      <w:pPr>
        <w:pStyle w:val="BodyText"/>
        <w:spacing w:before="218"/>
        <w:rPr>
          <w:i/>
          <w:sz w:val="20"/>
        </w:rPr>
      </w:pPr>
      <w:r>
        <w:rPr/>
        <ve:AlternateContent>
          <ve: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308154</wp:posOffset>
                </wp:positionV>
                <wp:extent cx="18288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4" style="position:absolute;margin-left:72pt;margin-top:24.264141pt;width:144pt;height:.48pt;mso-position-horizontal-relative:page;mso-position-vertical-relative:paragraph;z-index:-15727616;mso-wrap-distance-left:0;mso-wrap-distance-right:0" filled="true" fillcolor="#000000" stroked="false">
                <v:fill type="solid"/>
                <w10:wrap type="topAndBottom"/>
              </v:rect>
            </w:pict>
          </ve:Fallback>
        </ve:AlternateContent>
      </w:r>
    </w:p>
    <w:p>
      <w:pPr>
        <w:spacing w:before="91"/>
        <w:ind w:left="120" w:right="193" w:hanging="1"/>
        <w:jc w:val="left"/>
        <w:rPr>
          <w:sz w:val="16"/>
        </w:rPr>
      </w:pPr>
      <w:bookmarkStart w:name="_bookmark5" w:id="6"/>
      <w:bookmarkEnd w:id="6"/>
      <w:r>
        <w:rPr/>
      </w:r>
      <w:r>
        <w:rPr>
          <w:sz w:val="16"/>
          <w:vertAlign w:val="superscript"/>
        </w:rPr>
        <w:t>6</w:t>
      </w:r>
      <w:r>
        <w:rPr>
          <w:spacing w:val="-15"/>
          <w:sz w:val="16"/>
          <w:vertAlign w:val="baseline"/>
        </w:rPr>
        <w:t> </w:t>
      </w:r>
      <w:r>
        <w:rPr>
          <w:sz w:val="16"/>
          <w:vertAlign w:val="baseline"/>
        </w:rPr>
        <w:t>https</w:t>
      </w:r>
      <w:hyperlink r:id="rId9">
        <w:r>
          <w:rPr>
            <w:sz w:val="16"/>
            <w:vertAlign w:val="baseline"/>
          </w:rPr>
          <w:t>://www.esma.europa.eu/esmas-activities/markets-and-infrastructure/shortening-settlement-cycle-t1-</w:t>
        </w:r>
      </w:hyperlink>
      <w:r>
        <w:rPr>
          <w:sz w:val="16"/>
          <w:vertAlign w:val="baseline"/>
        </w:rPr>
        <w:t> </w:t>
      </w:r>
      <w:r>
        <w:rPr>
          <w:spacing w:val="-4"/>
          <w:sz w:val="16"/>
          <w:vertAlign w:val="baseline"/>
        </w:rPr>
        <w:t>eu.</w:t>
      </w:r>
    </w:p>
    <w:p>
      <w:pPr>
        <w:spacing w:after="0"/>
        <w:jc w:val="left"/>
        <w:rPr>
          <w:sz w:val="16"/>
        </w:rPr>
        <w:sectPr>
          <w:pgSz w:w="11910" w:h="16850"/>
          <w:pgMar w:top="1620" w:right="1320" w:bottom="1100" w:left="1320" w:header="0" w:footer="900"/>
        </w:sectPr>
      </w:pPr>
    </w:p>
    <w:p>
      <w:pPr>
        <w:pStyle w:val="BodyText"/>
        <w:spacing w:before="80" w:line="264" w:lineRule="auto"/>
        <w:ind w:left="119" w:right="119"/>
      </w:pPr>
      <w:r>
        <w:rPr/>
        <w:t>De mogelijke knelpunten van een kortere settlementcyclus zijn met name gelegen in de toegenomen tijdsdruk op transactieverwerking, de noodzaak tot verdere standaardisatie en automatisering van deze cyclus en de complexiteit bij grensoverschrijdende transacties – bijvoorbeeld bij beleggingsinstellingen met onderliggende stukken in andere valuta of tijdzones. Deze knelpunten zijn in het ESMA-rapport uitvoerig geschetst. Het is in de eerste plaats aan de sector om hierop in te spelen door in de fase van voorbereiding processen aan te passen en goed samen te werken bij de herinrichting van marktpraktijken. Deze aanpassingen vergen inspanning, maar dragen op termijn ook</w:t>
      </w:r>
      <w:r>
        <w:rPr>
          <w:spacing w:val="-1"/>
        </w:rPr>
        <w:t> </w:t>
      </w:r>
      <w:r>
        <w:rPr/>
        <w:t>bij aan efficiëntere en robuustere markten.</w:t>
      </w:r>
      <w:r>
        <w:rPr>
          <w:spacing w:val="-1"/>
        </w:rPr>
        <w:t> </w:t>
      </w:r>
      <w:r>
        <w:rPr/>
        <w:t>De termijn van 11 oktober 2027</w:t>
      </w:r>
      <w:r>
        <w:rPr>
          <w:spacing w:val="-3"/>
        </w:rPr>
        <w:t> </w:t>
      </w:r>
      <w:r>
        <w:rPr/>
        <w:t>lijkt</w:t>
      </w:r>
      <w:r>
        <w:rPr>
          <w:spacing w:val="-2"/>
        </w:rPr>
        <w:t> </w:t>
      </w:r>
      <w:r>
        <w:rPr/>
        <w:t>haalbaar</w:t>
      </w:r>
      <w:r>
        <w:rPr>
          <w:spacing w:val="-3"/>
        </w:rPr>
        <w:t> </w:t>
      </w:r>
      <w:r>
        <w:rPr/>
        <w:t>voor</w:t>
      </w:r>
      <w:r>
        <w:rPr>
          <w:spacing w:val="-4"/>
        </w:rPr>
        <w:t> </w:t>
      </w:r>
      <w:r>
        <w:rPr/>
        <w:t>marktpartijen.</w:t>
      </w:r>
      <w:r>
        <w:rPr>
          <w:spacing w:val="-4"/>
        </w:rPr>
        <w:t> </w:t>
      </w:r>
      <w:r>
        <w:rPr/>
        <w:t>Op</w:t>
      </w:r>
      <w:r>
        <w:rPr>
          <w:spacing w:val="-3"/>
        </w:rPr>
        <w:t> </w:t>
      </w:r>
      <w:r>
        <w:rPr/>
        <w:t>de</w:t>
      </w:r>
      <w:r>
        <w:rPr>
          <w:spacing w:val="-3"/>
        </w:rPr>
        <w:t> </w:t>
      </w:r>
      <w:r>
        <w:rPr/>
        <w:t>lange</w:t>
      </w:r>
      <w:r>
        <w:rPr>
          <w:spacing w:val="-3"/>
        </w:rPr>
        <w:t> </w:t>
      </w:r>
      <w:r>
        <w:rPr/>
        <w:t>termijn</w:t>
      </w:r>
      <w:r>
        <w:rPr>
          <w:spacing w:val="-2"/>
        </w:rPr>
        <w:t> </w:t>
      </w:r>
      <w:r>
        <w:rPr/>
        <w:t>worden</w:t>
      </w:r>
      <w:r>
        <w:rPr>
          <w:spacing w:val="-2"/>
        </w:rPr>
        <w:t> </w:t>
      </w:r>
      <w:r>
        <w:rPr/>
        <w:t>deze</w:t>
      </w:r>
      <w:r>
        <w:rPr>
          <w:spacing w:val="-3"/>
        </w:rPr>
        <w:t> </w:t>
      </w:r>
      <w:r>
        <w:rPr/>
        <w:t>voordelen</w:t>
      </w:r>
      <w:r>
        <w:rPr>
          <w:spacing w:val="-2"/>
        </w:rPr>
        <w:t> </w:t>
      </w:r>
      <w:r>
        <w:rPr/>
        <w:t>van</w:t>
      </w:r>
      <w:r>
        <w:rPr>
          <w:spacing w:val="-2"/>
        </w:rPr>
        <w:t> </w:t>
      </w:r>
      <w:r>
        <w:rPr/>
        <w:t>T+1</w:t>
      </w:r>
      <w:r>
        <w:rPr>
          <w:spacing w:val="-3"/>
        </w:rPr>
        <w:t> </w:t>
      </w:r>
      <w:r>
        <w:rPr/>
        <w:t>groter geacht dan de kosten die deze overgang met zich meebrengt.</w:t>
      </w:r>
    </w:p>
    <w:p>
      <w:pPr>
        <w:pStyle w:val="BodyText"/>
        <w:spacing w:before="14"/>
      </w:pPr>
    </w:p>
    <w:p>
      <w:pPr>
        <w:spacing w:before="0" w:line="264" w:lineRule="auto"/>
        <w:ind w:left="120" w:right="120" w:firstLine="0"/>
        <w:jc w:val="left"/>
        <w:rPr>
          <w:i/>
          <w:sz w:val="18"/>
        </w:rPr>
      </w:pPr>
      <w:r>
        <w:rPr>
          <w:i/>
          <w:sz w:val="18"/>
        </w:rPr>
        <w:t>De leden van de BBB-fractie zien dat het kabinet aangeeft oog te willen houden voor de</w:t>
      </w:r>
      <w:r>
        <w:rPr>
          <w:i/>
          <w:sz w:val="18"/>
        </w:rPr>
        <w:t> haalbaarheid en uitvoerbaarheid van de overgang naar een settlement cyclus van T+1 voor marktpartijen</w:t>
      </w:r>
      <w:r>
        <w:rPr>
          <w:i/>
          <w:spacing w:val="-1"/>
          <w:sz w:val="18"/>
        </w:rPr>
        <w:t> </w:t>
      </w:r>
      <w:r>
        <w:rPr>
          <w:i/>
          <w:sz w:val="18"/>
        </w:rPr>
        <w:t>en</w:t>
      </w:r>
      <w:r>
        <w:rPr>
          <w:i/>
          <w:spacing w:val="-1"/>
          <w:sz w:val="18"/>
        </w:rPr>
        <w:t> </w:t>
      </w:r>
      <w:r>
        <w:rPr>
          <w:i/>
          <w:sz w:val="18"/>
        </w:rPr>
        <w:t>hiervoor</w:t>
      </w:r>
      <w:r>
        <w:rPr>
          <w:i/>
          <w:spacing w:val="-5"/>
          <w:sz w:val="18"/>
        </w:rPr>
        <w:t> </w:t>
      </w:r>
      <w:r>
        <w:rPr>
          <w:i/>
          <w:sz w:val="18"/>
        </w:rPr>
        <w:t>te</w:t>
      </w:r>
      <w:r>
        <w:rPr>
          <w:i/>
          <w:spacing w:val="-2"/>
          <w:sz w:val="18"/>
        </w:rPr>
        <w:t> </w:t>
      </w:r>
      <w:r>
        <w:rPr>
          <w:i/>
          <w:sz w:val="18"/>
        </w:rPr>
        <w:t>bezien</w:t>
      </w:r>
      <w:r>
        <w:rPr>
          <w:i/>
          <w:spacing w:val="-1"/>
          <w:sz w:val="18"/>
        </w:rPr>
        <w:t> </w:t>
      </w:r>
      <w:r>
        <w:rPr>
          <w:i/>
          <w:sz w:val="18"/>
        </w:rPr>
        <w:t>of</w:t>
      </w:r>
      <w:r>
        <w:rPr>
          <w:i/>
          <w:spacing w:val="-3"/>
          <w:sz w:val="18"/>
        </w:rPr>
        <w:t> </w:t>
      </w:r>
      <w:r>
        <w:rPr>
          <w:i/>
          <w:sz w:val="18"/>
        </w:rPr>
        <w:t>het</w:t>
      </w:r>
      <w:r>
        <w:rPr>
          <w:i/>
          <w:spacing w:val="-1"/>
          <w:sz w:val="18"/>
        </w:rPr>
        <w:t> </w:t>
      </w:r>
      <w:r>
        <w:rPr>
          <w:i/>
          <w:sz w:val="18"/>
        </w:rPr>
        <w:t>nodig</w:t>
      </w:r>
      <w:r>
        <w:rPr>
          <w:i/>
          <w:spacing w:val="-1"/>
          <w:sz w:val="18"/>
        </w:rPr>
        <w:t> </w:t>
      </w:r>
      <w:r>
        <w:rPr>
          <w:i/>
          <w:sz w:val="18"/>
        </w:rPr>
        <w:t>is</w:t>
      </w:r>
      <w:r>
        <w:rPr>
          <w:i/>
          <w:spacing w:val="-2"/>
          <w:sz w:val="18"/>
        </w:rPr>
        <w:t> </w:t>
      </w:r>
      <w:r>
        <w:rPr>
          <w:i/>
          <w:sz w:val="18"/>
        </w:rPr>
        <w:t>om</w:t>
      </w:r>
      <w:r>
        <w:rPr>
          <w:i/>
          <w:spacing w:val="-2"/>
          <w:sz w:val="18"/>
        </w:rPr>
        <w:t> </w:t>
      </w:r>
      <w:r>
        <w:rPr>
          <w:i/>
          <w:sz w:val="18"/>
        </w:rPr>
        <w:t>bijvoorbeeld</w:t>
      </w:r>
      <w:r>
        <w:rPr>
          <w:i/>
          <w:spacing w:val="-2"/>
          <w:sz w:val="18"/>
        </w:rPr>
        <w:t> </w:t>
      </w:r>
      <w:r>
        <w:rPr>
          <w:i/>
          <w:sz w:val="18"/>
        </w:rPr>
        <w:t>een</w:t>
      </w:r>
      <w:r>
        <w:rPr>
          <w:i/>
          <w:spacing w:val="-1"/>
          <w:sz w:val="18"/>
        </w:rPr>
        <w:t> </w:t>
      </w:r>
      <w:r>
        <w:rPr>
          <w:i/>
          <w:sz w:val="18"/>
        </w:rPr>
        <w:t>bepaalde</w:t>
      </w:r>
      <w:r>
        <w:rPr>
          <w:i/>
          <w:spacing w:val="-2"/>
          <w:sz w:val="18"/>
        </w:rPr>
        <w:t> </w:t>
      </w:r>
      <w:r>
        <w:rPr>
          <w:i/>
          <w:sz w:val="18"/>
        </w:rPr>
        <w:t>coulance</w:t>
      </w:r>
      <w:r>
        <w:rPr>
          <w:i/>
          <w:spacing w:val="-2"/>
          <w:sz w:val="18"/>
        </w:rPr>
        <w:t> </w:t>
      </w:r>
      <w:r>
        <w:rPr>
          <w:i/>
          <w:sz w:val="18"/>
        </w:rPr>
        <w:t>door</w:t>
      </w:r>
      <w:r>
        <w:rPr>
          <w:i/>
          <w:spacing w:val="-2"/>
          <w:sz w:val="18"/>
        </w:rPr>
        <w:t> </w:t>
      </w:r>
      <w:r>
        <w:rPr>
          <w:i/>
          <w:sz w:val="18"/>
        </w:rPr>
        <w:t>de toezichthouders te laten verlenen op het boeteregime bij mislukte settlement. Kan het kabinet duidelijkheid verschaffen hoe de coulance concreet vormgegeven moet worden en voor welke specifieke partijen?</w:t>
      </w:r>
    </w:p>
    <w:p>
      <w:pPr>
        <w:pStyle w:val="BodyText"/>
        <w:spacing w:before="17"/>
        <w:rPr>
          <w:i/>
        </w:rPr>
      </w:pPr>
    </w:p>
    <w:p>
      <w:pPr>
        <w:pStyle w:val="BodyText"/>
        <w:spacing w:line="264" w:lineRule="auto"/>
        <w:ind w:left="120" w:right="154"/>
      </w:pPr>
      <w:r>
        <w:rPr/>
        <w:t>Zoals hiervoor ook is toegelicht in de beantwoording van vragen van de VVD en NSC-fractie, zet het</w:t>
      </w:r>
      <w:r>
        <w:rPr>
          <w:spacing w:val="-1"/>
        </w:rPr>
        <w:t> </w:t>
      </w:r>
      <w:r>
        <w:rPr/>
        <w:t>kabinet</w:t>
      </w:r>
      <w:r>
        <w:rPr>
          <w:spacing w:val="-1"/>
        </w:rPr>
        <w:t> </w:t>
      </w:r>
      <w:r>
        <w:rPr/>
        <w:t>er</w:t>
      </w:r>
      <w:r>
        <w:rPr>
          <w:spacing w:val="-5"/>
        </w:rPr>
        <w:t> </w:t>
      </w:r>
      <w:r>
        <w:rPr/>
        <w:t>op</w:t>
      </w:r>
      <w:r>
        <w:rPr>
          <w:spacing w:val="-2"/>
        </w:rPr>
        <w:t> </w:t>
      </w:r>
      <w:r>
        <w:rPr/>
        <w:t>in</w:t>
      </w:r>
      <w:r>
        <w:rPr>
          <w:spacing w:val="-1"/>
        </w:rPr>
        <w:t> </w:t>
      </w:r>
      <w:r>
        <w:rPr/>
        <w:t>om</w:t>
      </w:r>
      <w:r>
        <w:rPr>
          <w:spacing w:val="-2"/>
        </w:rPr>
        <w:t> </w:t>
      </w:r>
      <w:r>
        <w:rPr/>
        <w:t>in</w:t>
      </w:r>
      <w:r>
        <w:rPr>
          <w:spacing w:val="-3"/>
        </w:rPr>
        <w:t> </w:t>
      </w:r>
      <w:r>
        <w:rPr/>
        <w:t>de</w:t>
      </w:r>
      <w:r>
        <w:rPr>
          <w:spacing w:val="-2"/>
        </w:rPr>
        <w:t> </w:t>
      </w:r>
      <w:r>
        <w:rPr/>
        <w:t>overwegingen</w:t>
      </w:r>
      <w:r>
        <w:rPr>
          <w:spacing w:val="-1"/>
        </w:rPr>
        <w:t> </w:t>
      </w:r>
      <w:r>
        <w:rPr/>
        <w:t>van</w:t>
      </w:r>
      <w:r>
        <w:rPr>
          <w:spacing w:val="-1"/>
        </w:rPr>
        <w:t> </w:t>
      </w:r>
      <w:r>
        <w:rPr/>
        <w:t>de</w:t>
      </w:r>
      <w:r>
        <w:rPr>
          <w:spacing w:val="-2"/>
        </w:rPr>
        <w:t> </w:t>
      </w:r>
      <w:r>
        <w:rPr/>
        <w:t>verordening</w:t>
      </w:r>
      <w:r>
        <w:rPr>
          <w:spacing w:val="-2"/>
        </w:rPr>
        <w:t> </w:t>
      </w:r>
      <w:r>
        <w:rPr/>
        <w:t>op</w:t>
      </w:r>
      <w:r>
        <w:rPr>
          <w:spacing w:val="-4"/>
        </w:rPr>
        <w:t> </w:t>
      </w:r>
      <w:r>
        <w:rPr/>
        <w:t>te</w:t>
      </w:r>
      <w:r>
        <w:rPr>
          <w:spacing w:val="-2"/>
        </w:rPr>
        <w:t> </w:t>
      </w:r>
      <w:r>
        <w:rPr/>
        <w:t>nemen</w:t>
      </w:r>
      <w:r>
        <w:rPr>
          <w:spacing w:val="-1"/>
        </w:rPr>
        <w:t> </w:t>
      </w:r>
      <w:r>
        <w:rPr/>
        <w:t>dat</w:t>
      </w:r>
      <w:r>
        <w:rPr>
          <w:spacing w:val="-1"/>
        </w:rPr>
        <w:t> </w:t>
      </w:r>
      <w:r>
        <w:rPr/>
        <w:t>van</w:t>
      </w:r>
      <w:r>
        <w:rPr>
          <w:spacing w:val="-2"/>
        </w:rPr>
        <w:t> </w:t>
      </w:r>
      <w:r>
        <w:rPr/>
        <w:t>de</w:t>
      </w:r>
      <w:r>
        <w:rPr>
          <w:spacing w:val="-2"/>
        </w:rPr>
        <w:t> </w:t>
      </w:r>
      <w:r>
        <w:rPr/>
        <w:t>Europese Commissie wordt verwacht</w:t>
      </w:r>
      <w:r>
        <w:rPr>
          <w:spacing w:val="-1"/>
        </w:rPr>
        <w:t> </w:t>
      </w:r>
      <w:r>
        <w:rPr/>
        <w:t>om, specifiek voor deze overgangsfase, oog te houden voor mogelijke problemen en zo nodig enige coulance tot uitdrukking te laten komen in het SDR, via aanpassing van de gedelegeerde verordening hiervoor.</w:t>
      </w:r>
    </w:p>
    <w:sectPr>
      <w:pgSz w:w="11910" w:h="16850"/>
      <w:pgMar w:top="1380" w:right="1320" w:bottom="1100" w:left="1320" w:header="0" w:footer="900"/>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5648">
              <wp:simplePos x="0" y="0"/>
              <wp:positionH relativeFrom="page">
                <wp:posOffset>5872988</wp:posOffset>
              </wp:positionH>
              <wp:positionV relativeFrom="page">
                <wp:posOffset>9982667</wp:posOffset>
              </wp:positionV>
              <wp:extent cx="787400" cy="1498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87400" cy="149860"/>
                      </a:xfrm>
                      <a:prstGeom prst="rect">
                        <a:avLst/>
                      </a:prstGeom>
                    </wps:spPr>
                    <wps:txbx>
                      <w:txbxContent>
                        <w:p>
                          <w:pPr>
                            <w:spacing w:before="21"/>
                            <w:ind w:left="20" w:right="0" w:firstLine="0"/>
                            <w:jc w:val="left"/>
                            <w:rPr>
                              <w:sz w:val="16"/>
                            </w:rPr>
                          </w:pPr>
                          <w:r>
                            <w:rPr>
                              <w:sz w:val="16"/>
                            </w:rPr>
                            <w:t>Pagina</w:t>
                          </w:r>
                          <w:r>
                            <w:rPr>
                              <w:spacing w:val="-2"/>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3"/>
                              <w:sz w:val="16"/>
                            </w:rPr>
                            <w:t> </w:t>
                          </w:r>
                          <w:r>
                            <w:rPr>
                              <w:sz w:val="16"/>
                            </w:rPr>
                            <w:t>van</w:t>
                          </w:r>
                          <w:r>
                            <w:rPr>
                              <w:spacing w:val="-4"/>
                              <w:sz w:val="16"/>
                            </w:rPr>
                            <w:t> </w:t>
                          </w:r>
                          <w:r>
                            <w:rPr>
                              <w:spacing w:val="-12"/>
                              <w:sz w:val="16"/>
                            </w:rPr>
                            <w:fldChar w:fldCharType="begin"/>
                          </w:r>
                          <w:r>
                            <w:rPr>
                              <w:spacing w:val="-12"/>
                              <w:sz w:val="16"/>
                            </w:rPr>
                            <w:instrText> NUMPAGES </w:instrText>
                          </w:r>
                          <w:r>
                            <w:rPr>
                              <w:spacing w:val="-12"/>
                              <w:sz w:val="16"/>
                            </w:rPr>
                            <w:fldChar w:fldCharType="separate"/>
                          </w:r>
                          <w:r>
                            <w:rPr>
                              <w:spacing w:val="-12"/>
                              <w:sz w:val="16"/>
                            </w:rPr>
                            <w:t>5</w:t>
                          </w:r>
                          <w:r>
                            <w:rPr>
                              <w:spacing w:val="-12"/>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2.440002pt;margin-top:786.036804pt;width:62pt;height:11.8pt;mso-position-horizontal-relative:page;mso-position-vertical-relative:page;z-index:-15800832" type="#_x0000_t202" id="docshape1" filled="false" stroked="false">
              <v:textbox inset="0,0,0,0">
                <w:txbxContent>
                  <w:p>
                    <w:pPr>
                      <w:spacing w:before="21"/>
                      <w:ind w:left="20" w:right="0" w:firstLine="0"/>
                      <w:jc w:val="left"/>
                      <w:rPr>
                        <w:sz w:val="16"/>
                      </w:rPr>
                    </w:pPr>
                    <w:r>
                      <w:rPr>
                        <w:sz w:val="16"/>
                      </w:rPr>
                      <w:t>Pagina</w:t>
                    </w:r>
                    <w:r>
                      <w:rPr>
                        <w:spacing w:val="-2"/>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3"/>
                        <w:sz w:val="16"/>
                      </w:rPr>
                      <w:t> </w:t>
                    </w:r>
                    <w:r>
                      <w:rPr>
                        <w:sz w:val="16"/>
                      </w:rPr>
                      <w:t>van</w:t>
                    </w:r>
                    <w:r>
                      <w:rPr>
                        <w:spacing w:val="-4"/>
                        <w:sz w:val="16"/>
                      </w:rPr>
                      <w:t> </w:t>
                    </w:r>
                    <w:r>
                      <w:rPr>
                        <w:spacing w:val="-12"/>
                        <w:sz w:val="16"/>
                      </w:rPr>
                      <w:fldChar w:fldCharType="begin"/>
                    </w:r>
                    <w:r>
                      <w:rPr>
                        <w:spacing w:val="-12"/>
                        <w:sz w:val="16"/>
                      </w:rPr>
                      <w:instrText> NUMPAGES </w:instrText>
                    </w:r>
                    <w:r>
                      <w:rPr>
                        <w:spacing w:val="-12"/>
                        <w:sz w:val="16"/>
                      </w:rPr>
                      <w:fldChar w:fldCharType="separate"/>
                    </w:r>
                    <w:r>
                      <w:rPr>
                        <w:spacing w:val="-12"/>
                        <w:sz w:val="16"/>
                      </w:rPr>
                      <w:t>5</w:t>
                    </w:r>
                    <w:r>
                      <w:rPr>
                        <w:spacing w:val="-12"/>
                        <w:sz w:val="16"/>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nl-NL" w:eastAsia="en-US" w:bidi="ar-SA"/>
    </w:rPr>
  </w:style>
  <w:style w:styleId="BodyText" w:type="paragraph">
    <w:name w:val="Body Text"/>
    <w:basedOn w:val="Normal"/>
    <w:uiPriority w:val="1"/>
    <w:qFormat/>
    <w:pPr/>
    <w:rPr>
      <w:rFonts w:ascii="Verdana" w:hAnsi="Verdana" w:eastAsia="Verdana" w:cs="Verdana"/>
      <w:sz w:val="18"/>
      <w:szCs w:val="18"/>
      <w:lang w:val="nl-NL" w:eastAsia="en-US" w:bidi="ar-SA"/>
    </w:rPr>
  </w:style>
  <w:style w:styleId="Heading1" w:type="paragraph">
    <w:name w:val="Heading 1"/>
    <w:basedOn w:val="Normal"/>
    <w:uiPriority w:val="1"/>
    <w:qFormat/>
    <w:pPr>
      <w:ind w:left="120"/>
      <w:outlineLvl w:val="1"/>
    </w:pPr>
    <w:rPr>
      <w:rFonts w:ascii="Verdana" w:hAnsi="Verdana" w:eastAsia="Verdana" w:cs="Verdana"/>
      <w:b/>
      <w:bCs/>
      <w:sz w:val="18"/>
      <w:szCs w:val="18"/>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esma.europa.eu/esmas-activities/markets-and-infrastructure/shortening-settlement-cycle-t1-eu" TargetMode="External"/><Relationship Id="rId7" Type="http://schemas.openxmlformats.org/officeDocument/2006/relationships/hyperlink" Target="http://www.esma.europa.eu/sites/default/files/2024-11/ESMA74-2119945925-" TargetMode="External"/><Relationship Id="rId8" Type="http://schemas.openxmlformats.org/officeDocument/2006/relationships/hyperlink" Target="http://www.esma.europa.eu/sites/default/files/2025-03/ESMA74-2119945926-3232_Statement_on_non-" TargetMode="External"/><Relationship Id="rId9" Type="http://schemas.openxmlformats.org/officeDocument/2006/relationships/hyperlink" Target="http://www.esma.europa.eu/esmas-activities/markets-and-infrastructure/shortening-settlement-cycle-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description>------------------------</dc:description>
  <dcterms:created xsi:type="dcterms:W3CDTF">2025-05-20T14:35:55.0000000Z</dcterms:created>
  <dcterms:modified xsi:type="dcterms:W3CDTF">2025-05-20T14:35:55.0000000Z</dcterms:modified>
  <dc:creator/>
  <lastModifiedBy/>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Acrobat PDFMaker 25 voor Word</vt:lpwstr>
  </property>
  <property fmtid="{D5CDD505-2E9C-101B-9397-08002B2CF9AE}" pid="4" name="LastSaved">
    <vt:filetime>2025-05-20T00:00:00Z</vt:filetime>
  </property>
  <property fmtid="{D5CDD505-2E9C-101B-9397-08002B2CF9AE}" pid="5" name="MSIP_Label_6800fede-0e59-47ad-af95-4e63bbdb932d_ActionId">
    <vt:lpwstr>b85950ee-fe2d-4ae2-95fe-258f916bf736</vt:lpwstr>
  </property>
  <property fmtid="{D5CDD505-2E9C-101B-9397-08002B2CF9AE}" pid="6" name="MSIP_Label_6800fede-0e59-47ad-af95-4e63bbdb932d_ContentBits">
    <vt:lpwstr>0</vt:lpwstr>
  </property>
  <property fmtid="{D5CDD505-2E9C-101B-9397-08002B2CF9AE}" pid="7" name="MSIP_Label_6800fede-0e59-47ad-af95-4e63bbdb932d_Enabled">
    <vt:lpwstr>true</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etDate">
    <vt:lpwstr>2022-03-09T15:49:59Z</vt:lpwstr>
  </property>
  <property fmtid="{D5CDD505-2E9C-101B-9397-08002B2CF9AE}" pid="11" name="MSIP_Label_6800fede-0e59-47ad-af95-4e63bbdb932d_SiteId">
    <vt:lpwstr>84712536-f524-40a0-913b-5d25ba502732</vt:lpwstr>
  </property>
  <property fmtid="{D5CDD505-2E9C-101B-9397-08002B2CF9AE}" pid="12" name="Producer">
    <vt:lpwstr>Adobe PDF Library 25.1.211</vt:lpwstr>
  </property>
  <property fmtid="{D5CDD505-2E9C-101B-9397-08002B2CF9AE}" pid="13" name="SourceModified">
    <vt:lpwstr>D:20250520061735</vt:lpwstr>
  </property>
</Properties>
</file>