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AF0" w:rsidR="00C42AF0" w:rsidP="00C268A6" w:rsidRDefault="00C42AF0" w14:paraId="71924590" w14:textId="0D649CD7">
      <w:pPr>
        <w:rPr>
          <w:rFonts w:eastAsia="Aptos"/>
          <w:kern w:val="2"/>
          <w:szCs w:val="18"/>
          <w:lang w:eastAsia="en-US"/>
          <w14:ligatures w14:val="standardContextual"/>
        </w:rPr>
      </w:pPr>
      <w:r w:rsidRPr="00C42AF0">
        <w:rPr>
          <w:rFonts w:eastAsia="Aptos"/>
          <w:kern w:val="2"/>
          <w:szCs w:val="18"/>
          <w:lang w:eastAsia="en-US"/>
          <w14:ligatures w14:val="standardContextual"/>
        </w:rPr>
        <w:t xml:space="preserve">Geachte </w:t>
      </w:r>
      <w:r w:rsidR="00C268A6">
        <w:rPr>
          <w:rFonts w:eastAsia="Aptos"/>
          <w:kern w:val="2"/>
          <w:szCs w:val="18"/>
          <w:lang w:eastAsia="en-US"/>
          <w14:ligatures w14:val="standardContextual"/>
        </w:rPr>
        <w:t>V</w:t>
      </w:r>
      <w:r w:rsidRPr="00C42AF0">
        <w:rPr>
          <w:rFonts w:eastAsia="Aptos"/>
          <w:kern w:val="2"/>
          <w:szCs w:val="18"/>
          <w:lang w:eastAsia="en-US"/>
          <w14:ligatures w14:val="standardContextual"/>
        </w:rPr>
        <w:t>oorzitter,</w:t>
      </w:r>
      <w:r w:rsidRPr="00C42AF0">
        <w:rPr>
          <w:rFonts w:eastAsia="Aptos"/>
          <w:kern w:val="2"/>
          <w:szCs w:val="18"/>
          <w:lang w:eastAsia="en-US"/>
          <w14:ligatures w14:val="standardContextual"/>
        </w:rPr>
        <w:br/>
      </w:r>
      <w:r w:rsidRPr="00C42AF0">
        <w:rPr>
          <w:rFonts w:eastAsia="Aptos"/>
          <w:kern w:val="2"/>
          <w:szCs w:val="18"/>
          <w:lang w:eastAsia="en-US"/>
          <w14:ligatures w14:val="standardContextual"/>
        </w:rPr>
        <w:br/>
        <w:t xml:space="preserve">Evaluaties vormen een belangrijke basis voor een lerende overheid. Bereikt beleid het gewenste effect (doeltreffendheid)? En gaat dat tegen de laagst mogelijke kosten (doelmatigheid)? Evaluaties verschaffen burgers, bedrijven en </w:t>
      </w:r>
      <w:r w:rsidR="000C30B7">
        <w:rPr>
          <w:rFonts w:eastAsia="Aptos"/>
          <w:kern w:val="2"/>
          <w:szCs w:val="18"/>
          <w:lang w:eastAsia="en-US"/>
          <w14:ligatures w14:val="standardContextual"/>
        </w:rPr>
        <w:t>de</w:t>
      </w:r>
      <w:r w:rsidRPr="00C42AF0">
        <w:rPr>
          <w:rFonts w:eastAsia="Aptos"/>
          <w:kern w:val="2"/>
          <w:szCs w:val="18"/>
          <w:lang w:eastAsia="en-US"/>
          <w14:ligatures w14:val="standardContextual"/>
        </w:rPr>
        <w:t xml:space="preserve"> Kamer inzicht in de effecten van het gevoerde beleid en daarmee de besteding van publieke middelen. Deze informatie kan </w:t>
      </w:r>
      <w:r w:rsidR="004C7509">
        <w:rPr>
          <w:rFonts w:eastAsia="Aptos"/>
          <w:kern w:val="2"/>
          <w:szCs w:val="18"/>
          <w:lang w:eastAsia="en-US"/>
          <w14:ligatures w14:val="standardContextual"/>
        </w:rPr>
        <w:t xml:space="preserve">worden </w:t>
      </w:r>
      <w:r w:rsidRPr="00C42AF0">
        <w:rPr>
          <w:rFonts w:eastAsia="Aptos"/>
          <w:kern w:val="2"/>
          <w:szCs w:val="18"/>
          <w:lang w:eastAsia="en-US"/>
          <w14:ligatures w14:val="standardContextual"/>
        </w:rPr>
        <w:t>ingezet om de kwaliteit van beleid, publieke voorzieningen en wetten en regels continu te verbeteren.</w:t>
      </w:r>
      <w:r w:rsidR="00D30D00">
        <w:rPr>
          <w:rFonts w:eastAsia="Aptos"/>
          <w:kern w:val="2"/>
          <w:szCs w:val="18"/>
          <w:lang w:eastAsia="en-US"/>
          <w14:ligatures w14:val="standardContextual"/>
        </w:rPr>
        <w:t xml:space="preserve"> </w:t>
      </w:r>
      <w:r w:rsidR="007A6563">
        <w:rPr>
          <w:rFonts w:eastAsia="Aptos"/>
          <w:kern w:val="2"/>
          <w:szCs w:val="18"/>
          <w:lang w:eastAsia="en-US"/>
          <w14:ligatures w14:val="standardContextual"/>
        </w:rPr>
        <w:t xml:space="preserve">Het kabinet </w:t>
      </w:r>
      <w:r w:rsidR="00D30D00">
        <w:rPr>
          <w:rFonts w:eastAsia="Aptos"/>
          <w:kern w:val="2"/>
          <w:szCs w:val="18"/>
          <w:lang w:eastAsia="en-US"/>
          <w14:ligatures w14:val="standardContextual"/>
        </w:rPr>
        <w:t>hoop</w:t>
      </w:r>
      <w:r w:rsidR="007A6563">
        <w:rPr>
          <w:rFonts w:eastAsia="Aptos"/>
          <w:kern w:val="2"/>
          <w:szCs w:val="18"/>
          <w:lang w:eastAsia="en-US"/>
          <w14:ligatures w14:val="standardContextual"/>
        </w:rPr>
        <w:t>t</w:t>
      </w:r>
      <w:r w:rsidR="00D30D00">
        <w:rPr>
          <w:rFonts w:eastAsia="Aptos"/>
          <w:kern w:val="2"/>
          <w:szCs w:val="18"/>
          <w:lang w:eastAsia="en-US"/>
          <w14:ligatures w14:val="standardContextual"/>
        </w:rPr>
        <w:t xml:space="preserve"> dat deze brief bijdraagt aan het gesprek – ook met </w:t>
      </w:r>
      <w:r w:rsidR="007A6563">
        <w:rPr>
          <w:rFonts w:eastAsia="Aptos"/>
          <w:kern w:val="2"/>
          <w:szCs w:val="18"/>
          <w:lang w:eastAsia="en-US"/>
          <w14:ligatures w14:val="standardContextual"/>
        </w:rPr>
        <w:t xml:space="preserve">de </w:t>
      </w:r>
      <w:r w:rsidR="00D30D00">
        <w:rPr>
          <w:rFonts w:eastAsia="Aptos"/>
          <w:kern w:val="2"/>
          <w:szCs w:val="18"/>
          <w:lang w:eastAsia="en-US"/>
          <w14:ligatures w14:val="standardContextual"/>
        </w:rPr>
        <w:t>Kamer – over beter beleid.</w:t>
      </w:r>
    </w:p>
    <w:p w:rsidR="00C268A6" w:rsidP="00C268A6" w:rsidRDefault="00C268A6" w14:paraId="55B7A673" w14:textId="77777777">
      <w:pPr>
        <w:rPr>
          <w:rFonts w:eastAsia="Aptos"/>
          <w:kern w:val="2"/>
          <w:szCs w:val="18"/>
          <w:lang w:eastAsia="en-US"/>
          <w14:ligatures w14:val="standardContextual"/>
        </w:rPr>
      </w:pPr>
    </w:p>
    <w:p w:rsidRPr="00C42AF0" w:rsidR="00C42AF0" w:rsidP="00C268A6" w:rsidRDefault="007A6563" w14:paraId="13839DBA" w14:textId="61ECD516">
      <w:pPr>
        <w:rPr>
          <w:rFonts w:eastAsia="Aptos"/>
          <w:kern w:val="2"/>
          <w:szCs w:val="18"/>
          <w:lang w:eastAsia="en-US"/>
          <w14:ligatures w14:val="standardContextual"/>
        </w:rPr>
      </w:pPr>
      <w:r>
        <w:rPr>
          <w:rFonts w:eastAsia="Aptos"/>
          <w:kern w:val="2"/>
          <w:szCs w:val="18"/>
          <w:lang w:eastAsia="en-US"/>
          <w14:ligatures w14:val="standardContextual"/>
        </w:rPr>
        <w:t xml:space="preserve">Het kabinet vindt </w:t>
      </w:r>
      <w:r w:rsidRPr="00C42AF0" w:rsidR="00C42AF0">
        <w:rPr>
          <w:rFonts w:eastAsia="Aptos"/>
          <w:kern w:val="2"/>
          <w:szCs w:val="18"/>
          <w:lang w:eastAsia="en-US"/>
          <w14:ligatures w14:val="standardContextual"/>
        </w:rPr>
        <w:t xml:space="preserve">het belangrijk om de bevindingen en aanbevelingen van evaluaties mee te nemen in de (door)ontwikkeling van beleid en </w:t>
      </w:r>
      <w:r w:rsidR="000C30B7">
        <w:rPr>
          <w:rFonts w:eastAsia="Aptos"/>
          <w:kern w:val="2"/>
          <w:szCs w:val="18"/>
          <w:lang w:eastAsia="en-US"/>
          <w14:ligatures w14:val="standardContextual"/>
        </w:rPr>
        <w:t>de</w:t>
      </w:r>
      <w:r w:rsidRPr="00C42AF0" w:rsidR="00C42AF0">
        <w:rPr>
          <w:rFonts w:eastAsia="Aptos"/>
          <w:kern w:val="2"/>
          <w:szCs w:val="18"/>
          <w:lang w:eastAsia="en-US"/>
          <w14:ligatures w14:val="standardContextual"/>
        </w:rPr>
        <w:t xml:space="preserve"> Kamer hierbij te betrekken. In de brief ‘Versterking </w:t>
      </w:r>
      <w:proofErr w:type="spellStart"/>
      <w:r w:rsidRPr="00C42AF0" w:rsidR="00C42AF0">
        <w:rPr>
          <w:rFonts w:eastAsia="Aptos"/>
          <w:kern w:val="2"/>
          <w:szCs w:val="18"/>
          <w:lang w:eastAsia="en-US"/>
          <w14:ligatures w14:val="standardContextual"/>
        </w:rPr>
        <w:t>rijksbrede</w:t>
      </w:r>
      <w:proofErr w:type="spellEnd"/>
      <w:r w:rsidRPr="00C42AF0" w:rsidR="00C42AF0">
        <w:rPr>
          <w:rFonts w:eastAsia="Aptos"/>
          <w:kern w:val="2"/>
          <w:szCs w:val="18"/>
          <w:lang w:eastAsia="en-US"/>
          <w14:ligatures w14:val="standardContextual"/>
        </w:rPr>
        <w:t xml:space="preserve"> evaluatiestelsel’</w:t>
      </w:r>
      <w:r w:rsidRPr="00C42AF0" w:rsidR="00C42AF0">
        <w:rPr>
          <w:rFonts w:eastAsia="Aptos"/>
          <w:kern w:val="2"/>
          <w:szCs w:val="18"/>
          <w:vertAlign w:val="superscript"/>
          <w:lang w:eastAsia="en-US"/>
          <w14:ligatures w14:val="standardContextual"/>
        </w:rPr>
        <w:footnoteReference w:id="1"/>
      </w:r>
      <w:r w:rsidRPr="00C42AF0" w:rsidR="00C42AF0">
        <w:rPr>
          <w:rFonts w:eastAsia="Aptos"/>
          <w:kern w:val="2"/>
          <w:szCs w:val="18"/>
          <w:lang w:eastAsia="en-US"/>
          <w14:ligatures w14:val="standardContextual"/>
        </w:rPr>
        <w:t xml:space="preserve"> van de Minister van Financiën is aangekondigd dat departementen vanaf 2025 jaarlijks, </w:t>
      </w:r>
      <w:r w:rsidR="000A0D2D">
        <w:rPr>
          <w:rFonts w:eastAsia="Aptos"/>
          <w:kern w:val="2"/>
          <w:szCs w:val="18"/>
          <w:lang w:eastAsia="en-US"/>
          <w14:ligatures w14:val="standardContextual"/>
        </w:rPr>
        <w:t xml:space="preserve">en </w:t>
      </w:r>
      <w:r w:rsidRPr="00C42AF0" w:rsidR="00C42AF0">
        <w:rPr>
          <w:rFonts w:eastAsia="Aptos"/>
          <w:kern w:val="2"/>
          <w:szCs w:val="18"/>
          <w:lang w:eastAsia="en-US"/>
          <w14:ligatures w14:val="standardContextual"/>
        </w:rPr>
        <w:t xml:space="preserve">uiterlijk op </w:t>
      </w:r>
      <w:proofErr w:type="spellStart"/>
      <w:r w:rsidR="004C7509">
        <w:rPr>
          <w:rFonts w:eastAsia="Aptos"/>
          <w:kern w:val="2"/>
          <w:szCs w:val="18"/>
          <w:lang w:eastAsia="en-US"/>
          <w14:ligatures w14:val="standardContextual"/>
        </w:rPr>
        <w:t>V</w:t>
      </w:r>
      <w:r w:rsidRPr="00C42AF0" w:rsidR="00C42AF0">
        <w:rPr>
          <w:rFonts w:eastAsia="Aptos"/>
          <w:kern w:val="2"/>
          <w:szCs w:val="18"/>
          <w:lang w:eastAsia="en-US"/>
          <w14:ligatures w14:val="standardContextual"/>
        </w:rPr>
        <w:t>erantwoordingsdag</w:t>
      </w:r>
      <w:proofErr w:type="spellEnd"/>
      <w:r w:rsidRPr="00C42AF0" w:rsidR="00C42AF0">
        <w:rPr>
          <w:rFonts w:eastAsia="Aptos"/>
          <w:kern w:val="2"/>
          <w:szCs w:val="18"/>
          <w:lang w:eastAsia="en-US"/>
          <w14:ligatures w14:val="standardContextual"/>
        </w:rPr>
        <w:t xml:space="preserve">, aan de Kamer inzicht geven in opvolging van aanbevelingen en bevindingen van afgeronde periodieke rapportages die zijn opgenomen in de Strategische Evaluatie Agenda (SEA). Zo blijven aanbevelingen en bevindingen onder de aandacht en kan de voortgang meegenomen worden in beleidsdiscussies en besluitvorming. Dit is </w:t>
      </w:r>
      <w:r w:rsidR="004C7509">
        <w:rPr>
          <w:rFonts w:eastAsia="Aptos"/>
          <w:kern w:val="2"/>
          <w:szCs w:val="18"/>
          <w:lang w:eastAsia="en-US"/>
          <w14:ligatures w14:val="standardContextual"/>
        </w:rPr>
        <w:t xml:space="preserve">bovendien </w:t>
      </w:r>
      <w:r w:rsidRPr="00C42AF0" w:rsidR="00C42AF0">
        <w:rPr>
          <w:rFonts w:eastAsia="Aptos"/>
          <w:kern w:val="2"/>
          <w:szCs w:val="18"/>
          <w:lang w:eastAsia="en-US"/>
          <w14:ligatures w14:val="standardContextual"/>
        </w:rPr>
        <w:t>in lijn met de motie Van Vroonhoven/Vermeer</w:t>
      </w:r>
      <w:r w:rsidRPr="00C42AF0" w:rsidR="00C42AF0">
        <w:rPr>
          <w:rFonts w:eastAsia="Aptos"/>
          <w:kern w:val="2"/>
          <w:szCs w:val="18"/>
          <w:vertAlign w:val="superscript"/>
          <w:lang w:eastAsia="en-US"/>
          <w14:ligatures w14:val="standardContextual"/>
        </w:rPr>
        <w:footnoteReference w:id="2"/>
      </w:r>
      <w:r w:rsidRPr="00C42AF0" w:rsidR="00C42AF0">
        <w:rPr>
          <w:rFonts w:eastAsia="Aptos"/>
          <w:kern w:val="2"/>
          <w:szCs w:val="18"/>
          <w:lang w:eastAsia="en-US"/>
          <w14:ligatures w14:val="standardContextual"/>
        </w:rPr>
        <w:t xml:space="preserve">. Deze brief geeft hier voor </w:t>
      </w:r>
      <w:r>
        <w:rPr>
          <w:rFonts w:eastAsia="Aptos"/>
          <w:kern w:val="2"/>
          <w:szCs w:val="18"/>
          <w:lang w:eastAsia="en-US"/>
          <w14:ligatures w14:val="standardContextual"/>
        </w:rPr>
        <w:t xml:space="preserve">het ministerie van Klimaat en Groene Groei </w:t>
      </w:r>
      <w:r w:rsidRPr="00C42AF0" w:rsidR="00C42AF0">
        <w:rPr>
          <w:rFonts w:eastAsia="Aptos"/>
          <w:kern w:val="2"/>
          <w:szCs w:val="18"/>
          <w:lang w:eastAsia="en-US"/>
          <w14:ligatures w14:val="standardContextual"/>
        </w:rPr>
        <w:t>invulling aan.</w:t>
      </w:r>
    </w:p>
    <w:p w:rsidR="00C268A6" w:rsidP="00C268A6" w:rsidRDefault="00C268A6" w14:paraId="065462FB" w14:textId="77777777">
      <w:pPr>
        <w:rPr>
          <w:rFonts w:eastAsia="Aptos"/>
          <w:kern w:val="2"/>
          <w:szCs w:val="18"/>
          <w:lang w:eastAsia="en-US"/>
          <w14:ligatures w14:val="standardContextual"/>
        </w:rPr>
      </w:pPr>
    </w:p>
    <w:p w:rsidRPr="00C42AF0" w:rsidR="00C42AF0" w:rsidP="00C268A6" w:rsidRDefault="00C42AF0" w14:paraId="3B469827" w14:textId="1818B13E">
      <w:pPr>
        <w:rPr>
          <w:rFonts w:eastAsia="Aptos"/>
          <w:kern w:val="2"/>
          <w:szCs w:val="18"/>
          <w:lang w:eastAsia="en-US"/>
          <w14:ligatures w14:val="standardContextual"/>
        </w:rPr>
      </w:pPr>
      <w:r w:rsidRPr="00C42AF0">
        <w:rPr>
          <w:rFonts w:eastAsia="Aptos"/>
          <w:kern w:val="2"/>
          <w:szCs w:val="18"/>
          <w:lang w:eastAsia="en-US"/>
          <w14:ligatures w14:val="standardContextual"/>
        </w:rPr>
        <w:t>In het eerste jaar worden alleen periodieke rapportages opgenomen die in 2024 zijn afgerond.</w:t>
      </w:r>
      <w:r w:rsidRPr="00C42AF0">
        <w:rPr>
          <w:rFonts w:ascii="Aptos" w:hAnsi="Aptos" w:eastAsia="Aptos"/>
          <w:kern w:val="2"/>
          <w:sz w:val="22"/>
          <w:szCs w:val="22"/>
          <w:lang w:eastAsia="en-US"/>
          <w14:ligatures w14:val="standardContextual"/>
        </w:rPr>
        <w:t xml:space="preserve"> </w:t>
      </w:r>
      <w:r w:rsidRPr="00C42AF0">
        <w:rPr>
          <w:rFonts w:eastAsia="Aptos"/>
          <w:kern w:val="2"/>
          <w:szCs w:val="18"/>
          <w:lang w:eastAsia="en-US"/>
          <w14:ligatures w14:val="standardContextual"/>
        </w:rPr>
        <w:t xml:space="preserve">Komende jaren zal </w:t>
      </w:r>
      <w:r w:rsidR="000C30B7">
        <w:rPr>
          <w:rFonts w:eastAsia="Aptos"/>
          <w:kern w:val="2"/>
          <w:szCs w:val="18"/>
          <w:lang w:eastAsia="en-US"/>
          <w14:ligatures w14:val="standardContextual"/>
        </w:rPr>
        <w:t>het kabinet de</w:t>
      </w:r>
      <w:r w:rsidRPr="00C42AF0">
        <w:rPr>
          <w:rFonts w:eastAsia="Aptos"/>
          <w:kern w:val="2"/>
          <w:szCs w:val="18"/>
          <w:lang w:eastAsia="en-US"/>
          <w14:ligatures w14:val="standardContextual"/>
        </w:rPr>
        <w:t xml:space="preserve"> Kamer wederom informeren over nieuwe </w:t>
      </w:r>
      <w:r w:rsidR="004C7509">
        <w:rPr>
          <w:rFonts w:eastAsia="Aptos"/>
          <w:kern w:val="2"/>
          <w:szCs w:val="18"/>
          <w:lang w:eastAsia="en-US"/>
          <w14:ligatures w14:val="standardContextual"/>
        </w:rPr>
        <w:t>p</w:t>
      </w:r>
      <w:r w:rsidRPr="00C42AF0">
        <w:rPr>
          <w:rFonts w:eastAsia="Aptos"/>
          <w:kern w:val="2"/>
          <w:szCs w:val="18"/>
          <w:lang w:eastAsia="en-US"/>
          <w14:ligatures w14:val="standardContextual"/>
        </w:rPr>
        <w:t>eriodieke rapportages die sindsdien zijn uitgevoerd.</w:t>
      </w:r>
    </w:p>
    <w:p w:rsidR="00C268A6" w:rsidP="00C268A6" w:rsidRDefault="00C268A6" w14:paraId="039DE148" w14:textId="77777777">
      <w:pPr>
        <w:rPr>
          <w:rFonts w:eastAsia="Aptos"/>
          <w:kern w:val="2"/>
          <w:szCs w:val="18"/>
          <w:lang w:eastAsia="en-US"/>
          <w14:ligatures w14:val="standardContextual"/>
        </w:rPr>
      </w:pPr>
    </w:p>
    <w:p w:rsidRPr="00C42AF0" w:rsidR="00C42AF0" w:rsidP="00C268A6" w:rsidRDefault="00C42AF0" w14:paraId="1E47D0C2" w14:textId="52182706">
      <w:pPr>
        <w:rPr>
          <w:rFonts w:eastAsia="Aptos"/>
          <w:kern w:val="2"/>
          <w:szCs w:val="18"/>
          <w:lang w:eastAsia="en-US"/>
          <w14:ligatures w14:val="standardContextual"/>
        </w:rPr>
      </w:pPr>
      <w:r w:rsidRPr="00C42AF0">
        <w:rPr>
          <w:rFonts w:eastAsia="Aptos"/>
          <w:kern w:val="2"/>
          <w:szCs w:val="18"/>
          <w:lang w:eastAsia="en-US"/>
          <w14:ligatures w14:val="standardContextual"/>
        </w:rPr>
        <w:t xml:space="preserve">In 2024 zijn voor het ministerie van Economische Zaken en Klimaat (EZK) </w:t>
      </w:r>
      <w:r>
        <w:rPr>
          <w:rFonts w:eastAsia="Aptos"/>
          <w:kern w:val="2"/>
          <w:szCs w:val="18"/>
          <w:lang w:eastAsia="en-US"/>
          <w14:ligatures w14:val="standardContextual"/>
        </w:rPr>
        <w:t xml:space="preserve">alleen </w:t>
      </w:r>
      <w:r w:rsidRPr="00C42AF0">
        <w:rPr>
          <w:rFonts w:eastAsia="Aptos"/>
          <w:kern w:val="2"/>
          <w:szCs w:val="18"/>
          <w:lang w:eastAsia="en-US"/>
          <w14:ligatures w14:val="standardContextual"/>
        </w:rPr>
        <w:t>op het beleidsterrein van Klimaat en Groene Groei (KGG) ‘periodieke rapportages’ uit de SEA afgerond. Het betreft twee overkoepelende rapportages op het SEA-thema ‘Klimaatbeleid’:</w:t>
      </w:r>
    </w:p>
    <w:p w:rsidRPr="00C42AF0" w:rsidR="00C42AF0" w:rsidP="00C268A6" w:rsidRDefault="00C42AF0" w14:paraId="44206BFB" w14:textId="77777777">
      <w:pPr>
        <w:numPr>
          <w:ilvl w:val="0"/>
          <w:numId w:val="15"/>
        </w:numPr>
        <w:contextualSpacing/>
        <w:rPr>
          <w:rFonts w:eastAsia="Aptos"/>
          <w:kern w:val="2"/>
          <w:szCs w:val="18"/>
          <w:lang w:eastAsia="en-US"/>
          <w14:ligatures w14:val="standardContextual"/>
        </w:rPr>
      </w:pPr>
      <w:r w:rsidRPr="00C42AF0">
        <w:rPr>
          <w:rFonts w:eastAsia="Aptos"/>
          <w:kern w:val="2"/>
          <w:szCs w:val="18"/>
          <w:lang w:eastAsia="en-US"/>
          <w14:ligatures w14:val="standardContextual"/>
        </w:rPr>
        <w:t>Lerende evaluatie Klimaatbeleid</w:t>
      </w:r>
      <w:r w:rsidRPr="00C42AF0">
        <w:rPr>
          <w:rFonts w:eastAsia="Aptos"/>
          <w:kern w:val="2"/>
          <w:szCs w:val="18"/>
          <w:vertAlign w:val="superscript"/>
          <w:lang w:eastAsia="en-US"/>
          <w14:ligatures w14:val="standardContextual"/>
        </w:rPr>
        <w:footnoteReference w:id="3"/>
      </w:r>
    </w:p>
    <w:p w:rsidRPr="00C42AF0" w:rsidR="00C42AF0" w:rsidP="00C268A6" w:rsidRDefault="00C42AF0" w14:paraId="2ADB5D4B" w14:textId="77777777">
      <w:pPr>
        <w:numPr>
          <w:ilvl w:val="0"/>
          <w:numId w:val="15"/>
        </w:numPr>
        <w:contextualSpacing/>
        <w:rPr>
          <w:rFonts w:eastAsia="Aptos"/>
          <w:kern w:val="2"/>
          <w:szCs w:val="18"/>
          <w:lang w:eastAsia="en-US"/>
          <w14:ligatures w14:val="standardContextual"/>
        </w:rPr>
      </w:pPr>
      <w:r w:rsidRPr="00C42AF0">
        <w:rPr>
          <w:rFonts w:eastAsia="Aptos"/>
          <w:kern w:val="2"/>
          <w:szCs w:val="18"/>
          <w:lang w:eastAsia="en-US"/>
          <w14:ligatures w14:val="standardContextual"/>
        </w:rPr>
        <w:t>Synthese-onderzoek Klimaatbeleid</w:t>
      </w:r>
      <w:r w:rsidRPr="00C42AF0">
        <w:rPr>
          <w:rFonts w:eastAsia="Aptos"/>
          <w:kern w:val="2"/>
          <w:szCs w:val="18"/>
          <w:vertAlign w:val="superscript"/>
          <w:lang w:eastAsia="en-US"/>
          <w14:ligatures w14:val="standardContextual"/>
        </w:rPr>
        <w:footnoteReference w:id="4"/>
      </w:r>
    </w:p>
    <w:p w:rsidR="00C42AF0" w:rsidP="00C268A6" w:rsidRDefault="00C42AF0" w14:paraId="1A7298A6" w14:textId="77777777">
      <w:pPr>
        <w:rPr>
          <w:rFonts w:eastAsia="Aptos"/>
          <w:kern w:val="2"/>
          <w:szCs w:val="18"/>
          <w:lang w:eastAsia="en-US"/>
          <w14:ligatures w14:val="standardContextual"/>
        </w:rPr>
      </w:pPr>
    </w:p>
    <w:p w:rsidRPr="00C42AF0" w:rsidR="00C42AF0" w:rsidP="00C268A6" w:rsidRDefault="00C42AF0" w14:paraId="3C96C94F" w14:textId="477624E7">
      <w:pPr>
        <w:rPr>
          <w:rFonts w:eastAsia="Aptos"/>
          <w:kern w:val="2"/>
          <w:szCs w:val="18"/>
          <w:lang w:eastAsia="en-US"/>
          <w14:ligatures w14:val="standardContextual"/>
        </w:rPr>
      </w:pPr>
      <w:r w:rsidRPr="00C42AF0">
        <w:rPr>
          <w:rFonts w:eastAsia="Aptos"/>
          <w:kern w:val="2"/>
          <w:szCs w:val="18"/>
          <w:lang w:eastAsia="en-US"/>
          <w14:ligatures w14:val="standardContextual"/>
        </w:rPr>
        <w:t>De twee evaluatieonderzoeken geven samen een veelomvattend beeld van de stand van zaken van het klimaatbeleid en de grote dynamiek daarin gedurende de eerste 5-jaarscyclus van de Klimaatwet. Op 14 juni 2024 is een kabinetsreactie op beide evaluaties aan de Tweede Kamer gestuurd. Het kabinet heeft hierin vier lessen voor het klimaatbeleid en enkele lessen voor de evaluatieagenda geformuleerd. Deze lessen zijn vervolgens betrokken bij de opstelling van het Klimaatplan 2025-2035</w:t>
      </w:r>
      <w:r w:rsidRPr="00C42AF0">
        <w:rPr>
          <w:rFonts w:eastAsia="Aptos"/>
          <w:kern w:val="2"/>
          <w:szCs w:val="18"/>
          <w:vertAlign w:val="superscript"/>
          <w:lang w:eastAsia="en-US"/>
          <w14:ligatures w14:val="standardContextual"/>
        </w:rPr>
        <w:footnoteReference w:id="5"/>
      </w:r>
      <w:r w:rsidRPr="00C42AF0">
        <w:rPr>
          <w:rFonts w:eastAsia="Aptos"/>
          <w:kern w:val="2"/>
          <w:szCs w:val="18"/>
          <w:lang w:eastAsia="en-US"/>
          <w14:ligatures w14:val="standardContextual"/>
        </w:rPr>
        <w:t>, dat op 14 maart 2025 aan de Tweede Kamer is aangeboden.</w:t>
      </w:r>
    </w:p>
    <w:p w:rsidR="00C268A6" w:rsidP="00C268A6" w:rsidRDefault="00C268A6" w14:paraId="48F7C7ED" w14:textId="77777777">
      <w:pPr>
        <w:rPr>
          <w:rFonts w:eastAsia="Aptos"/>
          <w:kern w:val="2"/>
          <w:szCs w:val="18"/>
          <w:lang w:eastAsia="en-US"/>
          <w14:ligatures w14:val="standardContextual"/>
        </w:rPr>
      </w:pPr>
    </w:p>
    <w:p w:rsidRPr="00C42AF0" w:rsidR="00C42AF0" w:rsidP="00C268A6" w:rsidRDefault="00C42AF0" w14:paraId="7FB5A4FA" w14:textId="78DCC829">
      <w:pPr>
        <w:rPr>
          <w:rFonts w:eastAsia="Aptos"/>
          <w:kern w:val="2"/>
          <w:szCs w:val="18"/>
          <w:lang w:eastAsia="en-US"/>
          <w14:ligatures w14:val="standardContextual"/>
        </w:rPr>
      </w:pPr>
      <w:r w:rsidRPr="00C42AF0">
        <w:rPr>
          <w:rFonts w:eastAsia="Aptos"/>
          <w:kern w:val="2"/>
          <w:szCs w:val="18"/>
          <w:lang w:eastAsia="en-US"/>
          <w14:ligatures w14:val="standardContextual"/>
        </w:rPr>
        <w:t xml:space="preserve">Conform het voorgeschreven format informeert het kabinet </w:t>
      </w:r>
      <w:r w:rsidR="007A6563">
        <w:rPr>
          <w:rFonts w:eastAsia="Aptos"/>
          <w:kern w:val="2"/>
          <w:szCs w:val="18"/>
          <w:lang w:eastAsia="en-US"/>
          <w14:ligatures w14:val="standardContextual"/>
        </w:rPr>
        <w:t>de Kamer</w:t>
      </w:r>
      <w:r w:rsidRPr="00C42AF0">
        <w:rPr>
          <w:rFonts w:eastAsia="Aptos"/>
          <w:kern w:val="2"/>
          <w:szCs w:val="18"/>
          <w:lang w:eastAsia="en-US"/>
          <w14:ligatures w14:val="standardContextual"/>
        </w:rPr>
        <w:t xml:space="preserve"> in onderstaande tabel over de status van opvolging, die ook terug te lezen is in bijlage 7.1 van het Klimaatplan 2025-2035. Het kabinet beschouwt, met de kabinetsreactie en de navolgende verwerking in het Klimaatplan de opvolging van de twee evaluaties als ‘afgerond’. De verdere uitwerking na het Klimaatplan </w:t>
      </w:r>
      <w:r w:rsidR="004C7509">
        <w:rPr>
          <w:rFonts w:eastAsia="Aptos"/>
          <w:kern w:val="2"/>
          <w:szCs w:val="18"/>
          <w:lang w:eastAsia="en-US"/>
          <w14:ligatures w14:val="standardContextual"/>
        </w:rPr>
        <w:t xml:space="preserve">en de rapportage daarover zal meelopen </w:t>
      </w:r>
      <w:r w:rsidRPr="00C42AF0">
        <w:rPr>
          <w:rFonts w:eastAsia="Aptos"/>
          <w:kern w:val="2"/>
          <w:szCs w:val="18"/>
          <w:lang w:eastAsia="en-US"/>
          <w14:ligatures w14:val="standardContextual"/>
        </w:rPr>
        <w:t xml:space="preserve">in de </w:t>
      </w:r>
      <w:r w:rsidR="004C7509">
        <w:rPr>
          <w:rFonts w:eastAsia="Aptos"/>
          <w:kern w:val="2"/>
          <w:szCs w:val="18"/>
          <w:lang w:eastAsia="en-US"/>
          <w14:ligatures w14:val="standardContextual"/>
        </w:rPr>
        <w:t xml:space="preserve">cyclus van de </w:t>
      </w:r>
      <w:r w:rsidRPr="00C42AF0">
        <w:rPr>
          <w:rFonts w:eastAsia="Aptos"/>
          <w:kern w:val="2"/>
          <w:szCs w:val="18"/>
          <w:lang w:eastAsia="en-US"/>
          <w14:ligatures w14:val="standardContextual"/>
        </w:rPr>
        <w:t xml:space="preserve">Klimaatwet. </w:t>
      </w:r>
    </w:p>
    <w:p w:rsidR="00C268A6" w:rsidP="00C268A6" w:rsidRDefault="00C268A6" w14:paraId="18B98DB0" w14:textId="77777777">
      <w:pPr>
        <w:rPr>
          <w:rFonts w:eastAsia="Aptos"/>
          <w:kern w:val="2"/>
          <w:szCs w:val="18"/>
          <w:lang w:eastAsia="en-US"/>
          <w14:ligatures w14:val="standardContextual"/>
        </w:rPr>
      </w:pPr>
    </w:p>
    <w:p w:rsidR="00D30D00" w:rsidP="00C268A6" w:rsidRDefault="00C42AF0" w14:paraId="52722177" w14:textId="3DB30AFE">
      <w:pPr>
        <w:rPr>
          <w:rFonts w:eastAsia="Aptos"/>
          <w:kern w:val="2"/>
          <w:szCs w:val="18"/>
          <w:lang w:eastAsia="en-US"/>
          <w14:ligatures w14:val="standardContextual"/>
        </w:rPr>
      </w:pPr>
      <w:r w:rsidRPr="00C42AF0">
        <w:rPr>
          <w:rFonts w:eastAsia="Aptos"/>
          <w:kern w:val="2"/>
          <w:szCs w:val="18"/>
          <w:lang w:eastAsia="en-US"/>
          <w14:ligatures w14:val="standardContextual"/>
        </w:rPr>
        <w:t>De samenwerking tussen betrokken ministeries op het gebied van evaluatie zal in de komende 5-jaarscyclus worden voortgezet. De evaluatie van instrumenten is daarbij de beleidsverantwoordelijkheid van de verantwoordelijke vakministers voor het klimaatbeleid.</w:t>
      </w:r>
    </w:p>
    <w:p w:rsidRPr="00C42AF0" w:rsidR="00C268A6" w:rsidP="00C268A6" w:rsidRDefault="00C268A6" w14:paraId="55839A52" w14:textId="77777777">
      <w:pPr>
        <w:rPr>
          <w:rFonts w:eastAsia="Aptos"/>
          <w:kern w:val="2"/>
          <w:szCs w:val="18"/>
          <w:lang w:eastAsia="en-US"/>
          <w14:ligatures w14:val="standardContextual"/>
        </w:rPr>
      </w:pPr>
    </w:p>
    <w:tbl>
      <w:tblPr>
        <w:tblStyle w:val="Tabelraster1"/>
        <w:tblW w:w="7969" w:type="dxa"/>
        <w:tblLook w:val="04A0" w:firstRow="1" w:lastRow="0" w:firstColumn="1" w:lastColumn="0" w:noHBand="0" w:noVBand="1"/>
      </w:tblPr>
      <w:tblGrid>
        <w:gridCol w:w="1861"/>
        <w:gridCol w:w="1881"/>
        <w:gridCol w:w="1075"/>
        <w:gridCol w:w="1752"/>
        <w:gridCol w:w="1400"/>
      </w:tblGrid>
      <w:tr w:rsidRPr="00C42AF0" w:rsidR="00C42AF0" w:rsidTr="00D30D00" w14:paraId="1B676794" w14:textId="77777777">
        <w:trPr>
          <w:trHeight w:val="255"/>
        </w:trPr>
        <w:tc>
          <w:tcPr>
            <w:tcW w:w="7969" w:type="dxa"/>
            <w:gridSpan w:val="5"/>
            <w:shd w:val="clear" w:color="auto" w:fill="215E99"/>
            <w:noWrap/>
            <w:hideMark/>
          </w:tcPr>
          <w:p w:rsidRPr="00C42AF0" w:rsidR="00C42AF0" w:rsidP="00C268A6" w:rsidRDefault="00C42AF0" w14:paraId="0A6D3A6F" w14:textId="77777777">
            <w:pPr>
              <w:rPr>
                <w:b/>
                <w:bCs/>
                <w:szCs w:val="18"/>
                <w:lang w:eastAsia="en-US"/>
              </w:rPr>
            </w:pPr>
            <w:r w:rsidRPr="00C42AF0">
              <w:rPr>
                <w:b/>
                <w:bCs/>
                <w:color w:val="FFFFFF"/>
                <w:szCs w:val="18"/>
                <w:lang w:eastAsia="en-US"/>
              </w:rPr>
              <w:t>SEA thema: Klimaatbeleid</w:t>
            </w:r>
          </w:p>
        </w:tc>
      </w:tr>
      <w:tr w:rsidRPr="00C42AF0" w:rsidR="00C42AF0" w:rsidTr="00D30D00" w14:paraId="59C72828" w14:textId="77777777">
        <w:trPr>
          <w:trHeight w:val="1440"/>
        </w:trPr>
        <w:tc>
          <w:tcPr>
            <w:tcW w:w="7969" w:type="dxa"/>
            <w:gridSpan w:val="5"/>
            <w:hideMark/>
          </w:tcPr>
          <w:p w:rsidRPr="00C42AF0" w:rsidR="00C42AF0" w:rsidP="00C268A6" w:rsidRDefault="00C42AF0" w14:paraId="68FD5588" w14:textId="77777777">
            <w:pPr>
              <w:rPr>
                <w:i/>
                <w:iCs/>
                <w:szCs w:val="18"/>
                <w:lang w:eastAsia="en-US"/>
              </w:rPr>
            </w:pPr>
            <w:r w:rsidRPr="00C42AF0">
              <w:rPr>
                <w:i/>
                <w:iCs/>
                <w:szCs w:val="18"/>
                <w:lang w:eastAsia="en-US"/>
              </w:rPr>
              <w:t>Overkoepelende toelichting SEA-thema:</w:t>
            </w:r>
            <w:r w:rsidRPr="00C42AF0">
              <w:rPr>
                <w:szCs w:val="18"/>
                <w:lang w:eastAsia="en-US"/>
              </w:rPr>
              <w:t xml:space="preserve"> De evaluatie van het klimaatbeleid is bij uitstek een voorbeeld van een beleidsdossier dat vraagt om een opgavegerichte wijze van evalueren. Daarom is het onderdeel van de SEA van KGG. Sinds het eerste Klimaatplan uit 2019 is aan de uitvoering hiervan gewerkt met de bij het klimaatbeleid betrokken departementen, onder coördinatie van de minister van KGG (voorheen EZK). Dit heeft in 2024 uitgemond in twee integrale evaluaties, die werden afgerond voorafgaand aan het tweede Klimaatplan op basis van de Klimaatwet, zodat de lessen uit beide evaluaties bij het nieuwe Klimaatplan konden worden betrokken. </w:t>
            </w:r>
          </w:p>
        </w:tc>
      </w:tr>
      <w:tr w:rsidRPr="00C42AF0" w:rsidR="00C42AF0" w:rsidTr="00D30D00" w14:paraId="09DC12B4" w14:textId="77777777">
        <w:trPr>
          <w:trHeight w:val="450"/>
        </w:trPr>
        <w:tc>
          <w:tcPr>
            <w:tcW w:w="1861" w:type="dxa"/>
            <w:noWrap/>
            <w:hideMark/>
          </w:tcPr>
          <w:p w:rsidRPr="00C42AF0" w:rsidR="00C42AF0" w:rsidP="00C268A6" w:rsidRDefault="00C42AF0" w14:paraId="485C79FF" w14:textId="77777777">
            <w:pPr>
              <w:rPr>
                <w:i/>
                <w:iCs/>
                <w:szCs w:val="18"/>
                <w:lang w:eastAsia="en-US"/>
              </w:rPr>
            </w:pPr>
            <w:r w:rsidRPr="00C42AF0">
              <w:rPr>
                <w:i/>
                <w:iCs/>
                <w:szCs w:val="18"/>
                <w:lang w:eastAsia="en-US"/>
              </w:rPr>
              <w:t>Titel onderzoek (met link)</w:t>
            </w:r>
          </w:p>
        </w:tc>
        <w:tc>
          <w:tcPr>
            <w:tcW w:w="1881" w:type="dxa"/>
            <w:noWrap/>
            <w:hideMark/>
          </w:tcPr>
          <w:p w:rsidRPr="00C42AF0" w:rsidR="00C42AF0" w:rsidP="00C268A6" w:rsidRDefault="00C42AF0" w14:paraId="1EC101F5" w14:textId="77777777">
            <w:pPr>
              <w:rPr>
                <w:i/>
                <w:iCs/>
                <w:szCs w:val="18"/>
                <w:lang w:eastAsia="en-US"/>
              </w:rPr>
            </w:pPr>
            <w:r w:rsidRPr="00C42AF0">
              <w:rPr>
                <w:i/>
                <w:iCs/>
                <w:szCs w:val="18"/>
                <w:lang w:eastAsia="en-US"/>
              </w:rPr>
              <w:t>Type onderzoek</w:t>
            </w:r>
          </w:p>
        </w:tc>
        <w:tc>
          <w:tcPr>
            <w:tcW w:w="1075" w:type="dxa"/>
            <w:noWrap/>
            <w:hideMark/>
          </w:tcPr>
          <w:p w:rsidRPr="00C42AF0" w:rsidR="00C42AF0" w:rsidP="00C268A6" w:rsidRDefault="00C42AF0" w14:paraId="6D74D111" w14:textId="77777777">
            <w:pPr>
              <w:rPr>
                <w:i/>
                <w:iCs/>
                <w:szCs w:val="18"/>
                <w:lang w:eastAsia="en-US"/>
              </w:rPr>
            </w:pPr>
            <w:r w:rsidRPr="00C42AF0">
              <w:rPr>
                <w:i/>
                <w:iCs/>
                <w:szCs w:val="18"/>
                <w:lang w:eastAsia="en-US"/>
              </w:rPr>
              <w:t>Jaar afronding</w:t>
            </w:r>
          </w:p>
        </w:tc>
        <w:tc>
          <w:tcPr>
            <w:tcW w:w="1752" w:type="dxa"/>
            <w:noWrap/>
            <w:hideMark/>
          </w:tcPr>
          <w:p w:rsidRPr="00C42AF0" w:rsidR="00C42AF0" w:rsidP="00C268A6" w:rsidRDefault="00C42AF0" w14:paraId="35857ACD" w14:textId="77777777">
            <w:pPr>
              <w:rPr>
                <w:i/>
                <w:iCs/>
                <w:szCs w:val="18"/>
                <w:lang w:eastAsia="en-US"/>
              </w:rPr>
            </w:pPr>
            <w:r w:rsidRPr="00C42AF0">
              <w:rPr>
                <w:i/>
                <w:iCs/>
                <w:szCs w:val="18"/>
                <w:lang w:eastAsia="en-US"/>
              </w:rPr>
              <w:t>Begrotingsartikel (en)</w:t>
            </w:r>
          </w:p>
        </w:tc>
        <w:tc>
          <w:tcPr>
            <w:tcW w:w="1400" w:type="dxa"/>
            <w:hideMark/>
          </w:tcPr>
          <w:p w:rsidRPr="00C42AF0" w:rsidR="00C42AF0" w:rsidP="00C268A6" w:rsidRDefault="00C42AF0" w14:paraId="5CC4ED9A" w14:textId="77777777">
            <w:pPr>
              <w:rPr>
                <w:i/>
                <w:iCs/>
                <w:szCs w:val="18"/>
                <w:lang w:eastAsia="en-US"/>
              </w:rPr>
            </w:pPr>
            <w:r w:rsidRPr="00C42AF0">
              <w:rPr>
                <w:i/>
                <w:iCs/>
                <w:szCs w:val="18"/>
                <w:lang w:eastAsia="en-US"/>
              </w:rPr>
              <w:t xml:space="preserve">Budgettaire grondslag in € </w:t>
            </w:r>
            <w:proofErr w:type="spellStart"/>
            <w:r w:rsidRPr="00C42AF0">
              <w:rPr>
                <w:i/>
                <w:iCs/>
                <w:szCs w:val="18"/>
                <w:lang w:eastAsia="en-US"/>
              </w:rPr>
              <w:t>mln</w:t>
            </w:r>
            <w:proofErr w:type="spellEnd"/>
            <w:r w:rsidRPr="00C42AF0">
              <w:rPr>
                <w:i/>
                <w:iCs/>
                <w:szCs w:val="18"/>
                <w:lang w:eastAsia="en-US"/>
              </w:rPr>
              <w:t xml:space="preserve"> </w:t>
            </w:r>
          </w:p>
        </w:tc>
      </w:tr>
      <w:tr w:rsidRPr="00C42AF0" w:rsidR="00C42AF0" w:rsidTr="00D30D00" w14:paraId="7A6CA431" w14:textId="77777777">
        <w:trPr>
          <w:trHeight w:val="690"/>
        </w:trPr>
        <w:tc>
          <w:tcPr>
            <w:tcW w:w="1861" w:type="dxa"/>
            <w:shd w:val="clear" w:color="auto" w:fill="A5C9EB"/>
            <w:hideMark/>
          </w:tcPr>
          <w:p w:rsidRPr="00C42AF0" w:rsidR="00C42AF0" w:rsidP="00C268A6" w:rsidRDefault="00C42AF0" w14:paraId="5AC62A21" w14:textId="77777777">
            <w:pPr>
              <w:rPr>
                <w:b/>
                <w:bCs/>
                <w:szCs w:val="18"/>
                <w:u w:val="single"/>
                <w:lang w:eastAsia="en-US"/>
              </w:rPr>
            </w:pPr>
            <w:hyperlink w:history="1" r:id="rId7">
              <w:r w:rsidRPr="00C42AF0">
                <w:rPr>
                  <w:b/>
                  <w:bCs/>
                  <w:color w:val="467886"/>
                  <w:szCs w:val="18"/>
                  <w:u w:val="single"/>
                  <w:lang w:eastAsia="en-US"/>
                </w:rPr>
                <w:t>Lerende evaluatie Klimaatbeleid (PBL)</w:t>
              </w:r>
            </w:hyperlink>
          </w:p>
        </w:tc>
        <w:tc>
          <w:tcPr>
            <w:tcW w:w="1881" w:type="dxa"/>
            <w:shd w:val="clear" w:color="auto" w:fill="A5C9EB"/>
            <w:hideMark/>
          </w:tcPr>
          <w:p w:rsidRPr="00C42AF0" w:rsidR="00C42AF0" w:rsidP="00C268A6" w:rsidRDefault="00C42AF0" w14:paraId="7F4B0A4D" w14:textId="77777777">
            <w:pPr>
              <w:rPr>
                <w:szCs w:val="18"/>
                <w:lang w:eastAsia="en-US"/>
              </w:rPr>
            </w:pPr>
            <w:r w:rsidRPr="00C42AF0">
              <w:rPr>
                <w:szCs w:val="18"/>
                <w:lang w:eastAsia="en-US"/>
              </w:rPr>
              <w:t>Ex-</w:t>
            </w:r>
            <w:proofErr w:type="spellStart"/>
            <w:r w:rsidRPr="00C42AF0">
              <w:rPr>
                <w:szCs w:val="18"/>
                <w:lang w:eastAsia="en-US"/>
              </w:rPr>
              <w:t>durante</w:t>
            </w:r>
            <w:proofErr w:type="spellEnd"/>
            <w:r w:rsidRPr="00C42AF0">
              <w:rPr>
                <w:szCs w:val="18"/>
                <w:lang w:eastAsia="en-US"/>
              </w:rPr>
              <w:t>, lerende evaluatie</w:t>
            </w:r>
          </w:p>
        </w:tc>
        <w:tc>
          <w:tcPr>
            <w:tcW w:w="1075" w:type="dxa"/>
            <w:shd w:val="clear" w:color="auto" w:fill="A5C9EB"/>
            <w:noWrap/>
            <w:hideMark/>
          </w:tcPr>
          <w:p w:rsidRPr="00C42AF0" w:rsidR="00C42AF0" w:rsidP="00C268A6" w:rsidRDefault="00C42AF0" w14:paraId="7CD735C3" w14:textId="77777777">
            <w:pPr>
              <w:rPr>
                <w:szCs w:val="18"/>
                <w:lang w:eastAsia="en-US"/>
              </w:rPr>
            </w:pPr>
            <w:r w:rsidRPr="00C42AF0">
              <w:rPr>
                <w:szCs w:val="18"/>
                <w:lang w:eastAsia="en-US"/>
              </w:rPr>
              <w:t>2024</w:t>
            </w:r>
          </w:p>
        </w:tc>
        <w:tc>
          <w:tcPr>
            <w:tcW w:w="1752" w:type="dxa"/>
            <w:shd w:val="clear" w:color="auto" w:fill="A5C9EB"/>
            <w:noWrap/>
            <w:hideMark/>
          </w:tcPr>
          <w:p w:rsidRPr="00C42AF0" w:rsidR="00C42AF0" w:rsidP="00C268A6" w:rsidRDefault="00C42AF0" w14:paraId="67367B8A" w14:textId="77777777">
            <w:pPr>
              <w:rPr>
                <w:szCs w:val="18"/>
                <w:lang w:eastAsia="en-US"/>
              </w:rPr>
            </w:pPr>
            <w:r w:rsidRPr="00C42AF0">
              <w:rPr>
                <w:szCs w:val="18"/>
                <w:lang w:eastAsia="en-US"/>
              </w:rPr>
              <w:t>Artikel 4 (EZK)</w:t>
            </w:r>
          </w:p>
        </w:tc>
        <w:tc>
          <w:tcPr>
            <w:tcW w:w="1400" w:type="dxa"/>
            <w:shd w:val="clear" w:color="auto" w:fill="A5C9EB"/>
            <w:hideMark/>
          </w:tcPr>
          <w:p w:rsidRPr="00C42AF0" w:rsidR="00C42AF0" w:rsidP="00C268A6" w:rsidRDefault="00C42AF0" w14:paraId="302E4728" w14:textId="77777777">
            <w:pPr>
              <w:rPr>
                <w:szCs w:val="18"/>
                <w:lang w:eastAsia="en-US"/>
              </w:rPr>
            </w:pPr>
            <w:r w:rsidRPr="00C42AF0">
              <w:rPr>
                <w:szCs w:val="18"/>
                <w:lang w:eastAsia="en-US"/>
              </w:rPr>
              <w:t>Kwalitatief</w:t>
            </w:r>
          </w:p>
        </w:tc>
      </w:tr>
      <w:tr w:rsidRPr="00C42AF0" w:rsidR="00C42AF0" w:rsidTr="00D30D00" w14:paraId="25A58256" w14:textId="77777777">
        <w:trPr>
          <w:trHeight w:val="1380"/>
        </w:trPr>
        <w:tc>
          <w:tcPr>
            <w:tcW w:w="7969" w:type="dxa"/>
            <w:gridSpan w:val="5"/>
            <w:hideMark/>
          </w:tcPr>
          <w:p w:rsidRPr="00C42AF0" w:rsidR="00C42AF0" w:rsidP="00C268A6" w:rsidRDefault="00C42AF0" w14:paraId="34E3E3C3" w14:textId="77777777">
            <w:pPr>
              <w:rPr>
                <w:szCs w:val="18"/>
                <w:lang w:eastAsia="en-US"/>
              </w:rPr>
            </w:pPr>
            <w:r w:rsidRPr="00C42AF0">
              <w:rPr>
                <w:szCs w:val="18"/>
                <w:u w:val="single"/>
                <w:lang w:eastAsia="en-US"/>
              </w:rPr>
              <w:t>Toelichting</w:t>
            </w:r>
            <w:r w:rsidRPr="00C42AF0">
              <w:rPr>
                <w:szCs w:val="18"/>
                <w:lang w:eastAsia="en-US"/>
              </w:rPr>
              <w:t xml:space="preserve">: De lerende evaluatie, uitgevoerd door PBL, heeft beoordeeld of het klimaatbeleid en de inrichting van de </w:t>
            </w:r>
            <w:proofErr w:type="spellStart"/>
            <w:r w:rsidRPr="00C42AF0">
              <w:rPr>
                <w:szCs w:val="18"/>
                <w:lang w:eastAsia="en-US"/>
              </w:rPr>
              <w:t>governance</w:t>
            </w:r>
            <w:proofErr w:type="spellEnd"/>
            <w:r w:rsidRPr="00C42AF0">
              <w:rPr>
                <w:szCs w:val="18"/>
                <w:lang w:eastAsia="en-US"/>
              </w:rPr>
              <w:t xml:space="preserve"> voldoende zijn om klimaatneutraliteit in 2050 te realiseren, en geeft handelingsperspectieven voor de beleidspraktijk om dit te verbeteren. In de lerende evaluatie heeft het PBL gebruik gemaakt van een moderne evaluatie-methodiek, waarin betrokkenen bij beleidsvorming en -uitvoering van het beleid in het proces van de evaluatie betrokken werden.</w:t>
            </w:r>
          </w:p>
        </w:tc>
      </w:tr>
      <w:tr w:rsidRPr="00C42AF0" w:rsidR="00C42AF0" w:rsidTr="00D30D00" w14:paraId="6DC1C365" w14:textId="77777777">
        <w:trPr>
          <w:trHeight w:val="705"/>
        </w:trPr>
        <w:tc>
          <w:tcPr>
            <w:tcW w:w="1861" w:type="dxa"/>
            <w:shd w:val="clear" w:color="auto" w:fill="A5C9EB"/>
            <w:hideMark/>
          </w:tcPr>
          <w:p w:rsidRPr="00C42AF0" w:rsidR="00C42AF0" w:rsidP="00C268A6" w:rsidRDefault="00C42AF0" w14:paraId="5985F68E" w14:textId="77777777">
            <w:pPr>
              <w:rPr>
                <w:b/>
                <w:bCs/>
                <w:szCs w:val="18"/>
                <w:u w:val="single"/>
                <w:lang w:eastAsia="en-US"/>
              </w:rPr>
            </w:pPr>
            <w:hyperlink w:history="1" r:id="rId8">
              <w:r w:rsidRPr="00C42AF0">
                <w:rPr>
                  <w:b/>
                  <w:bCs/>
                  <w:color w:val="467886"/>
                  <w:szCs w:val="18"/>
                  <w:u w:val="single"/>
                  <w:lang w:eastAsia="en-US"/>
                </w:rPr>
                <w:t>Synthese-onderzoek Klimaatbeleid</w:t>
              </w:r>
            </w:hyperlink>
          </w:p>
        </w:tc>
        <w:tc>
          <w:tcPr>
            <w:tcW w:w="1881" w:type="dxa"/>
            <w:shd w:val="clear" w:color="auto" w:fill="A5C9EB"/>
            <w:noWrap/>
            <w:hideMark/>
          </w:tcPr>
          <w:p w:rsidRPr="00C42AF0" w:rsidR="00C42AF0" w:rsidP="00C268A6" w:rsidRDefault="00C42AF0" w14:paraId="03509336" w14:textId="77777777">
            <w:pPr>
              <w:rPr>
                <w:szCs w:val="18"/>
                <w:lang w:eastAsia="en-US"/>
              </w:rPr>
            </w:pPr>
            <w:r w:rsidRPr="00C42AF0">
              <w:rPr>
                <w:szCs w:val="18"/>
                <w:lang w:eastAsia="en-US"/>
              </w:rPr>
              <w:t>Synthese-onderzoek</w:t>
            </w:r>
          </w:p>
        </w:tc>
        <w:tc>
          <w:tcPr>
            <w:tcW w:w="1075" w:type="dxa"/>
            <w:shd w:val="clear" w:color="auto" w:fill="A5C9EB"/>
            <w:noWrap/>
            <w:hideMark/>
          </w:tcPr>
          <w:p w:rsidRPr="00C42AF0" w:rsidR="00C42AF0" w:rsidP="00C268A6" w:rsidRDefault="00C42AF0" w14:paraId="452C2821" w14:textId="77777777">
            <w:pPr>
              <w:rPr>
                <w:szCs w:val="18"/>
                <w:lang w:eastAsia="en-US"/>
              </w:rPr>
            </w:pPr>
            <w:r w:rsidRPr="00C42AF0">
              <w:rPr>
                <w:szCs w:val="18"/>
                <w:lang w:eastAsia="en-US"/>
              </w:rPr>
              <w:t>2024</w:t>
            </w:r>
          </w:p>
        </w:tc>
        <w:tc>
          <w:tcPr>
            <w:tcW w:w="1752" w:type="dxa"/>
            <w:shd w:val="clear" w:color="auto" w:fill="A5C9EB"/>
            <w:hideMark/>
          </w:tcPr>
          <w:p w:rsidRPr="00C42AF0" w:rsidR="00C42AF0" w:rsidP="00C268A6" w:rsidRDefault="00C42AF0" w14:paraId="4A0C4598" w14:textId="77777777">
            <w:pPr>
              <w:rPr>
                <w:szCs w:val="18"/>
                <w:lang w:val="en-US" w:eastAsia="en-US"/>
              </w:rPr>
            </w:pPr>
            <w:r w:rsidRPr="00C42AF0">
              <w:rPr>
                <w:szCs w:val="18"/>
                <w:lang w:val="en-US" w:eastAsia="en-US"/>
              </w:rPr>
              <w:t>Artikel 4 (EZK) + I&amp;W, BZK, LVVN</w:t>
            </w:r>
          </w:p>
        </w:tc>
        <w:tc>
          <w:tcPr>
            <w:tcW w:w="1400" w:type="dxa"/>
            <w:shd w:val="clear" w:color="auto" w:fill="A5C9EB"/>
            <w:noWrap/>
            <w:hideMark/>
          </w:tcPr>
          <w:p w:rsidRPr="00C42AF0" w:rsidR="00C42AF0" w:rsidP="00C268A6" w:rsidRDefault="00C42AF0" w14:paraId="53D6AD43" w14:textId="77777777">
            <w:pPr>
              <w:rPr>
                <w:szCs w:val="18"/>
                <w:lang w:eastAsia="en-US"/>
              </w:rPr>
            </w:pPr>
            <w:r w:rsidRPr="00C42AF0">
              <w:rPr>
                <w:szCs w:val="18"/>
                <w:lang w:eastAsia="en-US"/>
              </w:rPr>
              <w:t xml:space="preserve">€ 12.340 </w:t>
            </w:r>
            <w:proofErr w:type="spellStart"/>
            <w:r w:rsidRPr="00C42AF0">
              <w:rPr>
                <w:szCs w:val="18"/>
                <w:lang w:eastAsia="en-US"/>
              </w:rPr>
              <w:t>mln</w:t>
            </w:r>
            <w:proofErr w:type="spellEnd"/>
          </w:p>
        </w:tc>
      </w:tr>
      <w:tr w:rsidRPr="00C42AF0" w:rsidR="00C42AF0" w:rsidTr="00D30D00" w14:paraId="57C360FD" w14:textId="77777777">
        <w:trPr>
          <w:trHeight w:val="60"/>
        </w:trPr>
        <w:tc>
          <w:tcPr>
            <w:tcW w:w="7969" w:type="dxa"/>
            <w:gridSpan w:val="5"/>
            <w:hideMark/>
          </w:tcPr>
          <w:p w:rsidR="00D30D00" w:rsidP="00C268A6" w:rsidRDefault="00C42AF0" w14:paraId="59D21CFB" w14:textId="77777777">
            <w:pPr>
              <w:rPr>
                <w:szCs w:val="18"/>
                <w:lang w:eastAsia="en-US"/>
              </w:rPr>
            </w:pPr>
            <w:r w:rsidRPr="00C42AF0">
              <w:rPr>
                <w:szCs w:val="18"/>
                <w:u w:val="single"/>
                <w:lang w:eastAsia="en-US"/>
              </w:rPr>
              <w:t>Toelichting</w:t>
            </w:r>
            <w:r w:rsidRPr="00C42AF0">
              <w:rPr>
                <w:szCs w:val="18"/>
                <w:lang w:eastAsia="en-US"/>
              </w:rPr>
              <w:t>: Het synthese-onderzoek heeft de beleidstheorie van het Nederlandse klimaatbeleid gereconstrueerd en een analyse gemaakt van wat we weten over de doeltreffendheid en doelmatigheid van het klimaatbeleid tussen 2019 (Klimaatplan) en de Voorjaarsbesluitvorming 2023. Het synthese-onderzoek is daarbij uitgegaan van de beschikbare instrumentenevaluaties, onderzoeksrapporten en analyses. Het eindrapport is voor de zomer 2024 opgeleverd. De uitkomsten zijn in het nieuwe klimaatplan 2025-2035 betrokken.</w:t>
            </w:r>
          </w:p>
          <w:p w:rsidRPr="00C42AF0" w:rsidR="00D30D00" w:rsidP="00C268A6" w:rsidRDefault="00D30D00" w14:paraId="3D71F4A6" w14:textId="0414E8F4">
            <w:pPr>
              <w:rPr>
                <w:szCs w:val="18"/>
                <w:lang w:eastAsia="en-US"/>
              </w:rPr>
            </w:pPr>
          </w:p>
        </w:tc>
      </w:tr>
    </w:tbl>
    <w:p w:rsidR="00D30D00" w:rsidP="00C268A6" w:rsidRDefault="00D30D00" w14:paraId="57AE151F" w14:textId="77777777"/>
    <w:tbl>
      <w:tblPr>
        <w:tblStyle w:val="Tabelraster1"/>
        <w:tblW w:w="7969" w:type="dxa"/>
        <w:tblLook w:val="04A0" w:firstRow="1" w:lastRow="0" w:firstColumn="1" w:lastColumn="0" w:noHBand="0" w:noVBand="1"/>
      </w:tblPr>
      <w:tblGrid>
        <w:gridCol w:w="3742"/>
        <w:gridCol w:w="4227"/>
      </w:tblGrid>
      <w:tr w:rsidRPr="00C42AF0" w:rsidR="00C42AF0" w:rsidTr="00D30D00" w14:paraId="005DE21B" w14:textId="77777777">
        <w:trPr>
          <w:trHeight w:val="390"/>
        </w:trPr>
        <w:tc>
          <w:tcPr>
            <w:tcW w:w="3742" w:type="dxa"/>
            <w:noWrap/>
            <w:hideMark/>
          </w:tcPr>
          <w:p w:rsidRPr="00C42AF0" w:rsidR="00C42AF0" w:rsidP="00C268A6" w:rsidRDefault="00C42AF0" w14:paraId="7D6CBE32" w14:textId="77777777">
            <w:pPr>
              <w:rPr>
                <w:i/>
                <w:iCs/>
                <w:szCs w:val="18"/>
                <w:lang w:eastAsia="en-US"/>
              </w:rPr>
            </w:pPr>
            <w:r w:rsidRPr="00C42AF0">
              <w:rPr>
                <w:i/>
                <w:iCs/>
                <w:szCs w:val="18"/>
                <w:lang w:eastAsia="en-US"/>
              </w:rPr>
              <w:t>Conclusie/les cf. kabinetsreactie:</w:t>
            </w:r>
          </w:p>
        </w:tc>
        <w:tc>
          <w:tcPr>
            <w:tcW w:w="4227" w:type="dxa"/>
            <w:noWrap/>
            <w:hideMark/>
          </w:tcPr>
          <w:p w:rsidRPr="00C42AF0" w:rsidR="00C42AF0" w:rsidP="00C268A6" w:rsidRDefault="00C42AF0" w14:paraId="4FC980C5" w14:textId="77777777">
            <w:pPr>
              <w:rPr>
                <w:i/>
                <w:iCs/>
                <w:szCs w:val="18"/>
                <w:lang w:eastAsia="en-US"/>
              </w:rPr>
            </w:pPr>
            <w:r w:rsidRPr="00C42AF0">
              <w:rPr>
                <w:i/>
                <w:iCs/>
                <w:szCs w:val="18"/>
                <w:lang w:eastAsia="en-US"/>
              </w:rPr>
              <w:t>Toelichting status opvolging:</w:t>
            </w:r>
          </w:p>
        </w:tc>
      </w:tr>
      <w:tr w:rsidRPr="00C42AF0" w:rsidR="00C42AF0" w:rsidTr="00D30D00" w14:paraId="27FF2E52" w14:textId="77777777">
        <w:trPr>
          <w:trHeight w:val="2011"/>
        </w:trPr>
        <w:tc>
          <w:tcPr>
            <w:tcW w:w="3742" w:type="dxa"/>
            <w:hideMark/>
          </w:tcPr>
          <w:p w:rsidRPr="00C42AF0" w:rsidR="00C42AF0" w:rsidP="00C268A6" w:rsidRDefault="00C42AF0" w14:paraId="2CB7E5CD" w14:textId="77777777">
            <w:pPr>
              <w:rPr>
                <w:szCs w:val="18"/>
                <w:lang w:eastAsia="en-US"/>
              </w:rPr>
            </w:pPr>
            <w:r w:rsidRPr="00C42AF0">
              <w:rPr>
                <w:szCs w:val="18"/>
                <w:lang w:eastAsia="en-US"/>
              </w:rPr>
              <w:t>1. Het klimaatbeleid is nu vooral sectoraal gericht, en moet worden gecompleteerd met een stevigere beleidsinzet op systeemvraagstukken en randvoorwaarden op de weg naar klimaatneutraliteit.</w:t>
            </w:r>
          </w:p>
        </w:tc>
        <w:tc>
          <w:tcPr>
            <w:tcW w:w="4227" w:type="dxa"/>
            <w:hideMark/>
          </w:tcPr>
          <w:p w:rsidRPr="00C42AF0" w:rsidR="00C42AF0" w:rsidP="00C268A6" w:rsidRDefault="00C42AF0" w14:paraId="25F7A199" w14:textId="77777777">
            <w:pPr>
              <w:rPr>
                <w:szCs w:val="18"/>
                <w:lang w:eastAsia="en-US"/>
              </w:rPr>
            </w:pPr>
            <w:r w:rsidRPr="00C42AF0">
              <w:rPr>
                <w:szCs w:val="18"/>
                <w:lang w:eastAsia="en-US"/>
              </w:rPr>
              <w:t>Afgerond: Het kabinet heeft in het Klimaatplan 2025-2035 ingezet op sturing binnen en buiten sectoren. Daarbij zijn de ontwikkeling van een duurzaam energiesysteem, koolstofverwijdering en de ontwikkeling van een circulaire economie (grondstoffentransitie) voorbeelden van onderwerpen in het klimaatbeleid die op de beleidsagenda als doorsnijdende pijlers worden neergezet. Tevens wordt bij de uitwerking van transitiepaden in de verschillende sectoren aandacht geschonken aan de (drie) sleutelfactoren die vanuit systeemperspectief bepalend zijn voor de haalbaarheid van doelen.</w:t>
            </w:r>
          </w:p>
        </w:tc>
      </w:tr>
      <w:tr w:rsidRPr="00C42AF0" w:rsidR="00C42AF0" w:rsidTr="00D30D00" w14:paraId="33B185E5" w14:textId="77777777">
        <w:trPr>
          <w:trHeight w:val="1185"/>
        </w:trPr>
        <w:tc>
          <w:tcPr>
            <w:tcW w:w="3742" w:type="dxa"/>
            <w:hideMark/>
          </w:tcPr>
          <w:p w:rsidRPr="00C42AF0" w:rsidR="00C42AF0" w:rsidP="00C268A6" w:rsidRDefault="00C42AF0" w14:paraId="03A0BB10" w14:textId="77777777">
            <w:pPr>
              <w:rPr>
                <w:szCs w:val="18"/>
                <w:lang w:eastAsia="en-US"/>
              </w:rPr>
            </w:pPr>
            <w:r w:rsidRPr="00C42AF0">
              <w:rPr>
                <w:szCs w:val="18"/>
                <w:lang w:eastAsia="en-US"/>
              </w:rPr>
              <w:t>2. Overwegingen van rechtvaardigheid dienen te worden betrokken en geëxpliciteerd bij besluitvorming over en evaluaties van het klimaatbeleid, naast overwegingen van doelmatigheid en doeltreffendheid.</w:t>
            </w:r>
          </w:p>
        </w:tc>
        <w:tc>
          <w:tcPr>
            <w:tcW w:w="4227" w:type="dxa"/>
            <w:hideMark/>
          </w:tcPr>
          <w:p w:rsidRPr="00C42AF0" w:rsidR="00C42AF0" w:rsidP="00C268A6" w:rsidRDefault="00C42AF0" w14:paraId="4834FBED" w14:textId="77777777">
            <w:pPr>
              <w:rPr>
                <w:szCs w:val="18"/>
                <w:lang w:eastAsia="en-US"/>
              </w:rPr>
            </w:pPr>
            <w:r w:rsidRPr="00C42AF0">
              <w:rPr>
                <w:szCs w:val="18"/>
                <w:lang w:eastAsia="en-US"/>
              </w:rPr>
              <w:t xml:space="preserve">Afgerond: Het Klimaatplan 2025-2035 is expliciet over rechtvaardigheidsprincipes, als onderdeel van de geformuleerde uitgangspunten voor het beleid. Er wordt bezien hoe bij toekomstige evaluaties van het klimaatbeleid kan worden getoetst hoe de uitkomsten van het beleid stroken met deze principes.  </w:t>
            </w:r>
          </w:p>
        </w:tc>
      </w:tr>
      <w:tr w:rsidRPr="00C42AF0" w:rsidR="00C42AF0" w:rsidTr="00D30D00" w14:paraId="6AEDD9F3" w14:textId="77777777">
        <w:trPr>
          <w:trHeight w:val="1410"/>
        </w:trPr>
        <w:tc>
          <w:tcPr>
            <w:tcW w:w="3742" w:type="dxa"/>
            <w:hideMark/>
          </w:tcPr>
          <w:p w:rsidRPr="00C42AF0" w:rsidR="00C42AF0" w:rsidP="00C268A6" w:rsidRDefault="00C42AF0" w14:paraId="5A7E8396" w14:textId="3B2B0349">
            <w:pPr>
              <w:rPr>
                <w:szCs w:val="18"/>
                <w:lang w:eastAsia="en-US"/>
              </w:rPr>
            </w:pPr>
            <w:r w:rsidRPr="00C42AF0">
              <w:rPr>
                <w:szCs w:val="18"/>
                <w:lang w:eastAsia="en-US"/>
              </w:rPr>
              <w:t xml:space="preserve">3. Het beleid heeft effectief bijgedragen aan klimaatdoelen. De evaluatoren concluderen dat de inzet van subsidies niet altijd doelmatig is. De optimale beleidsmix verschilt tussen sectoren. Het is de uitdaging om in de beleidsmix van de sectoren uiteindelijk de juiste balans te vinden tussen (generieke én specifieke) subsidies, </w:t>
            </w:r>
            <w:proofErr w:type="spellStart"/>
            <w:r w:rsidRPr="00C42AF0">
              <w:rPr>
                <w:szCs w:val="18"/>
                <w:lang w:eastAsia="en-US"/>
              </w:rPr>
              <w:t>beprijzende</w:t>
            </w:r>
            <w:proofErr w:type="spellEnd"/>
            <w:r w:rsidR="00C268A6">
              <w:rPr>
                <w:szCs w:val="18"/>
                <w:lang w:eastAsia="en-US"/>
              </w:rPr>
              <w:t xml:space="preserve"> </w:t>
            </w:r>
            <w:r w:rsidRPr="00C42AF0">
              <w:rPr>
                <w:szCs w:val="18"/>
                <w:lang w:eastAsia="en-US"/>
              </w:rPr>
              <w:t xml:space="preserve">instrumenten en normerende instrumenten. </w:t>
            </w:r>
          </w:p>
        </w:tc>
        <w:tc>
          <w:tcPr>
            <w:tcW w:w="4227" w:type="dxa"/>
            <w:hideMark/>
          </w:tcPr>
          <w:p w:rsidRPr="00C42AF0" w:rsidR="00C42AF0" w:rsidP="00C268A6" w:rsidRDefault="00C42AF0" w14:paraId="428B093A" w14:textId="77777777">
            <w:pPr>
              <w:rPr>
                <w:szCs w:val="18"/>
                <w:lang w:eastAsia="en-US"/>
              </w:rPr>
            </w:pPr>
            <w:r w:rsidRPr="00C42AF0">
              <w:rPr>
                <w:szCs w:val="18"/>
                <w:lang w:eastAsia="en-US"/>
              </w:rPr>
              <w:t xml:space="preserve">Afgerond: In het Klimaatplan 2025-2035 is opgenomen dat bij de uitwerking van de beleidsagenda wordt bezien waar aanpassing van het nationaal instrumentarium nodig is om de balans in de beleidsmix te verbeteren. </w:t>
            </w:r>
          </w:p>
        </w:tc>
      </w:tr>
      <w:tr w:rsidRPr="00C42AF0" w:rsidR="00C42AF0" w:rsidTr="00D30D00" w14:paraId="5F19912C" w14:textId="77777777">
        <w:trPr>
          <w:trHeight w:val="2047"/>
        </w:trPr>
        <w:tc>
          <w:tcPr>
            <w:tcW w:w="3742" w:type="dxa"/>
            <w:hideMark/>
          </w:tcPr>
          <w:p w:rsidRPr="00C42AF0" w:rsidR="00C42AF0" w:rsidP="00C268A6" w:rsidRDefault="00C42AF0" w14:paraId="41BE3D2A" w14:textId="7FB7ED32">
            <w:pPr>
              <w:rPr>
                <w:szCs w:val="18"/>
                <w:lang w:eastAsia="en-US"/>
              </w:rPr>
            </w:pPr>
            <w:r w:rsidRPr="00C42AF0">
              <w:rPr>
                <w:szCs w:val="18"/>
                <w:lang w:eastAsia="en-US"/>
              </w:rPr>
              <w:t>4. De afstand tussen klimaatbeleid en samenleving wordt vergroot door een te grote nadruk op technische veranderingen die nodig zijn. Het klimaatbeleid moet dichter bij de leef- en belevingswereld van burgers, bedrijven en maatschappelijke organisaties komen te staan, zodat de energie van de samenleving wordt benut en het eigenaarschap van de transitie wordt vergroot.</w:t>
            </w:r>
          </w:p>
        </w:tc>
        <w:tc>
          <w:tcPr>
            <w:tcW w:w="4227" w:type="dxa"/>
            <w:hideMark/>
          </w:tcPr>
          <w:p w:rsidRPr="00C42AF0" w:rsidR="00C42AF0" w:rsidP="00C268A6" w:rsidRDefault="00C42AF0" w14:paraId="5CF2865D" w14:textId="0ED04AB7">
            <w:pPr>
              <w:rPr>
                <w:szCs w:val="18"/>
                <w:lang w:eastAsia="en-US"/>
              </w:rPr>
            </w:pPr>
            <w:r w:rsidRPr="00C42AF0">
              <w:rPr>
                <w:szCs w:val="18"/>
                <w:lang w:eastAsia="en-US"/>
              </w:rPr>
              <w:t xml:space="preserve">Afgerond: Het kabinet zet reeds meer in op het zoveel mogelijk betrekken van kennis, ervaring en energie van alle groepen in de samenleving bij de beleidsontwikkeling. Het nieuwe Nationaal Klimaat Platform en het initiatief tot een burgerforum zijn hiervan voorbeelden. Ook in de voorbereidingen op het klimaatplan is geïnvesteerd in het betrekken van de samenleving in de verschillende fasen van beleidsvorming. </w:t>
            </w:r>
          </w:p>
        </w:tc>
      </w:tr>
      <w:tr w:rsidRPr="00C42AF0" w:rsidR="00C42AF0" w:rsidTr="00D30D00" w14:paraId="1B84F8E5" w14:textId="77777777">
        <w:trPr>
          <w:trHeight w:val="2047"/>
        </w:trPr>
        <w:tc>
          <w:tcPr>
            <w:tcW w:w="3742" w:type="dxa"/>
          </w:tcPr>
          <w:p w:rsidRPr="00C42AF0" w:rsidR="00C42AF0" w:rsidP="00C268A6" w:rsidRDefault="00C42AF0" w14:paraId="72E33AB2" w14:textId="77777777">
            <w:pPr>
              <w:rPr>
                <w:szCs w:val="18"/>
                <w:lang w:eastAsia="en-US"/>
              </w:rPr>
            </w:pPr>
            <w:r w:rsidRPr="00C42AF0">
              <w:rPr>
                <w:szCs w:val="18"/>
                <w:lang w:eastAsia="en-US"/>
              </w:rPr>
              <w:t xml:space="preserve">5. Lessen voor de evaluatie-agenda van het klimaatbeleid: Het evalueren van transitiebeleid, zoals het klimaatbeleid, vraagt om een andere manier van evalueren. Lerende evaluatiemethoden zijn hiervoor nodig, naast doorlopende monitoring van beleid. </w:t>
            </w:r>
            <w:r w:rsidRPr="00C42AF0">
              <w:rPr>
                <w:szCs w:val="18"/>
                <w:lang w:eastAsia="en-US"/>
              </w:rPr>
              <w:br/>
              <w:t>Ook zal in de Strategische Evaluatie Agenda (SEA) prioritering moeten worden aangebracht op de evaluatie van die instrumenten die belangrijk zijn voor toekomstig evaluatieonderzoek naar de mix van instrumenten in het klimaatbeleid.</w:t>
            </w:r>
          </w:p>
        </w:tc>
        <w:tc>
          <w:tcPr>
            <w:tcW w:w="4227" w:type="dxa"/>
          </w:tcPr>
          <w:p w:rsidRPr="00C42AF0" w:rsidR="00C42AF0" w:rsidP="00C268A6" w:rsidRDefault="00C42AF0" w14:paraId="124FA638" w14:textId="77777777">
            <w:pPr>
              <w:rPr>
                <w:szCs w:val="18"/>
                <w:lang w:eastAsia="en-US"/>
              </w:rPr>
            </w:pPr>
            <w:r w:rsidRPr="00C42AF0">
              <w:rPr>
                <w:szCs w:val="18"/>
                <w:lang w:eastAsia="en-US"/>
              </w:rPr>
              <w:t xml:space="preserve">Afgerond: De lerende evaluatie van PBL en het evaluatieonderzoek door CE Delft zijn de eerste opgavegerichte evaluaties die zijn uitgevoerd sinds de inwerkingtreding van de Klimaatwet in 2019. Het 5-jaarlijkse cyclische karakter van de Klimaatwet past bij uitstek in een lerende cultuur van evalueren: lessen zijn in het nieuwe Klimaatplan direct toegepast. </w:t>
            </w:r>
          </w:p>
          <w:p w:rsidRPr="00C42AF0" w:rsidR="00C42AF0" w:rsidP="00C268A6" w:rsidRDefault="00C42AF0" w14:paraId="14A86705" w14:textId="16723D38">
            <w:pPr>
              <w:rPr>
                <w:szCs w:val="18"/>
                <w:lang w:eastAsia="en-US"/>
              </w:rPr>
            </w:pPr>
            <w:r w:rsidRPr="00C42AF0">
              <w:rPr>
                <w:szCs w:val="18"/>
                <w:lang w:eastAsia="en-US"/>
              </w:rPr>
              <w:t>Omdat het klimaatbeleid veel instrumenten omvat, zal in de Strategische Evaluatie Agenda, zoals ook in het Klimaatplan 2025-2035 is beschreven, prioritering worden aangebracht op de evaluatie van die instrumenten die belangrijk zijn voor toekomstig evaluatieonderzoek naar de mix van instrumenten in het klimaatbeleid. In lijn met de aanbevelingen in het evaluatieonderzoek zal daarbij ook meer aandacht komen voor het evalueren van normerende instrumenten, en naast doelmatigheid en doeltreffendheid ook worden bezien hoe geëvalueerd kan worden op uitkomsten van beleid uit oogpunt van (principes van) rechtvaardigheid. In de aankomende vijfjarige evaluatiecyclus z</w:t>
            </w:r>
            <w:r w:rsidR="00525515">
              <w:rPr>
                <w:szCs w:val="18"/>
                <w:lang w:eastAsia="en-US"/>
              </w:rPr>
              <w:t>ullen</w:t>
            </w:r>
            <w:r w:rsidRPr="00C42AF0">
              <w:rPr>
                <w:szCs w:val="18"/>
                <w:lang w:eastAsia="en-US"/>
              </w:rPr>
              <w:t xml:space="preserve"> ook de doeltreffendheid en de effecten van de Tijdelijke Wet Klimaatfonds, die in 2024 in werking trad, worden geëvalueerd.</w:t>
            </w:r>
          </w:p>
        </w:tc>
      </w:tr>
    </w:tbl>
    <w:p w:rsidRPr="00C42AF0" w:rsidR="00C42AF0" w:rsidP="00C268A6" w:rsidRDefault="00C42AF0" w14:paraId="574D2702" w14:textId="77777777">
      <w:pPr>
        <w:rPr>
          <w:rFonts w:eastAsia="Aptos"/>
          <w:kern w:val="2"/>
          <w:szCs w:val="18"/>
          <w:lang w:eastAsia="en-US"/>
          <w14:ligatures w14:val="standardContextual"/>
        </w:rPr>
      </w:pPr>
    </w:p>
    <w:p w:rsidRPr="002822CA" w:rsidR="00340ECA" w:rsidP="00C268A6" w:rsidRDefault="00340ECA" w14:paraId="065EB55D" w14:textId="77777777"/>
    <w:p w:rsidR="00D22441" w:rsidP="00C268A6" w:rsidRDefault="00D22441" w14:paraId="1D70EC90" w14:textId="77777777"/>
    <w:p w:rsidR="00D22441" w:rsidP="00C268A6" w:rsidRDefault="00DD51F1" w14:paraId="7122D47D" w14:textId="77777777">
      <w:pPr>
        <w:rPr>
          <w:szCs w:val="18"/>
        </w:rPr>
      </w:pPr>
      <w:r w:rsidRPr="005461DA">
        <w:rPr>
          <w:szCs w:val="18"/>
        </w:rPr>
        <w:t>Sophie Hermans</w:t>
      </w:r>
    </w:p>
    <w:p w:rsidR="000C30B7" w:rsidP="00C268A6" w:rsidRDefault="00DD51F1" w14:paraId="6C38270B" w14:textId="33CF7653">
      <w:pPr>
        <w:rPr>
          <w:szCs w:val="18"/>
        </w:rPr>
      </w:pPr>
      <w:r>
        <w:rPr>
          <w:szCs w:val="18"/>
        </w:rPr>
        <w:t>Minister van Klimaat en Groene Groei</w:t>
      </w:r>
    </w:p>
    <w:sectPr w:rsidR="000C30B7"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E69C8" w14:textId="77777777" w:rsidR="00232EAC" w:rsidRDefault="00232EAC">
      <w:r>
        <w:separator/>
      </w:r>
    </w:p>
    <w:p w14:paraId="0D3CF21B" w14:textId="77777777" w:rsidR="00232EAC" w:rsidRDefault="00232EAC"/>
  </w:endnote>
  <w:endnote w:type="continuationSeparator" w:id="0">
    <w:p w14:paraId="5C5EDA76" w14:textId="77777777" w:rsidR="00232EAC" w:rsidRDefault="00232EAC">
      <w:r>
        <w:continuationSeparator/>
      </w:r>
    </w:p>
    <w:p w14:paraId="3DEFBA8F" w14:textId="77777777" w:rsidR="00232EAC" w:rsidRDefault="00232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B943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82FE5" w14:paraId="35DA8890" w14:textId="77777777" w:rsidTr="00CA6A25">
      <w:trPr>
        <w:trHeight w:hRule="exact" w:val="240"/>
      </w:trPr>
      <w:tc>
        <w:tcPr>
          <w:tcW w:w="7601" w:type="dxa"/>
          <w:shd w:val="clear" w:color="auto" w:fill="auto"/>
        </w:tcPr>
        <w:p w14:paraId="03F2FFE5" w14:textId="77777777" w:rsidR="00527BD4" w:rsidRDefault="00527BD4" w:rsidP="003F1F6B">
          <w:pPr>
            <w:pStyle w:val="Huisstijl-Rubricering"/>
          </w:pPr>
        </w:p>
      </w:tc>
      <w:tc>
        <w:tcPr>
          <w:tcW w:w="2156" w:type="dxa"/>
        </w:tcPr>
        <w:p w14:paraId="1C4FA0DA" w14:textId="3A90071E" w:rsidR="00527BD4" w:rsidRPr="00645414" w:rsidRDefault="00DD51F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E37DE">
            <w:t>4</w:t>
          </w:r>
          <w:r w:rsidR="00BC222D">
            <w:fldChar w:fldCharType="end"/>
          </w:r>
        </w:p>
      </w:tc>
    </w:tr>
  </w:tbl>
  <w:p w14:paraId="1BB5CD1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82FE5" w14:paraId="1A0FAC62" w14:textId="77777777" w:rsidTr="00CA6A25">
      <w:trPr>
        <w:trHeight w:hRule="exact" w:val="240"/>
      </w:trPr>
      <w:tc>
        <w:tcPr>
          <w:tcW w:w="7601" w:type="dxa"/>
          <w:shd w:val="clear" w:color="auto" w:fill="auto"/>
        </w:tcPr>
        <w:p w14:paraId="06EB238C" w14:textId="77777777" w:rsidR="00527BD4" w:rsidRDefault="00527BD4" w:rsidP="008C356D">
          <w:pPr>
            <w:pStyle w:val="Huisstijl-Rubricering"/>
          </w:pPr>
        </w:p>
      </w:tc>
      <w:tc>
        <w:tcPr>
          <w:tcW w:w="2170" w:type="dxa"/>
        </w:tcPr>
        <w:p w14:paraId="05BF6198" w14:textId="50FF8E07" w:rsidR="00527BD4" w:rsidRPr="00ED539E" w:rsidRDefault="00DD51F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EE37DE">
            <w:t>4</w:t>
          </w:r>
          <w:r w:rsidR="00BC222D">
            <w:fldChar w:fldCharType="end"/>
          </w:r>
        </w:p>
      </w:tc>
    </w:tr>
  </w:tbl>
  <w:p w14:paraId="6654ECDD" w14:textId="77777777" w:rsidR="00527BD4" w:rsidRPr="00BC3B53" w:rsidRDefault="00527BD4" w:rsidP="008C356D">
    <w:pPr>
      <w:pStyle w:val="Voettekst"/>
      <w:spacing w:line="240" w:lineRule="auto"/>
      <w:rPr>
        <w:sz w:val="2"/>
        <w:szCs w:val="2"/>
      </w:rPr>
    </w:pPr>
  </w:p>
  <w:p w14:paraId="630FBC2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D8AB" w14:textId="77777777" w:rsidR="00232EAC" w:rsidRDefault="00232EAC">
      <w:r>
        <w:separator/>
      </w:r>
    </w:p>
    <w:p w14:paraId="2D5DE6B9" w14:textId="77777777" w:rsidR="00232EAC" w:rsidRDefault="00232EAC"/>
  </w:footnote>
  <w:footnote w:type="continuationSeparator" w:id="0">
    <w:p w14:paraId="0782196D" w14:textId="77777777" w:rsidR="00232EAC" w:rsidRDefault="00232EAC">
      <w:r>
        <w:continuationSeparator/>
      </w:r>
    </w:p>
    <w:p w14:paraId="251626FE" w14:textId="77777777" w:rsidR="00232EAC" w:rsidRDefault="00232EAC"/>
  </w:footnote>
  <w:footnote w:id="1">
    <w:p w14:paraId="45DE4BF2" w14:textId="77777777" w:rsidR="00C42AF0" w:rsidRPr="00C268A6" w:rsidRDefault="00C42AF0" w:rsidP="00C42AF0">
      <w:pPr>
        <w:pStyle w:val="Voetnoottekst"/>
        <w:rPr>
          <w:szCs w:val="13"/>
        </w:rPr>
      </w:pPr>
      <w:r w:rsidRPr="00C268A6">
        <w:rPr>
          <w:rStyle w:val="Voetnootmarkering"/>
          <w:szCs w:val="13"/>
        </w:rPr>
        <w:footnoteRef/>
      </w:r>
      <w:r w:rsidRPr="00C268A6">
        <w:rPr>
          <w:szCs w:val="13"/>
        </w:rPr>
        <w:t xml:space="preserve"> </w:t>
      </w:r>
      <w:hyperlink r:id="rId1" w:history="1">
        <w:r w:rsidRPr="00C268A6">
          <w:rPr>
            <w:rStyle w:val="Hyperlink"/>
            <w:szCs w:val="13"/>
          </w:rPr>
          <w:t>Kamerstukken II, 2024/25, 31865, nr. 267</w:t>
        </w:r>
      </w:hyperlink>
      <w:r w:rsidRPr="00C268A6">
        <w:rPr>
          <w:rStyle w:val="Hyperlink"/>
          <w:color w:val="auto"/>
          <w:szCs w:val="13"/>
          <w:u w:val="none"/>
        </w:rPr>
        <w:t>, d.d. 17-12-2024</w:t>
      </w:r>
      <w:r w:rsidRPr="00C268A6">
        <w:rPr>
          <w:rStyle w:val="Hyperlink"/>
          <w:color w:val="auto"/>
          <w:szCs w:val="13"/>
        </w:rPr>
        <w:t xml:space="preserve"> </w:t>
      </w:r>
    </w:p>
  </w:footnote>
  <w:footnote w:id="2">
    <w:p w14:paraId="7C14630B" w14:textId="77777777" w:rsidR="00C42AF0" w:rsidRPr="00C268A6" w:rsidRDefault="00C42AF0" w:rsidP="00C42AF0">
      <w:pPr>
        <w:pStyle w:val="Voetnoottekst"/>
        <w:rPr>
          <w:szCs w:val="13"/>
        </w:rPr>
      </w:pPr>
      <w:r w:rsidRPr="00C268A6">
        <w:rPr>
          <w:rStyle w:val="Voetnootmarkering"/>
          <w:szCs w:val="13"/>
        </w:rPr>
        <w:footnoteRef/>
      </w:r>
      <w:r w:rsidRPr="00C268A6">
        <w:rPr>
          <w:szCs w:val="13"/>
        </w:rPr>
        <w:t xml:space="preserve"> </w:t>
      </w:r>
      <w:hyperlink r:id="rId2" w:history="1">
        <w:r w:rsidRPr="00C268A6">
          <w:rPr>
            <w:rStyle w:val="Hyperlink"/>
            <w:szCs w:val="13"/>
          </w:rPr>
          <w:t>Kamerstukken II, 2023/24, 36470, nr. 6</w:t>
        </w:r>
      </w:hyperlink>
      <w:r w:rsidRPr="00C268A6">
        <w:rPr>
          <w:szCs w:val="13"/>
        </w:rPr>
        <w:t>, d.d. 19-12-2023</w:t>
      </w:r>
    </w:p>
  </w:footnote>
  <w:footnote w:id="3">
    <w:p w14:paraId="35289EEC" w14:textId="77777777" w:rsidR="00C42AF0" w:rsidRPr="00C268A6" w:rsidRDefault="00C42AF0" w:rsidP="00C42AF0">
      <w:pPr>
        <w:pStyle w:val="Voetnoottekst"/>
        <w:rPr>
          <w:szCs w:val="13"/>
        </w:rPr>
      </w:pPr>
      <w:r w:rsidRPr="00C268A6">
        <w:rPr>
          <w:rStyle w:val="Voetnootmarkering"/>
          <w:szCs w:val="13"/>
        </w:rPr>
        <w:footnoteRef/>
      </w:r>
      <w:r w:rsidRPr="00C268A6">
        <w:rPr>
          <w:szCs w:val="13"/>
        </w:rPr>
        <w:t xml:space="preserve"> </w:t>
      </w:r>
      <w:hyperlink r:id="rId3" w:history="1">
        <w:r w:rsidRPr="00C268A6">
          <w:rPr>
            <w:rStyle w:val="Hyperlink"/>
            <w:szCs w:val="13"/>
          </w:rPr>
          <w:t>Eindrapport Lerende evaluatie Klimaatbeleid</w:t>
        </w:r>
      </w:hyperlink>
      <w:r w:rsidRPr="00C268A6">
        <w:rPr>
          <w:szCs w:val="13"/>
        </w:rPr>
        <w:t>, d.d. 01-05-2024 (PBL)</w:t>
      </w:r>
    </w:p>
  </w:footnote>
  <w:footnote w:id="4">
    <w:p w14:paraId="72659C5F" w14:textId="77777777" w:rsidR="00C42AF0" w:rsidRPr="00C268A6" w:rsidRDefault="00C42AF0" w:rsidP="00C42AF0">
      <w:pPr>
        <w:pStyle w:val="Voetnoottekst"/>
        <w:rPr>
          <w:szCs w:val="13"/>
        </w:rPr>
      </w:pPr>
      <w:r w:rsidRPr="00C268A6">
        <w:rPr>
          <w:rStyle w:val="Voetnootmarkering"/>
          <w:szCs w:val="13"/>
        </w:rPr>
        <w:footnoteRef/>
      </w:r>
      <w:r w:rsidRPr="00C268A6">
        <w:rPr>
          <w:szCs w:val="13"/>
        </w:rPr>
        <w:t xml:space="preserve"> </w:t>
      </w:r>
      <w:hyperlink r:id="rId4" w:history="1">
        <w:r w:rsidRPr="00C268A6">
          <w:rPr>
            <w:rStyle w:val="Hyperlink"/>
            <w:szCs w:val="13"/>
          </w:rPr>
          <w:t>Kamerstukken II, 2023/24, 32813, nr. 1401</w:t>
        </w:r>
      </w:hyperlink>
      <w:r w:rsidRPr="00C268A6">
        <w:rPr>
          <w:szCs w:val="13"/>
        </w:rPr>
        <w:t>, d.d. 14-06-2024</w:t>
      </w:r>
    </w:p>
  </w:footnote>
  <w:footnote w:id="5">
    <w:p w14:paraId="3F2CE425" w14:textId="77777777" w:rsidR="00C42AF0" w:rsidRPr="00C268A6" w:rsidRDefault="00C42AF0" w:rsidP="00C42AF0">
      <w:pPr>
        <w:pStyle w:val="Voetnoottekst"/>
        <w:rPr>
          <w:szCs w:val="13"/>
        </w:rPr>
      </w:pPr>
      <w:r w:rsidRPr="00C268A6">
        <w:rPr>
          <w:rStyle w:val="Voetnootmarkering"/>
          <w:szCs w:val="13"/>
        </w:rPr>
        <w:footnoteRef/>
      </w:r>
      <w:r w:rsidRPr="00C268A6">
        <w:rPr>
          <w:szCs w:val="13"/>
        </w:rPr>
        <w:t xml:space="preserve"> </w:t>
      </w:r>
      <w:hyperlink r:id="rId5" w:history="1">
        <w:r w:rsidRPr="00C268A6">
          <w:rPr>
            <w:rStyle w:val="Hyperlink"/>
            <w:szCs w:val="13"/>
          </w:rPr>
          <w:t>Kamerstukken II, 2024/25, 32813, nr. 1501</w:t>
        </w:r>
      </w:hyperlink>
      <w:r w:rsidRPr="00C268A6">
        <w:rPr>
          <w:szCs w:val="13"/>
        </w:rPr>
        <w:t>, d.d. 14-03-2025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82FE5" w14:paraId="6B3B7C56" w14:textId="77777777" w:rsidTr="00A50CF6">
      <w:tc>
        <w:tcPr>
          <w:tcW w:w="2156" w:type="dxa"/>
          <w:shd w:val="clear" w:color="auto" w:fill="auto"/>
        </w:tcPr>
        <w:p w14:paraId="77BEBBE7" w14:textId="77777777" w:rsidR="00527BD4" w:rsidRPr="005819CE" w:rsidRDefault="00DD51F1" w:rsidP="00A50CF6">
          <w:pPr>
            <w:pStyle w:val="Huisstijl-Adres"/>
            <w:rPr>
              <w:b/>
            </w:rPr>
          </w:pPr>
          <w:r>
            <w:rPr>
              <w:b/>
            </w:rPr>
            <w:t>Directie Financieel Economische Zaken</w:t>
          </w:r>
          <w:r w:rsidRPr="005819CE">
            <w:rPr>
              <w:b/>
            </w:rPr>
            <w:br/>
          </w:r>
        </w:p>
      </w:tc>
    </w:tr>
    <w:tr w:rsidR="00282FE5" w14:paraId="664D75A6" w14:textId="77777777" w:rsidTr="00A50CF6">
      <w:trPr>
        <w:trHeight w:hRule="exact" w:val="200"/>
      </w:trPr>
      <w:tc>
        <w:tcPr>
          <w:tcW w:w="2156" w:type="dxa"/>
          <w:shd w:val="clear" w:color="auto" w:fill="auto"/>
        </w:tcPr>
        <w:p w14:paraId="641DCCFA" w14:textId="77777777" w:rsidR="00527BD4" w:rsidRPr="005819CE" w:rsidRDefault="00527BD4" w:rsidP="00A50CF6"/>
      </w:tc>
    </w:tr>
    <w:tr w:rsidR="00282FE5" w14:paraId="2946F7F4" w14:textId="77777777" w:rsidTr="00502512">
      <w:trPr>
        <w:trHeight w:hRule="exact" w:val="774"/>
      </w:trPr>
      <w:tc>
        <w:tcPr>
          <w:tcW w:w="2156" w:type="dxa"/>
          <w:shd w:val="clear" w:color="auto" w:fill="auto"/>
        </w:tcPr>
        <w:p w14:paraId="44A7518C" w14:textId="77777777" w:rsidR="00527BD4" w:rsidRDefault="00DD51F1" w:rsidP="003A5290">
          <w:pPr>
            <w:pStyle w:val="Huisstijl-Kopje"/>
          </w:pPr>
          <w:r>
            <w:t>Ons kenmerk</w:t>
          </w:r>
        </w:p>
        <w:p w14:paraId="61F04571" w14:textId="77777777" w:rsidR="00502512" w:rsidRPr="00502512" w:rsidRDefault="00DD51F1" w:rsidP="003A5290">
          <w:pPr>
            <w:pStyle w:val="Huisstijl-Kopje"/>
            <w:rPr>
              <w:b w:val="0"/>
            </w:rPr>
          </w:pPr>
          <w:r>
            <w:rPr>
              <w:b w:val="0"/>
            </w:rPr>
            <w:t>FEZ</w:t>
          </w:r>
          <w:r w:rsidRPr="00502512">
            <w:rPr>
              <w:b w:val="0"/>
            </w:rPr>
            <w:t xml:space="preserve"> / </w:t>
          </w:r>
          <w:r>
            <w:rPr>
              <w:b w:val="0"/>
            </w:rPr>
            <w:t>98555747</w:t>
          </w:r>
        </w:p>
        <w:p w14:paraId="59A4FB3B" w14:textId="77777777" w:rsidR="00527BD4" w:rsidRPr="005819CE" w:rsidRDefault="00527BD4" w:rsidP="00361A56">
          <w:pPr>
            <w:pStyle w:val="Huisstijl-Kopje"/>
          </w:pPr>
        </w:p>
      </w:tc>
    </w:tr>
  </w:tbl>
  <w:p w14:paraId="22A3063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82FE5" w14:paraId="4B243B6E" w14:textId="77777777" w:rsidTr="00751A6A">
      <w:trPr>
        <w:trHeight w:val="2636"/>
      </w:trPr>
      <w:tc>
        <w:tcPr>
          <w:tcW w:w="737" w:type="dxa"/>
          <w:shd w:val="clear" w:color="auto" w:fill="auto"/>
        </w:tcPr>
        <w:p w14:paraId="41856FB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71BF9D4" w14:textId="77777777" w:rsidR="00527BD4" w:rsidRDefault="00DD51F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17A45EB" wp14:editId="2AD9414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74C09E4" w14:textId="77777777" w:rsidR="007269E3" w:rsidRDefault="007269E3" w:rsidP="00651CEE">
          <w:pPr>
            <w:framePr w:w="6340" w:h="2750" w:hRule="exact" w:hSpace="180" w:wrap="around" w:vAnchor="page" w:hAnchor="text" w:x="3873" w:y="-140"/>
            <w:spacing w:line="240" w:lineRule="auto"/>
          </w:pPr>
        </w:p>
      </w:tc>
    </w:tr>
  </w:tbl>
  <w:p w14:paraId="4808CF5D" w14:textId="77777777" w:rsidR="00527BD4" w:rsidRDefault="00527BD4" w:rsidP="00D0609E">
    <w:pPr>
      <w:framePr w:w="6340" w:h="2750" w:hRule="exact" w:hSpace="180" w:wrap="around" w:vAnchor="page" w:hAnchor="text" w:x="3873" w:y="-140"/>
    </w:pPr>
  </w:p>
  <w:p w14:paraId="15080BE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82FE5" w:rsidRPr="00C268A6" w14:paraId="4B4506B6" w14:textId="77777777" w:rsidTr="00A50CF6">
      <w:tc>
        <w:tcPr>
          <w:tcW w:w="2160" w:type="dxa"/>
          <w:shd w:val="clear" w:color="auto" w:fill="auto"/>
        </w:tcPr>
        <w:p w14:paraId="70BDBD69" w14:textId="77777777" w:rsidR="00527BD4" w:rsidRPr="005819CE" w:rsidRDefault="00DD51F1" w:rsidP="00A50CF6">
          <w:pPr>
            <w:pStyle w:val="Huisstijl-Adres"/>
            <w:rPr>
              <w:b/>
            </w:rPr>
          </w:pPr>
          <w:r>
            <w:rPr>
              <w:b/>
            </w:rPr>
            <w:t>Directie Financieel Economische Zaken</w:t>
          </w:r>
          <w:r w:rsidRPr="005819CE">
            <w:rPr>
              <w:b/>
            </w:rPr>
            <w:br/>
          </w:r>
        </w:p>
        <w:p w14:paraId="3A186832" w14:textId="77777777" w:rsidR="00527BD4" w:rsidRPr="00BE5ED9" w:rsidRDefault="00DD51F1" w:rsidP="00A50CF6">
          <w:pPr>
            <w:pStyle w:val="Huisstijl-Adres"/>
          </w:pPr>
          <w:r>
            <w:rPr>
              <w:b/>
            </w:rPr>
            <w:t>Bezoekadres</w:t>
          </w:r>
          <w:r>
            <w:rPr>
              <w:b/>
            </w:rPr>
            <w:br/>
          </w:r>
          <w:r>
            <w:t>Bezuidenhoutseweg 73</w:t>
          </w:r>
          <w:r w:rsidRPr="005819CE">
            <w:br/>
          </w:r>
          <w:r>
            <w:t>2594 AC Den Haag</w:t>
          </w:r>
        </w:p>
        <w:p w14:paraId="5562142A" w14:textId="77777777" w:rsidR="00EF495B" w:rsidRDefault="00DD51F1" w:rsidP="0098788A">
          <w:pPr>
            <w:pStyle w:val="Huisstijl-Adres"/>
          </w:pPr>
          <w:r>
            <w:rPr>
              <w:b/>
            </w:rPr>
            <w:t>Postadres</w:t>
          </w:r>
          <w:r>
            <w:rPr>
              <w:b/>
            </w:rPr>
            <w:br/>
          </w:r>
          <w:r>
            <w:t>Postbus 20401</w:t>
          </w:r>
          <w:r w:rsidRPr="005819CE">
            <w:br/>
            <w:t>2500 E</w:t>
          </w:r>
          <w:r>
            <w:t>K</w:t>
          </w:r>
          <w:r w:rsidRPr="005819CE">
            <w:t xml:space="preserve"> Den Haag</w:t>
          </w:r>
        </w:p>
        <w:p w14:paraId="2EAC6C78" w14:textId="77777777" w:rsidR="00EF495B" w:rsidRPr="005B3814" w:rsidRDefault="00DD51F1" w:rsidP="0098788A">
          <w:pPr>
            <w:pStyle w:val="Huisstijl-Adres"/>
          </w:pPr>
          <w:r>
            <w:rPr>
              <w:b/>
            </w:rPr>
            <w:t>Overheidsidentificatienr</w:t>
          </w:r>
          <w:r>
            <w:rPr>
              <w:b/>
            </w:rPr>
            <w:br/>
          </w:r>
          <w:r w:rsidR="002D0DDB" w:rsidRPr="002D0DDB">
            <w:t>00000003952069570000</w:t>
          </w:r>
        </w:p>
        <w:p w14:paraId="27CA0FF0" w14:textId="77777777" w:rsidR="00EF495B" w:rsidRPr="0079551B" w:rsidRDefault="00DD51F1"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51ABEA36" w14:textId="4D0C0A9C" w:rsidR="00527BD4" w:rsidRPr="00503AAB" w:rsidRDefault="00527BD4" w:rsidP="00A50CF6">
          <w:pPr>
            <w:pStyle w:val="Huisstijl-Adres"/>
          </w:pPr>
        </w:p>
      </w:tc>
    </w:tr>
    <w:tr w:rsidR="00282FE5" w:rsidRPr="00C268A6" w14:paraId="78B062A2" w14:textId="77777777" w:rsidTr="00A50CF6">
      <w:trPr>
        <w:trHeight w:hRule="exact" w:val="200"/>
      </w:trPr>
      <w:tc>
        <w:tcPr>
          <w:tcW w:w="2160" w:type="dxa"/>
          <w:shd w:val="clear" w:color="auto" w:fill="auto"/>
        </w:tcPr>
        <w:p w14:paraId="321F5FF1" w14:textId="77777777" w:rsidR="00527BD4" w:rsidRPr="00503AAB" w:rsidRDefault="00527BD4" w:rsidP="00A50CF6"/>
      </w:tc>
    </w:tr>
    <w:tr w:rsidR="00282FE5" w14:paraId="422C35E4" w14:textId="77777777" w:rsidTr="00A50CF6">
      <w:tc>
        <w:tcPr>
          <w:tcW w:w="2160" w:type="dxa"/>
          <w:shd w:val="clear" w:color="auto" w:fill="auto"/>
        </w:tcPr>
        <w:p w14:paraId="21C4E900" w14:textId="77777777" w:rsidR="000C0163" w:rsidRPr="005819CE" w:rsidRDefault="00DD51F1" w:rsidP="000C0163">
          <w:pPr>
            <w:pStyle w:val="Huisstijl-Kopje"/>
          </w:pPr>
          <w:r>
            <w:t>Ons kenmerk</w:t>
          </w:r>
          <w:r w:rsidRPr="005819CE">
            <w:t xml:space="preserve"> </w:t>
          </w:r>
        </w:p>
        <w:p w14:paraId="3C63226B" w14:textId="33741EE4" w:rsidR="00527BD4" w:rsidRPr="005819CE" w:rsidRDefault="00DD51F1" w:rsidP="00A50CF6">
          <w:pPr>
            <w:pStyle w:val="Huisstijl-Gegeven"/>
          </w:pPr>
          <w:r>
            <w:t>FEZ</w:t>
          </w:r>
          <w:r w:rsidR="00926AE2">
            <w:t xml:space="preserve"> / </w:t>
          </w:r>
          <w:r>
            <w:t>98555747</w:t>
          </w:r>
        </w:p>
      </w:tc>
    </w:tr>
  </w:tbl>
  <w:p w14:paraId="351C4F8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82FE5" w14:paraId="165A18B5" w14:textId="77777777" w:rsidTr="007610AA">
      <w:trPr>
        <w:trHeight w:val="400"/>
      </w:trPr>
      <w:tc>
        <w:tcPr>
          <w:tcW w:w="7520" w:type="dxa"/>
          <w:gridSpan w:val="2"/>
          <w:shd w:val="clear" w:color="auto" w:fill="auto"/>
        </w:tcPr>
        <w:p w14:paraId="1A24F1B9" w14:textId="77777777" w:rsidR="00527BD4" w:rsidRPr="00BC3B53" w:rsidRDefault="00DD51F1" w:rsidP="00A50CF6">
          <w:pPr>
            <w:pStyle w:val="Huisstijl-Retouradres"/>
          </w:pPr>
          <w:r>
            <w:t>&gt; Retouradres Postbus 20401 2500 EK Den Haag</w:t>
          </w:r>
        </w:p>
      </w:tc>
    </w:tr>
    <w:tr w:rsidR="00282FE5" w14:paraId="5A400902" w14:textId="77777777" w:rsidTr="007610AA">
      <w:tc>
        <w:tcPr>
          <w:tcW w:w="7520" w:type="dxa"/>
          <w:gridSpan w:val="2"/>
          <w:shd w:val="clear" w:color="auto" w:fill="auto"/>
        </w:tcPr>
        <w:p w14:paraId="19728AB5" w14:textId="77777777" w:rsidR="00527BD4" w:rsidRPr="00983E8F" w:rsidRDefault="00527BD4" w:rsidP="00A50CF6">
          <w:pPr>
            <w:pStyle w:val="Huisstijl-Rubricering"/>
          </w:pPr>
        </w:p>
      </w:tc>
    </w:tr>
    <w:tr w:rsidR="00282FE5" w14:paraId="40BADA55" w14:textId="77777777" w:rsidTr="007610AA">
      <w:trPr>
        <w:trHeight w:hRule="exact" w:val="2440"/>
      </w:trPr>
      <w:tc>
        <w:tcPr>
          <w:tcW w:w="7520" w:type="dxa"/>
          <w:gridSpan w:val="2"/>
          <w:shd w:val="clear" w:color="auto" w:fill="auto"/>
        </w:tcPr>
        <w:p w14:paraId="2E96CFA6" w14:textId="77777777" w:rsidR="00C268A6" w:rsidRPr="008F06CE" w:rsidRDefault="00C268A6" w:rsidP="007D1CDF">
          <w:pPr>
            <w:tabs>
              <w:tab w:val="left" w:pos="5580"/>
            </w:tabs>
            <w:rPr>
              <w:szCs w:val="18"/>
            </w:rPr>
          </w:pPr>
          <w:r w:rsidRPr="008F06CE">
            <w:rPr>
              <w:szCs w:val="18"/>
            </w:rPr>
            <w:t>De Voorzitter van de Tweede Kamer</w:t>
          </w:r>
        </w:p>
        <w:p w14:paraId="6AA8ED97" w14:textId="77777777" w:rsidR="00C268A6" w:rsidRPr="008F06CE" w:rsidRDefault="00C268A6" w:rsidP="007D1CDF">
          <w:pPr>
            <w:tabs>
              <w:tab w:val="left" w:pos="5580"/>
            </w:tabs>
            <w:rPr>
              <w:szCs w:val="18"/>
            </w:rPr>
          </w:pPr>
          <w:r w:rsidRPr="008F06CE">
            <w:rPr>
              <w:szCs w:val="18"/>
            </w:rPr>
            <w:t>der Staten-Generaal</w:t>
          </w:r>
        </w:p>
        <w:p w14:paraId="6DAFB556" w14:textId="77777777" w:rsidR="00C268A6" w:rsidRPr="000F5C1D" w:rsidRDefault="00C268A6" w:rsidP="007D1CDF">
          <w:pPr>
            <w:tabs>
              <w:tab w:val="left" w:pos="5580"/>
            </w:tabs>
            <w:rPr>
              <w:szCs w:val="18"/>
            </w:rPr>
          </w:pPr>
          <w:r w:rsidRPr="000F5C1D">
            <w:rPr>
              <w:szCs w:val="18"/>
            </w:rPr>
            <w:t>Prinses Irenestraat 6</w:t>
          </w:r>
        </w:p>
        <w:p w14:paraId="08CC8B46" w14:textId="77777777" w:rsidR="00C268A6" w:rsidRPr="009A0EEB" w:rsidRDefault="00C268A6" w:rsidP="007D1CDF">
          <w:pPr>
            <w:tabs>
              <w:tab w:val="left" w:pos="5580"/>
            </w:tabs>
            <w:rPr>
              <w:szCs w:val="18"/>
            </w:rPr>
          </w:pPr>
          <w:r w:rsidRPr="000F5C1D">
            <w:rPr>
              <w:szCs w:val="18"/>
            </w:rPr>
            <w:t>2595 BD  DEN HAAG</w:t>
          </w:r>
        </w:p>
        <w:p w14:paraId="65A687F6" w14:textId="40022D76" w:rsidR="00527BD4" w:rsidRDefault="00527BD4" w:rsidP="00A50CF6">
          <w:pPr>
            <w:pStyle w:val="Huisstijl-NAW"/>
          </w:pPr>
        </w:p>
      </w:tc>
    </w:tr>
    <w:tr w:rsidR="00282FE5" w14:paraId="2CF45A48" w14:textId="77777777" w:rsidTr="007610AA">
      <w:trPr>
        <w:trHeight w:hRule="exact" w:val="400"/>
      </w:trPr>
      <w:tc>
        <w:tcPr>
          <w:tcW w:w="7520" w:type="dxa"/>
          <w:gridSpan w:val="2"/>
          <w:shd w:val="clear" w:color="auto" w:fill="auto"/>
        </w:tcPr>
        <w:p w14:paraId="5B56D34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82FE5" w14:paraId="7686D3F1" w14:textId="77777777" w:rsidTr="007610AA">
      <w:trPr>
        <w:trHeight w:val="240"/>
      </w:trPr>
      <w:tc>
        <w:tcPr>
          <w:tcW w:w="900" w:type="dxa"/>
          <w:shd w:val="clear" w:color="auto" w:fill="auto"/>
        </w:tcPr>
        <w:p w14:paraId="35384FED" w14:textId="77777777" w:rsidR="00527BD4" w:rsidRPr="007709EF" w:rsidRDefault="00DD51F1" w:rsidP="00A50CF6">
          <w:pPr>
            <w:rPr>
              <w:szCs w:val="18"/>
            </w:rPr>
          </w:pPr>
          <w:r>
            <w:rPr>
              <w:szCs w:val="18"/>
            </w:rPr>
            <w:t>Datum</w:t>
          </w:r>
        </w:p>
      </w:tc>
      <w:tc>
        <w:tcPr>
          <w:tcW w:w="6620" w:type="dxa"/>
          <w:shd w:val="clear" w:color="auto" w:fill="auto"/>
        </w:tcPr>
        <w:p w14:paraId="4C5F13C9" w14:textId="7F07CECA" w:rsidR="00527BD4" w:rsidRPr="007709EF" w:rsidRDefault="003877FF" w:rsidP="00A50CF6">
          <w:r>
            <w:t>21 mei 2025</w:t>
          </w:r>
        </w:p>
      </w:tc>
    </w:tr>
    <w:tr w:rsidR="00282FE5" w14:paraId="4BA48A87" w14:textId="77777777" w:rsidTr="007610AA">
      <w:trPr>
        <w:trHeight w:val="240"/>
      </w:trPr>
      <w:tc>
        <w:tcPr>
          <w:tcW w:w="900" w:type="dxa"/>
          <w:shd w:val="clear" w:color="auto" w:fill="auto"/>
        </w:tcPr>
        <w:p w14:paraId="2D7DC128" w14:textId="77777777" w:rsidR="00527BD4" w:rsidRPr="007709EF" w:rsidRDefault="00DD51F1" w:rsidP="00A50CF6">
          <w:pPr>
            <w:rPr>
              <w:szCs w:val="18"/>
            </w:rPr>
          </w:pPr>
          <w:r>
            <w:rPr>
              <w:szCs w:val="18"/>
            </w:rPr>
            <w:t>Betreft</w:t>
          </w:r>
        </w:p>
      </w:tc>
      <w:tc>
        <w:tcPr>
          <w:tcW w:w="6620" w:type="dxa"/>
          <w:shd w:val="clear" w:color="auto" w:fill="auto"/>
        </w:tcPr>
        <w:p w14:paraId="4C67F811" w14:textId="77777777" w:rsidR="00527BD4" w:rsidRPr="007709EF" w:rsidRDefault="00DD51F1" w:rsidP="00A50CF6">
          <w:r>
            <w:t>Opvolging in beeld: afgeronde periodieke rapportages KGG in 2024</w:t>
          </w:r>
        </w:p>
      </w:tc>
    </w:tr>
  </w:tbl>
  <w:p w14:paraId="02633B8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246DD6">
      <w:start w:val="1"/>
      <w:numFmt w:val="bullet"/>
      <w:pStyle w:val="Lijstopsomteken"/>
      <w:lvlText w:val="•"/>
      <w:lvlJc w:val="left"/>
      <w:pPr>
        <w:tabs>
          <w:tab w:val="num" w:pos="227"/>
        </w:tabs>
        <w:ind w:left="227" w:hanging="227"/>
      </w:pPr>
      <w:rPr>
        <w:rFonts w:ascii="Verdana" w:hAnsi="Verdana" w:hint="default"/>
        <w:sz w:val="18"/>
        <w:szCs w:val="18"/>
      </w:rPr>
    </w:lvl>
    <w:lvl w:ilvl="1" w:tplc="469654F0" w:tentative="1">
      <w:start w:val="1"/>
      <w:numFmt w:val="bullet"/>
      <w:lvlText w:val="o"/>
      <w:lvlJc w:val="left"/>
      <w:pPr>
        <w:tabs>
          <w:tab w:val="num" w:pos="1440"/>
        </w:tabs>
        <w:ind w:left="1440" w:hanging="360"/>
      </w:pPr>
      <w:rPr>
        <w:rFonts w:ascii="Courier New" w:hAnsi="Courier New" w:cs="Courier New" w:hint="default"/>
      </w:rPr>
    </w:lvl>
    <w:lvl w:ilvl="2" w:tplc="11705618" w:tentative="1">
      <w:start w:val="1"/>
      <w:numFmt w:val="bullet"/>
      <w:lvlText w:val=""/>
      <w:lvlJc w:val="left"/>
      <w:pPr>
        <w:tabs>
          <w:tab w:val="num" w:pos="2160"/>
        </w:tabs>
        <w:ind w:left="2160" w:hanging="360"/>
      </w:pPr>
      <w:rPr>
        <w:rFonts w:ascii="Wingdings" w:hAnsi="Wingdings" w:hint="default"/>
      </w:rPr>
    </w:lvl>
    <w:lvl w:ilvl="3" w:tplc="6030AEEE" w:tentative="1">
      <w:start w:val="1"/>
      <w:numFmt w:val="bullet"/>
      <w:lvlText w:val=""/>
      <w:lvlJc w:val="left"/>
      <w:pPr>
        <w:tabs>
          <w:tab w:val="num" w:pos="2880"/>
        </w:tabs>
        <w:ind w:left="2880" w:hanging="360"/>
      </w:pPr>
      <w:rPr>
        <w:rFonts w:ascii="Symbol" w:hAnsi="Symbol" w:hint="default"/>
      </w:rPr>
    </w:lvl>
    <w:lvl w:ilvl="4" w:tplc="71EC0938" w:tentative="1">
      <w:start w:val="1"/>
      <w:numFmt w:val="bullet"/>
      <w:lvlText w:val="o"/>
      <w:lvlJc w:val="left"/>
      <w:pPr>
        <w:tabs>
          <w:tab w:val="num" w:pos="3600"/>
        </w:tabs>
        <w:ind w:left="3600" w:hanging="360"/>
      </w:pPr>
      <w:rPr>
        <w:rFonts w:ascii="Courier New" w:hAnsi="Courier New" w:cs="Courier New" w:hint="default"/>
      </w:rPr>
    </w:lvl>
    <w:lvl w:ilvl="5" w:tplc="F0BC0B42" w:tentative="1">
      <w:start w:val="1"/>
      <w:numFmt w:val="bullet"/>
      <w:lvlText w:val=""/>
      <w:lvlJc w:val="left"/>
      <w:pPr>
        <w:tabs>
          <w:tab w:val="num" w:pos="4320"/>
        </w:tabs>
        <w:ind w:left="4320" w:hanging="360"/>
      </w:pPr>
      <w:rPr>
        <w:rFonts w:ascii="Wingdings" w:hAnsi="Wingdings" w:hint="default"/>
      </w:rPr>
    </w:lvl>
    <w:lvl w:ilvl="6" w:tplc="53DE030E" w:tentative="1">
      <w:start w:val="1"/>
      <w:numFmt w:val="bullet"/>
      <w:lvlText w:val=""/>
      <w:lvlJc w:val="left"/>
      <w:pPr>
        <w:tabs>
          <w:tab w:val="num" w:pos="5040"/>
        </w:tabs>
        <w:ind w:left="5040" w:hanging="360"/>
      </w:pPr>
      <w:rPr>
        <w:rFonts w:ascii="Symbol" w:hAnsi="Symbol" w:hint="default"/>
      </w:rPr>
    </w:lvl>
    <w:lvl w:ilvl="7" w:tplc="7DE68490" w:tentative="1">
      <w:start w:val="1"/>
      <w:numFmt w:val="bullet"/>
      <w:lvlText w:val="o"/>
      <w:lvlJc w:val="left"/>
      <w:pPr>
        <w:tabs>
          <w:tab w:val="num" w:pos="5760"/>
        </w:tabs>
        <w:ind w:left="5760" w:hanging="360"/>
      </w:pPr>
      <w:rPr>
        <w:rFonts w:ascii="Courier New" w:hAnsi="Courier New" w:cs="Courier New" w:hint="default"/>
      </w:rPr>
    </w:lvl>
    <w:lvl w:ilvl="8" w:tplc="31120D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AF006A0">
      <w:start w:val="1"/>
      <w:numFmt w:val="bullet"/>
      <w:pStyle w:val="Lijstopsomteken2"/>
      <w:lvlText w:val="–"/>
      <w:lvlJc w:val="left"/>
      <w:pPr>
        <w:tabs>
          <w:tab w:val="num" w:pos="227"/>
        </w:tabs>
        <w:ind w:left="227" w:firstLine="0"/>
      </w:pPr>
      <w:rPr>
        <w:rFonts w:ascii="Verdana" w:hAnsi="Verdana" w:hint="default"/>
      </w:rPr>
    </w:lvl>
    <w:lvl w:ilvl="1" w:tplc="8B92CF22" w:tentative="1">
      <w:start w:val="1"/>
      <w:numFmt w:val="bullet"/>
      <w:lvlText w:val="o"/>
      <w:lvlJc w:val="left"/>
      <w:pPr>
        <w:tabs>
          <w:tab w:val="num" w:pos="1440"/>
        </w:tabs>
        <w:ind w:left="1440" w:hanging="360"/>
      </w:pPr>
      <w:rPr>
        <w:rFonts w:ascii="Courier New" w:hAnsi="Courier New" w:cs="Courier New" w:hint="default"/>
      </w:rPr>
    </w:lvl>
    <w:lvl w:ilvl="2" w:tplc="D9F8B7A8" w:tentative="1">
      <w:start w:val="1"/>
      <w:numFmt w:val="bullet"/>
      <w:lvlText w:val=""/>
      <w:lvlJc w:val="left"/>
      <w:pPr>
        <w:tabs>
          <w:tab w:val="num" w:pos="2160"/>
        </w:tabs>
        <w:ind w:left="2160" w:hanging="360"/>
      </w:pPr>
      <w:rPr>
        <w:rFonts w:ascii="Wingdings" w:hAnsi="Wingdings" w:hint="default"/>
      </w:rPr>
    </w:lvl>
    <w:lvl w:ilvl="3" w:tplc="2CDAFF8C" w:tentative="1">
      <w:start w:val="1"/>
      <w:numFmt w:val="bullet"/>
      <w:lvlText w:val=""/>
      <w:lvlJc w:val="left"/>
      <w:pPr>
        <w:tabs>
          <w:tab w:val="num" w:pos="2880"/>
        </w:tabs>
        <w:ind w:left="2880" w:hanging="360"/>
      </w:pPr>
      <w:rPr>
        <w:rFonts w:ascii="Symbol" w:hAnsi="Symbol" w:hint="default"/>
      </w:rPr>
    </w:lvl>
    <w:lvl w:ilvl="4" w:tplc="310E5FB6" w:tentative="1">
      <w:start w:val="1"/>
      <w:numFmt w:val="bullet"/>
      <w:lvlText w:val="o"/>
      <w:lvlJc w:val="left"/>
      <w:pPr>
        <w:tabs>
          <w:tab w:val="num" w:pos="3600"/>
        </w:tabs>
        <w:ind w:left="3600" w:hanging="360"/>
      </w:pPr>
      <w:rPr>
        <w:rFonts w:ascii="Courier New" w:hAnsi="Courier New" w:cs="Courier New" w:hint="default"/>
      </w:rPr>
    </w:lvl>
    <w:lvl w:ilvl="5" w:tplc="1CAC6F5E" w:tentative="1">
      <w:start w:val="1"/>
      <w:numFmt w:val="bullet"/>
      <w:lvlText w:val=""/>
      <w:lvlJc w:val="left"/>
      <w:pPr>
        <w:tabs>
          <w:tab w:val="num" w:pos="4320"/>
        </w:tabs>
        <w:ind w:left="4320" w:hanging="360"/>
      </w:pPr>
      <w:rPr>
        <w:rFonts w:ascii="Wingdings" w:hAnsi="Wingdings" w:hint="default"/>
      </w:rPr>
    </w:lvl>
    <w:lvl w:ilvl="6" w:tplc="0A22FF18" w:tentative="1">
      <w:start w:val="1"/>
      <w:numFmt w:val="bullet"/>
      <w:lvlText w:val=""/>
      <w:lvlJc w:val="left"/>
      <w:pPr>
        <w:tabs>
          <w:tab w:val="num" w:pos="5040"/>
        </w:tabs>
        <w:ind w:left="5040" w:hanging="360"/>
      </w:pPr>
      <w:rPr>
        <w:rFonts w:ascii="Symbol" w:hAnsi="Symbol" w:hint="default"/>
      </w:rPr>
    </w:lvl>
    <w:lvl w:ilvl="7" w:tplc="C3A2C792" w:tentative="1">
      <w:start w:val="1"/>
      <w:numFmt w:val="bullet"/>
      <w:lvlText w:val="o"/>
      <w:lvlJc w:val="left"/>
      <w:pPr>
        <w:tabs>
          <w:tab w:val="num" w:pos="5760"/>
        </w:tabs>
        <w:ind w:left="5760" w:hanging="360"/>
      </w:pPr>
      <w:rPr>
        <w:rFonts w:ascii="Courier New" w:hAnsi="Courier New" w:cs="Courier New" w:hint="default"/>
      </w:rPr>
    </w:lvl>
    <w:lvl w:ilvl="8" w:tplc="C31A60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EA43FC"/>
    <w:multiLevelType w:val="hybridMultilevel"/>
    <w:tmpl w:val="D804AD98"/>
    <w:lvl w:ilvl="0" w:tplc="9F0C029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9282929">
    <w:abstractNumId w:val="10"/>
  </w:num>
  <w:num w:numId="2" w16cid:durableId="1753353318">
    <w:abstractNumId w:val="7"/>
  </w:num>
  <w:num w:numId="3" w16cid:durableId="1966038635">
    <w:abstractNumId w:val="6"/>
  </w:num>
  <w:num w:numId="4" w16cid:durableId="951865438">
    <w:abstractNumId w:val="5"/>
  </w:num>
  <w:num w:numId="5" w16cid:durableId="432945112">
    <w:abstractNumId w:val="4"/>
  </w:num>
  <w:num w:numId="6" w16cid:durableId="1277248251">
    <w:abstractNumId w:val="8"/>
  </w:num>
  <w:num w:numId="7" w16cid:durableId="1565023565">
    <w:abstractNumId w:val="3"/>
  </w:num>
  <w:num w:numId="8" w16cid:durableId="2124881708">
    <w:abstractNumId w:val="2"/>
  </w:num>
  <w:num w:numId="9" w16cid:durableId="262887626">
    <w:abstractNumId w:val="1"/>
  </w:num>
  <w:num w:numId="10" w16cid:durableId="2089184636">
    <w:abstractNumId w:val="0"/>
  </w:num>
  <w:num w:numId="11" w16cid:durableId="883296853">
    <w:abstractNumId w:val="9"/>
  </w:num>
  <w:num w:numId="12" w16cid:durableId="1934967687">
    <w:abstractNumId w:val="11"/>
  </w:num>
  <w:num w:numId="13" w16cid:durableId="267471946">
    <w:abstractNumId w:val="13"/>
  </w:num>
  <w:num w:numId="14" w16cid:durableId="118106448">
    <w:abstractNumId w:val="12"/>
  </w:num>
  <w:num w:numId="15" w16cid:durableId="4104720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7DB4"/>
    <w:rsid w:val="0006024D"/>
    <w:rsid w:val="00071193"/>
    <w:rsid w:val="00071F28"/>
    <w:rsid w:val="00074079"/>
    <w:rsid w:val="00083B9E"/>
    <w:rsid w:val="00092799"/>
    <w:rsid w:val="00092C5F"/>
    <w:rsid w:val="00096680"/>
    <w:rsid w:val="000A0D2D"/>
    <w:rsid w:val="000A0F36"/>
    <w:rsid w:val="000A174A"/>
    <w:rsid w:val="000A3E0A"/>
    <w:rsid w:val="000A65AC"/>
    <w:rsid w:val="000A7159"/>
    <w:rsid w:val="000B7281"/>
    <w:rsid w:val="000B7FAB"/>
    <w:rsid w:val="000C0163"/>
    <w:rsid w:val="000C1BA1"/>
    <w:rsid w:val="000C30B7"/>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080D"/>
    <w:rsid w:val="00222D66"/>
    <w:rsid w:val="00224A8A"/>
    <w:rsid w:val="002309A8"/>
    <w:rsid w:val="00232EAC"/>
    <w:rsid w:val="00236CFE"/>
    <w:rsid w:val="002428E3"/>
    <w:rsid w:val="00243031"/>
    <w:rsid w:val="00260BAF"/>
    <w:rsid w:val="002650F7"/>
    <w:rsid w:val="00271A8E"/>
    <w:rsid w:val="00273F3B"/>
    <w:rsid w:val="00274DB7"/>
    <w:rsid w:val="00275984"/>
    <w:rsid w:val="00280F74"/>
    <w:rsid w:val="002822CA"/>
    <w:rsid w:val="00282FE5"/>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877FF"/>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C7509"/>
    <w:rsid w:val="004D505E"/>
    <w:rsid w:val="004D72CA"/>
    <w:rsid w:val="004E2242"/>
    <w:rsid w:val="004E505E"/>
    <w:rsid w:val="004F42FF"/>
    <w:rsid w:val="004F44C2"/>
    <w:rsid w:val="00502512"/>
    <w:rsid w:val="00503AAB"/>
    <w:rsid w:val="00503FD2"/>
    <w:rsid w:val="00505262"/>
    <w:rsid w:val="00512549"/>
    <w:rsid w:val="00516022"/>
    <w:rsid w:val="00521CEE"/>
    <w:rsid w:val="00524FB4"/>
    <w:rsid w:val="00525515"/>
    <w:rsid w:val="00527BD4"/>
    <w:rsid w:val="00537095"/>
    <w:rsid w:val="005403C8"/>
    <w:rsid w:val="005429DC"/>
    <w:rsid w:val="005461DA"/>
    <w:rsid w:val="005565F9"/>
    <w:rsid w:val="00573041"/>
    <w:rsid w:val="005742C0"/>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A6563"/>
    <w:rsid w:val="007B4503"/>
    <w:rsid w:val="007C406E"/>
    <w:rsid w:val="007C5183"/>
    <w:rsid w:val="007C53DC"/>
    <w:rsid w:val="007C7573"/>
    <w:rsid w:val="007E2B20"/>
    <w:rsid w:val="007F1FE4"/>
    <w:rsid w:val="007F2593"/>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2F5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775"/>
    <w:rsid w:val="00A715F8"/>
    <w:rsid w:val="00A73316"/>
    <w:rsid w:val="00A77F6F"/>
    <w:rsid w:val="00A831FD"/>
    <w:rsid w:val="00A83352"/>
    <w:rsid w:val="00A850A2"/>
    <w:rsid w:val="00A91FA3"/>
    <w:rsid w:val="00A927D3"/>
    <w:rsid w:val="00AA7680"/>
    <w:rsid w:val="00AA7FC9"/>
    <w:rsid w:val="00AB237D"/>
    <w:rsid w:val="00AB5933"/>
    <w:rsid w:val="00AE013D"/>
    <w:rsid w:val="00AE11B7"/>
    <w:rsid w:val="00AE7F68"/>
    <w:rsid w:val="00AF2321"/>
    <w:rsid w:val="00AF50E8"/>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CC2"/>
    <w:rsid w:val="00B71DC2"/>
    <w:rsid w:val="00B849F5"/>
    <w:rsid w:val="00B91CFC"/>
    <w:rsid w:val="00B93893"/>
    <w:rsid w:val="00BA1397"/>
    <w:rsid w:val="00BA7E0A"/>
    <w:rsid w:val="00BC222D"/>
    <w:rsid w:val="00BC2C00"/>
    <w:rsid w:val="00BC3B53"/>
    <w:rsid w:val="00BC3B96"/>
    <w:rsid w:val="00BC4AE3"/>
    <w:rsid w:val="00BC5B28"/>
    <w:rsid w:val="00BD2370"/>
    <w:rsid w:val="00BE1A1C"/>
    <w:rsid w:val="00BE34A0"/>
    <w:rsid w:val="00BE3F88"/>
    <w:rsid w:val="00BE4756"/>
    <w:rsid w:val="00BE5ED9"/>
    <w:rsid w:val="00BE7B41"/>
    <w:rsid w:val="00C11D90"/>
    <w:rsid w:val="00C15A91"/>
    <w:rsid w:val="00C206F1"/>
    <w:rsid w:val="00C217E1"/>
    <w:rsid w:val="00C219B1"/>
    <w:rsid w:val="00C268A6"/>
    <w:rsid w:val="00C4015B"/>
    <w:rsid w:val="00C40C60"/>
    <w:rsid w:val="00C42AF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0D00"/>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51F1"/>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5DC0"/>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37DE"/>
    <w:rsid w:val="00EE4A1F"/>
    <w:rsid w:val="00EE4C2D"/>
    <w:rsid w:val="00EF1B5A"/>
    <w:rsid w:val="00EF24FB"/>
    <w:rsid w:val="00EF2CCA"/>
    <w:rsid w:val="00EF495B"/>
    <w:rsid w:val="00EF60DC"/>
    <w:rsid w:val="00F00F54"/>
    <w:rsid w:val="00F03963"/>
    <w:rsid w:val="00F048C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2709"/>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1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C42AF0"/>
    <w:rPr>
      <w:vertAlign w:val="superscript"/>
    </w:rPr>
  </w:style>
  <w:style w:type="table" w:customStyle="1" w:styleId="Tabelraster1">
    <w:name w:val="Tabelraster1"/>
    <w:basedOn w:val="Standaardtabel"/>
    <w:next w:val="Tabelraster"/>
    <w:uiPriority w:val="39"/>
    <w:rsid w:val="00C42AF0"/>
    <w:rPr>
      <w:rFonts w:ascii="Aptos" w:eastAsia="Aptos" w:hAnsi="Aptos"/>
      <w:kern w:val="2"/>
      <w:sz w:val="22"/>
      <w:szCs w:val="2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brieven_regering/detail?id=2024D25082&amp;did=2024D250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bl.nl/publicaties/klimaatbeleid-richten-op-maatschappelijke-transformati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bl.nl/publicaties/klimaatbeleid-richten-op-maatschappelijke-transformatie" TargetMode="External"/><Relationship Id="rId2" Type="http://schemas.openxmlformats.org/officeDocument/2006/relationships/hyperlink" Target="https://www.tweedekamer.nl/kamerstukken/moties/detail?id=2023Z20560&amp;did=2023D50409" TargetMode="External"/><Relationship Id="rId1" Type="http://schemas.openxmlformats.org/officeDocument/2006/relationships/hyperlink" Target="https://www.rijksoverheid.nl/documenten/kamerstukken/2024/12/17/kamerbrief-versterking-rijksbrede-evaluatiestelsel" TargetMode="External"/><Relationship Id="rId5" Type="http://schemas.openxmlformats.org/officeDocument/2006/relationships/hyperlink" Target="https://www.tweedekamer.nl/kamerstukken/brieven_regering/detail?id=2025Z04814&amp;did=2025D11140" TargetMode="External"/><Relationship Id="rId4" Type="http://schemas.openxmlformats.org/officeDocument/2006/relationships/hyperlink" Target="https://www.tweedekamer.nl/kamerstukken/brieven_regering/detail?id=2024D25082&amp;did=2024D2508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1505</ap:Words>
  <ap:Characters>8283</ap:Characters>
  <ap:DocSecurity>0</ap:DocSecurity>
  <ap:Lines>69</ap:Lines>
  <ap:Paragraphs>19</ap:Paragraphs>
  <ap:ScaleCrop>false</ap:ScaleCrop>
  <ap:LinksUpToDate>false</ap:LinksUpToDate>
  <ap:CharactersWithSpaces>9769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2025-05-21T08:51:00.0000000Z</dcterms:created>
  <dcterms:modified xsi:type="dcterms:W3CDTF">2025-05-21T08:52:00.0000000Z</dcterms:modified>
  <dc:description>------------------------</dc:description>
  <dc:subject/>
  <keywords/>
  <version/>
  <category/>
</coreProperties>
</file>