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6267" w:rsidP="00176267" w:rsidRDefault="00176267" w14:paraId="032630EB" w14:textId="77777777">
      <w:pPr>
        <w:pStyle w:val="StandaardAanhef"/>
      </w:pPr>
    </w:p>
    <w:p w:rsidR="00176267" w:rsidP="00176267" w:rsidRDefault="00176267" w14:paraId="6B2F6C14" w14:textId="77777777">
      <w:pPr>
        <w:pStyle w:val="StandaardAanhef"/>
      </w:pPr>
      <w:r>
        <w:t>Geachte voorzitter,</w:t>
      </w:r>
    </w:p>
    <w:p w:rsidR="00176267" w:rsidP="00176267" w:rsidRDefault="00176267" w14:paraId="15522AC4" w14:textId="77777777">
      <w:r>
        <w:t xml:space="preserve">Hierbij zend ik u, mede namens de staatssecretaris Rechtsbescherming, de antwoorden op de schriftelijke vragen die het lid Welzijn (Nieuw Sociaal Contract) op 6 mei jl. heeft gesteld over de uitspraak van de rechter dat achterafbetaaldienst </w:t>
      </w:r>
      <w:proofErr w:type="spellStart"/>
      <w:r>
        <w:t>Klarna</w:t>
      </w:r>
      <w:proofErr w:type="spellEnd"/>
      <w:r>
        <w:t xml:space="preserve"> verdient aan incassokosten (2025Z08681).</w:t>
      </w:r>
    </w:p>
    <w:p w:rsidR="00176267" w:rsidP="00176267" w:rsidRDefault="00176267" w14:paraId="0C3F5030" w14:textId="77777777">
      <w:pPr>
        <w:pStyle w:val="StandaardSlotzin"/>
      </w:pPr>
      <w:r>
        <w:t>Hoogachtend,</w:t>
      </w:r>
    </w:p>
    <w:p w:rsidR="00176267" w:rsidP="00176267" w:rsidRDefault="00176267" w14:paraId="73F3F0A4"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176267" w:rsidTr="00D60050" w14:paraId="4A2AD88F" w14:textId="77777777">
        <w:tc>
          <w:tcPr>
            <w:tcW w:w="3592" w:type="dxa"/>
          </w:tcPr>
          <w:p w:rsidR="00176267" w:rsidP="00D60050" w:rsidRDefault="00176267" w14:paraId="7063AE0C"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176267" w:rsidP="00D60050" w:rsidRDefault="00176267" w14:paraId="3B1906E8" w14:textId="77777777"/>
        </w:tc>
      </w:tr>
      <w:tr w:rsidR="00176267" w:rsidTr="00D60050" w14:paraId="0D8471DE" w14:textId="77777777">
        <w:tc>
          <w:tcPr>
            <w:tcW w:w="3592" w:type="dxa"/>
          </w:tcPr>
          <w:p w:rsidR="00176267" w:rsidP="00D60050" w:rsidRDefault="00176267" w14:paraId="68C2BD77" w14:textId="77777777"/>
        </w:tc>
        <w:tc>
          <w:tcPr>
            <w:tcW w:w="3892" w:type="dxa"/>
          </w:tcPr>
          <w:p w:rsidR="00176267" w:rsidP="00D60050" w:rsidRDefault="00176267" w14:paraId="11EB5E11" w14:textId="77777777"/>
        </w:tc>
      </w:tr>
      <w:tr w:rsidR="00176267" w:rsidTr="00D60050" w14:paraId="3F69C0EA" w14:textId="77777777">
        <w:tc>
          <w:tcPr>
            <w:tcW w:w="3592" w:type="dxa"/>
          </w:tcPr>
          <w:p w:rsidR="00176267" w:rsidP="00D60050" w:rsidRDefault="00176267" w14:paraId="2D111443" w14:textId="77777777"/>
        </w:tc>
        <w:tc>
          <w:tcPr>
            <w:tcW w:w="3892" w:type="dxa"/>
          </w:tcPr>
          <w:p w:rsidR="00176267" w:rsidP="00D60050" w:rsidRDefault="00176267" w14:paraId="0343142D" w14:textId="77777777"/>
        </w:tc>
      </w:tr>
      <w:tr w:rsidR="00176267" w:rsidTr="00D60050" w14:paraId="55C47707" w14:textId="77777777">
        <w:tc>
          <w:tcPr>
            <w:tcW w:w="3592" w:type="dxa"/>
          </w:tcPr>
          <w:p w:rsidR="00176267" w:rsidP="00D60050" w:rsidRDefault="00176267" w14:paraId="571A9E2F" w14:textId="77777777"/>
        </w:tc>
        <w:tc>
          <w:tcPr>
            <w:tcW w:w="3892" w:type="dxa"/>
          </w:tcPr>
          <w:p w:rsidR="00176267" w:rsidP="00D60050" w:rsidRDefault="00176267" w14:paraId="3333655D" w14:textId="77777777"/>
        </w:tc>
      </w:tr>
      <w:tr w:rsidR="00176267" w:rsidTr="00D60050" w14:paraId="76619710" w14:textId="77777777">
        <w:tc>
          <w:tcPr>
            <w:tcW w:w="3592" w:type="dxa"/>
          </w:tcPr>
          <w:p w:rsidR="00176267" w:rsidP="00D60050" w:rsidRDefault="00176267" w14:paraId="6D172401" w14:textId="77777777"/>
        </w:tc>
        <w:tc>
          <w:tcPr>
            <w:tcW w:w="3892" w:type="dxa"/>
          </w:tcPr>
          <w:p w:rsidR="00176267" w:rsidP="00D60050" w:rsidRDefault="00176267" w14:paraId="2BCD19C0" w14:textId="77777777"/>
        </w:tc>
      </w:tr>
    </w:tbl>
    <w:p w:rsidR="00176267" w:rsidP="00176267" w:rsidRDefault="00176267" w14:paraId="18ED497C" w14:textId="77777777">
      <w:pPr>
        <w:pStyle w:val="WitregelW1bodytekst"/>
      </w:pPr>
    </w:p>
    <w:p w:rsidR="00176267" w:rsidP="00176267" w:rsidRDefault="00176267" w14:paraId="6228D982" w14:textId="77777777">
      <w:pPr>
        <w:pStyle w:val="Verdana7"/>
      </w:pPr>
    </w:p>
    <w:p w:rsidR="00176267" w:rsidP="00176267" w:rsidRDefault="00176267" w14:paraId="542D4AA9" w14:textId="77777777"/>
    <w:p w:rsidR="00176267" w:rsidP="00176267" w:rsidRDefault="00176267" w14:paraId="68960797" w14:textId="77777777"/>
    <w:p w:rsidR="00176267" w:rsidP="00176267" w:rsidRDefault="00176267" w14:paraId="5EAE0FA9" w14:textId="77777777"/>
    <w:p w:rsidR="00176267" w:rsidP="00176267" w:rsidRDefault="00176267" w14:paraId="569B9E22" w14:textId="77777777"/>
    <w:p w:rsidR="00176267" w:rsidP="00176267" w:rsidRDefault="00176267" w14:paraId="2B0E7317" w14:textId="77777777"/>
    <w:p w:rsidR="00176267" w:rsidP="00176267" w:rsidRDefault="00176267" w14:paraId="6462130B" w14:textId="77777777"/>
    <w:p w:rsidR="00176267" w:rsidP="00176267" w:rsidRDefault="00176267" w14:paraId="21817719" w14:textId="77777777"/>
    <w:p w:rsidR="00176267" w:rsidP="00176267" w:rsidRDefault="00176267" w14:paraId="7EC2B559" w14:textId="77777777"/>
    <w:p w:rsidR="00176267" w:rsidP="00176267" w:rsidRDefault="00176267" w14:paraId="0EB40B2D" w14:textId="77777777"/>
    <w:p w:rsidR="00176267" w:rsidP="00176267" w:rsidRDefault="00176267" w14:paraId="2C1D69EE" w14:textId="77777777"/>
    <w:p w:rsidR="00176267" w:rsidP="00176267" w:rsidRDefault="00176267" w14:paraId="7F75AC38" w14:textId="77777777"/>
    <w:p w:rsidR="00176267" w:rsidP="00176267" w:rsidRDefault="00176267" w14:paraId="605CDB99" w14:textId="77777777">
      <w:pPr>
        <w:rPr>
          <w:b/>
          <w:bCs/>
          <w:i/>
          <w:iCs/>
        </w:rPr>
      </w:pPr>
      <w:r w:rsidRPr="00544FC8">
        <w:rPr>
          <w:b/>
          <w:bCs/>
          <w:i/>
          <w:iCs/>
        </w:rPr>
        <w:lastRenderedPageBreak/>
        <w:t>2025Z08681</w:t>
      </w:r>
    </w:p>
    <w:p w:rsidRPr="00544FC8" w:rsidR="00176267" w:rsidP="00176267" w:rsidRDefault="00176267" w14:paraId="65617524" w14:textId="77777777">
      <w:pPr>
        <w:rPr>
          <w:b/>
          <w:bCs/>
        </w:rPr>
      </w:pPr>
      <w:r w:rsidRPr="00544FC8">
        <w:rPr>
          <w:b/>
          <w:bCs/>
        </w:rPr>
        <w:t>Vragen van het lid Welzijn (Nieuw Sociaal Contract) aan de minister van Financi</w:t>
      </w:r>
      <w:r w:rsidRPr="00544FC8">
        <w:rPr>
          <w:rFonts w:hint="eastAsia"/>
          <w:b/>
          <w:bCs/>
        </w:rPr>
        <w:t>ë</w:t>
      </w:r>
      <w:r w:rsidRPr="00544FC8">
        <w:rPr>
          <w:b/>
          <w:bCs/>
        </w:rPr>
        <w:t>n en de staatssecretaris van</w:t>
      </w:r>
      <w:r>
        <w:rPr>
          <w:b/>
          <w:bCs/>
        </w:rPr>
        <w:t xml:space="preserve"> </w:t>
      </w:r>
      <w:r w:rsidRPr="00544FC8">
        <w:rPr>
          <w:b/>
          <w:bCs/>
        </w:rPr>
        <w:t>Justitie en Veiligheid over de</w:t>
      </w:r>
      <w:r>
        <w:rPr>
          <w:b/>
          <w:bCs/>
        </w:rPr>
        <w:t xml:space="preserve"> u</w:t>
      </w:r>
      <w:r w:rsidRPr="00544FC8">
        <w:rPr>
          <w:b/>
          <w:bCs/>
        </w:rPr>
        <w:t xml:space="preserve">itspraak van de rechter dat achterafbetaaldienst </w:t>
      </w:r>
      <w:proofErr w:type="spellStart"/>
      <w:r w:rsidRPr="00544FC8">
        <w:rPr>
          <w:b/>
          <w:bCs/>
        </w:rPr>
        <w:t>Klarna</w:t>
      </w:r>
      <w:proofErr w:type="spellEnd"/>
      <w:r w:rsidRPr="00544FC8">
        <w:rPr>
          <w:b/>
          <w:bCs/>
        </w:rPr>
        <w:t xml:space="preserve"> verdient aan</w:t>
      </w:r>
    </w:p>
    <w:p w:rsidR="00176267" w:rsidP="00176267" w:rsidRDefault="00176267" w14:paraId="66D7C9E1" w14:textId="77777777">
      <w:pPr>
        <w:rPr>
          <w:b/>
          <w:bCs/>
        </w:rPr>
      </w:pPr>
      <w:r w:rsidRPr="00544FC8">
        <w:rPr>
          <w:b/>
          <w:bCs/>
        </w:rPr>
        <w:t>Incassokosten</w:t>
      </w:r>
      <w:r>
        <w:rPr>
          <w:b/>
          <w:bCs/>
        </w:rPr>
        <w:t xml:space="preserve"> (ingezonden 6 mei 2025)</w:t>
      </w:r>
      <w:r w:rsidRPr="00544FC8">
        <w:rPr>
          <w:b/>
          <w:bCs/>
        </w:rPr>
        <w:t>.</w:t>
      </w:r>
    </w:p>
    <w:p w:rsidR="00176267" w:rsidP="00176267" w:rsidRDefault="00176267" w14:paraId="7F68BAD7" w14:textId="77777777">
      <w:pPr>
        <w:rPr>
          <w:b/>
          <w:bCs/>
        </w:rPr>
      </w:pPr>
    </w:p>
    <w:p w:rsidR="00176267" w:rsidP="00176267" w:rsidRDefault="00176267" w14:paraId="6FD4BED7" w14:textId="77777777">
      <w:pPr>
        <w:rPr>
          <w:b/>
          <w:bCs/>
        </w:rPr>
      </w:pPr>
      <w:r>
        <w:rPr>
          <w:b/>
          <w:bCs/>
        </w:rPr>
        <w:t>Vraag 1</w:t>
      </w:r>
    </w:p>
    <w:p w:rsidR="00176267" w:rsidP="00176267" w:rsidRDefault="00176267" w14:paraId="4FAA3E4F" w14:textId="77777777">
      <w:r>
        <w:t xml:space="preserve">Hebt u kennisgenomen van de uitspraak van de rechter dat de achterafbetaaldienst </w:t>
      </w:r>
      <w:proofErr w:type="spellStart"/>
      <w:r>
        <w:t>Klarna</w:t>
      </w:r>
      <w:proofErr w:type="spellEnd"/>
      <w:r>
        <w:t xml:space="preserve"> verdient aan incassokosten?</w:t>
      </w:r>
      <w:r>
        <w:rPr>
          <w:rStyle w:val="Voetnootmarkering"/>
        </w:rPr>
        <w:footnoteReference w:id="1"/>
      </w:r>
    </w:p>
    <w:p w:rsidR="00176267" w:rsidP="00176267" w:rsidRDefault="00176267" w14:paraId="51252E72" w14:textId="77777777"/>
    <w:p w:rsidR="00176267" w:rsidP="00176267" w:rsidRDefault="00176267" w14:paraId="1A73ABC6" w14:textId="77777777">
      <w:pPr>
        <w:rPr>
          <w:b/>
          <w:bCs/>
        </w:rPr>
      </w:pPr>
      <w:r>
        <w:rPr>
          <w:b/>
          <w:bCs/>
        </w:rPr>
        <w:t>Antwoord 1</w:t>
      </w:r>
    </w:p>
    <w:p w:rsidR="00176267" w:rsidP="00176267" w:rsidRDefault="00176267" w14:paraId="62919508" w14:textId="77777777">
      <w:r>
        <w:t>Ja.</w:t>
      </w:r>
    </w:p>
    <w:p w:rsidR="00176267" w:rsidP="00176267" w:rsidRDefault="00176267" w14:paraId="060F4667" w14:textId="77777777"/>
    <w:p w:rsidRPr="00544FC8" w:rsidR="00176267" w:rsidP="00176267" w:rsidRDefault="00176267" w14:paraId="130C7F83" w14:textId="77777777">
      <w:pPr>
        <w:rPr>
          <w:b/>
          <w:bCs/>
        </w:rPr>
      </w:pPr>
      <w:r>
        <w:rPr>
          <w:b/>
          <w:bCs/>
        </w:rPr>
        <w:t>Vraag 2</w:t>
      </w:r>
    </w:p>
    <w:p w:rsidR="00176267" w:rsidP="00176267" w:rsidRDefault="00176267" w14:paraId="618490DD" w14:textId="77777777">
      <w:r>
        <w:t xml:space="preserve">Heeft u tevens kennisgenomen van het oordeel van de rechter dat de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later-constructie die </w:t>
      </w:r>
      <w:proofErr w:type="spellStart"/>
      <w:r>
        <w:t>Klarna</w:t>
      </w:r>
      <w:proofErr w:type="spellEnd"/>
      <w:r>
        <w:t xml:space="preserve"> hanteert, gezien moet worden als een consumentenkrediet, waarvoor speciale regels gelden en dat hierop moet worden toegezien en gecontroleerd?</w:t>
      </w:r>
    </w:p>
    <w:p w:rsidR="00176267" w:rsidP="00176267" w:rsidRDefault="00176267" w14:paraId="35B66B0B" w14:textId="77777777"/>
    <w:p w:rsidR="00176267" w:rsidP="00176267" w:rsidRDefault="00176267" w14:paraId="32354908" w14:textId="77777777">
      <w:pPr>
        <w:rPr>
          <w:b/>
          <w:bCs/>
        </w:rPr>
      </w:pPr>
      <w:r>
        <w:rPr>
          <w:b/>
          <w:bCs/>
        </w:rPr>
        <w:t>Antwoord 2</w:t>
      </w:r>
    </w:p>
    <w:p w:rsidR="00176267" w:rsidP="00176267" w:rsidRDefault="00176267" w14:paraId="413F8F0C" w14:textId="77777777">
      <w:r>
        <w:t>De twee uitspraken van de rechtbank Midden-Nederland gaan over zaken waarbij een consument een online aankoop had gedaan en daarbij gebruik had gemaakt van de mogelijkheid tot uitgestelde betaling (</w:t>
      </w:r>
      <w:proofErr w:type="spellStart"/>
      <w:r>
        <w:rPr>
          <w:i/>
          <w:iCs/>
        </w:rPr>
        <w:t>Buy</w:t>
      </w:r>
      <w:proofErr w:type="spellEnd"/>
      <w:r>
        <w:rPr>
          <w:i/>
          <w:iCs/>
        </w:rPr>
        <w:t xml:space="preserve"> </w:t>
      </w:r>
      <w:proofErr w:type="spellStart"/>
      <w:r>
        <w:rPr>
          <w:i/>
          <w:iCs/>
        </w:rPr>
        <w:t>Now</w:t>
      </w:r>
      <w:proofErr w:type="spellEnd"/>
      <w:r>
        <w:rPr>
          <w:i/>
          <w:iCs/>
        </w:rPr>
        <w:t xml:space="preserve">, </w:t>
      </w:r>
      <w:proofErr w:type="spellStart"/>
      <w:r>
        <w:rPr>
          <w:i/>
          <w:iCs/>
        </w:rPr>
        <w:t>Pay</w:t>
      </w:r>
      <w:proofErr w:type="spellEnd"/>
      <w:r>
        <w:rPr>
          <w:i/>
          <w:iCs/>
        </w:rPr>
        <w:t xml:space="preserve"> </w:t>
      </w:r>
      <w:r w:rsidRPr="00974612">
        <w:rPr>
          <w:i/>
          <w:iCs/>
        </w:rPr>
        <w:t>Later</w:t>
      </w:r>
      <w:r>
        <w:t xml:space="preserve">, </w:t>
      </w:r>
      <w:r w:rsidRPr="00974612">
        <w:t>BNPL</w:t>
      </w:r>
      <w:r>
        <w:t xml:space="preserve">), aangeboden door </w:t>
      </w:r>
      <w:proofErr w:type="spellStart"/>
      <w:r>
        <w:t>Klarna</w:t>
      </w:r>
      <w:proofErr w:type="spellEnd"/>
      <w:r>
        <w:t xml:space="preserve">. Ondanks de ontvangen aanmaning, had de betreffende consument de koopprijs niet betaald. De (vermeende) vordering van </w:t>
      </w:r>
      <w:proofErr w:type="spellStart"/>
      <w:r>
        <w:t>Klarna</w:t>
      </w:r>
      <w:proofErr w:type="spellEnd"/>
      <w:r>
        <w:t xml:space="preserve"> op de consument heeft </w:t>
      </w:r>
      <w:proofErr w:type="spellStart"/>
      <w:r>
        <w:t>Klarna</w:t>
      </w:r>
      <w:proofErr w:type="spellEnd"/>
      <w:r>
        <w:t xml:space="preserve"> aan </w:t>
      </w:r>
      <w:proofErr w:type="spellStart"/>
      <w:r>
        <w:t>Alektum</w:t>
      </w:r>
      <w:proofErr w:type="spellEnd"/>
      <w:r>
        <w:t xml:space="preserve"> </w:t>
      </w:r>
      <w:proofErr w:type="spellStart"/>
      <w:r>
        <w:t>Capital</w:t>
      </w:r>
      <w:proofErr w:type="spellEnd"/>
      <w:r>
        <w:t xml:space="preserve"> II AG (hierna: </w:t>
      </w:r>
      <w:proofErr w:type="spellStart"/>
      <w:r>
        <w:t>Alektum</w:t>
      </w:r>
      <w:proofErr w:type="spellEnd"/>
      <w:r>
        <w:t xml:space="preserve">) verkocht, die betaling van het openstaande bedrag vervolgens bij de rechtbank heeft gevorderd. </w:t>
      </w:r>
    </w:p>
    <w:p w:rsidR="00176267" w:rsidP="00176267" w:rsidRDefault="00176267" w14:paraId="3E5FA2B7" w14:textId="77777777">
      <w:pPr>
        <w:rPr>
          <w:b/>
          <w:bCs/>
        </w:rPr>
      </w:pPr>
    </w:p>
    <w:p w:rsidR="00176267" w:rsidP="00176267" w:rsidRDefault="00176267" w14:paraId="75F21AC6" w14:textId="77777777">
      <w:r>
        <w:t xml:space="preserve">In de uitspraken heeft de rechtbank bepaald dat </w:t>
      </w:r>
      <w:proofErr w:type="spellStart"/>
      <w:r>
        <w:t>Alektum</w:t>
      </w:r>
      <w:proofErr w:type="spellEnd"/>
      <w:r>
        <w:t xml:space="preserve"> niet heeft aangetoond dat de bedongen rente, aanmanings- en incassokosten geen deel uitmaken van het verdienmodel.</w:t>
      </w:r>
      <w:r>
        <w:rPr>
          <w:rStyle w:val="Voetnootmarkering"/>
        </w:rPr>
        <w:footnoteReference w:id="2"/>
      </w:r>
      <w:r>
        <w:t xml:space="preserve"> Dat deze kosten geen deel uitmaken van het verdienmodel, is noodzakelijk om te voldoen aan de voorwaarden voor de uitzondering van de kredietregels, namelijk dat bij kredietovereenkomsten die binnen drie maanden moeten worden terugbetaald er geen rente en ‘</w:t>
      </w:r>
      <w:r w:rsidRPr="2DC63A97">
        <w:rPr>
          <w:i/>
          <w:iCs/>
        </w:rPr>
        <w:t>slechts onbetekenende kosten</w:t>
      </w:r>
      <w:r>
        <w:t xml:space="preserve">’ mogen worden gerekend (zie artikel 7:58 lid 2 sub 2 van het Burgerlijk Wetboek). Omdat </w:t>
      </w:r>
      <w:proofErr w:type="spellStart"/>
      <w:r>
        <w:t>Alektum</w:t>
      </w:r>
      <w:proofErr w:type="spellEnd"/>
      <w:r>
        <w:t xml:space="preserve"> in dit geval niet had aangetoond dat de incassokosten geen deel uitmaken van het verdienmodel, heeft de rechtbank </w:t>
      </w:r>
      <w:r w:rsidRPr="2DC63A97">
        <w:rPr>
          <w:i/>
          <w:iCs/>
        </w:rPr>
        <w:t>aangenomen</w:t>
      </w:r>
      <w:r>
        <w:t xml:space="preserve"> dat dit wel zo is, en dat er dus sprake was van meer dan slechts onbetekenende kosten. Als gevolg hiervan heeft de rechtbank geoordeeld dat </w:t>
      </w:r>
      <w:proofErr w:type="spellStart"/>
      <w:r>
        <w:t>Klarna</w:t>
      </w:r>
      <w:proofErr w:type="spellEnd"/>
      <w:r>
        <w:t xml:space="preserve"> in dit geval een consumentenkredietovereenkomst heeft verstrekt waarop de kredietregels van toepassing (hadden moeten) zijn. De rechtbank heeft dus niet geoordeeld dat </w:t>
      </w:r>
      <w:proofErr w:type="spellStart"/>
      <w:r>
        <w:t>Klarna</w:t>
      </w:r>
      <w:proofErr w:type="spellEnd"/>
      <w:r>
        <w:t xml:space="preserve"> in alle gevallen consumentenkredietovereenkomsten verstrekt, maar dat </w:t>
      </w:r>
      <w:proofErr w:type="spellStart"/>
      <w:r>
        <w:t>Alektum</w:t>
      </w:r>
      <w:proofErr w:type="spellEnd"/>
      <w:r>
        <w:t xml:space="preserve"> in deze gevallen het tegendeel niet heeft aangetoond. </w:t>
      </w:r>
    </w:p>
    <w:p w:rsidR="00176267" w:rsidP="00176267" w:rsidRDefault="00176267" w14:paraId="63FA0507" w14:textId="77777777"/>
    <w:p w:rsidR="00176267" w:rsidP="00176267" w:rsidRDefault="00176267" w14:paraId="099FDB5A" w14:textId="77777777">
      <w:r w:rsidRPr="00F92E5C">
        <w:t xml:space="preserve">Wij het vinden het een zorgelijk signaal dat, zoals de rechter in deze procedure heeft geoordeeld, door </w:t>
      </w:r>
      <w:proofErr w:type="spellStart"/>
      <w:r w:rsidRPr="00F92E5C">
        <w:t>Alektum</w:t>
      </w:r>
      <w:proofErr w:type="spellEnd"/>
      <w:r w:rsidRPr="00F92E5C">
        <w:t xml:space="preserve"> niet is aangetoond dat de bedongen rente, aanmanings- en incassokosten geen deel uitmaken van het verdienmodel van </w:t>
      </w:r>
      <w:proofErr w:type="spellStart"/>
      <w:r w:rsidRPr="00F92E5C">
        <w:t>Klarna</w:t>
      </w:r>
      <w:proofErr w:type="spellEnd"/>
      <w:r>
        <w:t xml:space="preserve">. Tegelijkertijd hebben de uitspraken in een civiele procedure tegen </w:t>
      </w:r>
      <w:proofErr w:type="spellStart"/>
      <w:r>
        <w:t>Alektum</w:t>
      </w:r>
      <w:proofErr w:type="spellEnd"/>
      <w:r>
        <w:t xml:space="preserve"> niet tot gevolg dat dat de BNPL-overeenkomsten van </w:t>
      </w:r>
      <w:proofErr w:type="spellStart"/>
      <w:r>
        <w:t>Klarna</w:t>
      </w:r>
      <w:proofErr w:type="spellEnd"/>
      <w:r>
        <w:t xml:space="preserve"> vanaf heden </w:t>
      </w:r>
      <w:r>
        <w:lastRenderedPageBreak/>
        <w:t xml:space="preserve">allemaal onder publiekrechtelijk toezicht van de toezichthouder Autoriteit Financiële Markten (AFM) vallen. Het is aan de AFM om te beoordelen of deze uitspraak gevolgen heeft voor het toezicht.   </w:t>
      </w:r>
    </w:p>
    <w:p w:rsidR="00176267" w:rsidP="00176267" w:rsidRDefault="00176267" w14:paraId="54AEBE32" w14:textId="77777777">
      <w:pPr>
        <w:rPr>
          <w:b/>
          <w:bCs/>
        </w:rPr>
      </w:pPr>
    </w:p>
    <w:p w:rsidRPr="003F66CC" w:rsidR="00176267" w:rsidP="00176267" w:rsidRDefault="00176267" w14:paraId="4EC36E56" w14:textId="77777777">
      <w:r>
        <w:rPr>
          <w:b/>
          <w:bCs/>
        </w:rPr>
        <w:t>Vraag 3</w:t>
      </w:r>
    </w:p>
    <w:p w:rsidR="00176267" w:rsidP="00176267" w:rsidRDefault="00176267" w14:paraId="3A6CC1D8" w14:textId="77777777">
      <w:r>
        <w:t>Wat is uw reactie op de uitspraak van de rechter?</w:t>
      </w:r>
    </w:p>
    <w:p w:rsidR="00176267" w:rsidP="00176267" w:rsidRDefault="00176267" w14:paraId="795544D2" w14:textId="77777777"/>
    <w:p w:rsidR="00176267" w:rsidP="00176267" w:rsidRDefault="00176267" w14:paraId="573E25D2" w14:textId="77777777">
      <w:pPr>
        <w:rPr>
          <w:b/>
          <w:bCs/>
        </w:rPr>
      </w:pPr>
      <w:r>
        <w:rPr>
          <w:b/>
          <w:bCs/>
        </w:rPr>
        <w:t>Antwoord 3</w:t>
      </w:r>
    </w:p>
    <w:p w:rsidR="00176267" w:rsidP="00176267" w:rsidRDefault="00176267" w14:paraId="063DDB1C" w14:textId="77777777">
      <w:r>
        <w:t>BNPL-aanbieders horen geen verdienmodel te maken van aanmanings- en incassokosten. In twee andere recente uitspraken in procedures tegen andere BNPL-aanbieders heeft de rechtbank geconcludeerd dat de aanbieders in kwestie wél hebben kunnen aantonen dat de aanmanings- en incassokosten geen onderdeel uitmaken van hun verdienmodel.</w:t>
      </w:r>
      <w:r>
        <w:rPr>
          <w:rStyle w:val="Voetnootmarkering"/>
        </w:rPr>
        <w:footnoteReference w:id="3"/>
      </w:r>
      <w:r>
        <w:t xml:space="preserve"> </w:t>
      </w:r>
      <w:r>
        <w:rPr>
          <w:rStyle w:val="Voetnootmarkering"/>
        </w:rPr>
        <w:footnoteReference w:id="4"/>
      </w:r>
      <w:r>
        <w:t xml:space="preserve"> </w:t>
      </w:r>
    </w:p>
    <w:p w:rsidR="00176267" w:rsidP="00176267" w:rsidRDefault="00176267" w14:paraId="0E0B7147" w14:textId="77777777"/>
    <w:p w:rsidR="00176267" w:rsidP="00176267" w:rsidRDefault="00176267" w14:paraId="68057BCB" w14:textId="77777777">
      <w:r>
        <w:t>Wij verwachten dat deze uitspraken aanleiding zijn voor alle BNPL-aanbieders om hun verdienmodel kritisch tegen het licht te houden en deze te herzien als zij concluderen dat de aanmanings- en incassokosten die zij consumenten rekenen meer dan alleen kostendekkend zijn.</w:t>
      </w:r>
    </w:p>
    <w:p w:rsidR="00176267" w:rsidP="00176267" w:rsidRDefault="00176267" w14:paraId="356B1422" w14:textId="77777777"/>
    <w:p w:rsidRPr="00544FC8" w:rsidR="00176267" w:rsidP="00176267" w:rsidRDefault="00176267" w14:paraId="67F019B7" w14:textId="77777777">
      <w:pPr>
        <w:rPr>
          <w:b/>
          <w:bCs/>
        </w:rPr>
      </w:pPr>
      <w:r>
        <w:rPr>
          <w:b/>
          <w:bCs/>
        </w:rPr>
        <w:t>Vraag 4</w:t>
      </w:r>
    </w:p>
    <w:p w:rsidR="00176267" w:rsidP="00176267" w:rsidRDefault="00176267" w14:paraId="0117789F" w14:textId="77777777">
      <w:r>
        <w:t xml:space="preserve">Welke maatregelen gaat u nemen om ervoor te zorgen dat </w:t>
      </w:r>
      <w:proofErr w:type="spellStart"/>
      <w:r>
        <w:t>Klarna</w:t>
      </w:r>
      <w:proofErr w:type="spellEnd"/>
      <w:r>
        <w:t xml:space="preserve"> zich aan de regels voor consumentenkrediet houdt?</w:t>
      </w:r>
    </w:p>
    <w:p w:rsidR="00176267" w:rsidP="00176267" w:rsidRDefault="00176267" w14:paraId="7C7B17E4" w14:textId="77777777"/>
    <w:p w:rsidR="00176267" w:rsidP="00176267" w:rsidRDefault="00176267" w14:paraId="19508583" w14:textId="77777777">
      <w:pPr>
        <w:rPr>
          <w:b/>
          <w:bCs/>
        </w:rPr>
      </w:pPr>
      <w:r>
        <w:rPr>
          <w:b/>
          <w:bCs/>
        </w:rPr>
        <w:t>Antwoord 4</w:t>
      </w:r>
    </w:p>
    <w:p w:rsidR="00176267" w:rsidP="00176267" w:rsidRDefault="00176267" w14:paraId="411E9F06" w14:textId="77777777">
      <w:r w:rsidRPr="00F84B74">
        <w:t xml:space="preserve">Aanbieders van BNPL-betaaldiensten komen </w:t>
      </w:r>
      <w:r>
        <w:t xml:space="preserve">uiterlijk </w:t>
      </w:r>
      <w:r w:rsidRPr="00F84B74">
        <w:t xml:space="preserve">november 2026 te vallen onder de herziene </w:t>
      </w:r>
      <w:r>
        <w:t xml:space="preserve">Europese </w:t>
      </w:r>
      <w:r w:rsidRPr="00F84B74">
        <w:t xml:space="preserve">Richtlijn consumentenkrediet </w:t>
      </w:r>
      <w:r>
        <w:t>(CCDII)</w:t>
      </w:r>
      <w:r w:rsidRPr="00F84B74">
        <w:t>.</w:t>
      </w:r>
      <w:r>
        <w:rPr>
          <w:rStyle w:val="Voetnootmarkering"/>
        </w:rPr>
        <w:footnoteReference w:id="5"/>
      </w:r>
      <w:r w:rsidRPr="00F84B74">
        <w:t xml:space="preserve"> Vanaf dan moeten de aanbieders van BNPL-betaaldiensten aan dezelfde, strenge regels voldoen als de aanbieders van consumptief krediet</w:t>
      </w:r>
      <w:r>
        <w:t>. Ook komen deze aanbieders vanaf dat moment onder toezicht van de AFM.</w:t>
      </w:r>
    </w:p>
    <w:p w:rsidR="00176267" w:rsidP="00176267" w:rsidRDefault="00176267" w14:paraId="4EC77801" w14:textId="77777777"/>
    <w:p w:rsidR="00176267" w:rsidP="00176267" w:rsidRDefault="00176267" w14:paraId="55539B80" w14:textId="77777777">
      <w:r>
        <w:t xml:space="preserve">De BNPL-gedragscode is kortgeleden aangepast met betrekking tot het verdienmodel; aangesloten partijen mogen niet verdienen aan incasso- en overige kosten. Ook </w:t>
      </w:r>
      <w:proofErr w:type="spellStart"/>
      <w:r>
        <w:t>Klarna</w:t>
      </w:r>
      <w:proofErr w:type="spellEnd"/>
      <w:r>
        <w:t xml:space="preserve"> is bij deze gedragscode aangesloten. Wij zullen met </w:t>
      </w:r>
      <w:proofErr w:type="spellStart"/>
      <w:r>
        <w:t>Klarna</w:t>
      </w:r>
      <w:proofErr w:type="spellEnd"/>
      <w:r>
        <w:t xml:space="preserve"> in gesprek gaan over deze uitspraak, of zij hun verdienmodel hebben aangepast op grond van de gedragscode en/of gerechtelijke uitspraak en of de incasso- en overige kosten die </w:t>
      </w:r>
      <w:proofErr w:type="spellStart"/>
      <w:r>
        <w:t>Klarna</w:t>
      </w:r>
      <w:proofErr w:type="spellEnd"/>
      <w:r>
        <w:t xml:space="preserve"> rekent meer dan kostendekkend zijn.</w:t>
      </w:r>
    </w:p>
    <w:p w:rsidR="00176267" w:rsidP="00176267" w:rsidRDefault="00176267" w14:paraId="03814EE0" w14:textId="77777777">
      <w:pPr>
        <w:rPr>
          <w:b/>
          <w:bCs/>
        </w:rPr>
      </w:pPr>
    </w:p>
    <w:p w:rsidRPr="00544FC8" w:rsidR="00176267" w:rsidP="00176267" w:rsidRDefault="00176267" w14:paraId="12BBA4E5" w14:textId="77777777">
      <w:pPr>
        <w:rPr>
          <w:b/>
          <w:bCs/>
        </w:rPr>
      </w:pPr>
      <w:r>
        <w:rPr>
          <w:b/>
          <w:bCs/>
        </w:rPr>
        <w:t>Vraag 5</w:t>
      </w:r>
    </w:p>
    <w:p w:rsidR="00176267" w:rsidP="00176267" w:rsidRDefault="00176267" w14:paraId="43B19D8A" w14:textId="77777777">
      <w:r>
        <w:t xml:space="preserve">Deelt u de mening dat achterafbetaaldiensten, zoals </w:t>
      </w:r>
      <w:proofErr w:type="spellStart"/>
      <w:r>
        <w:t>Klarna</w:t>
      </w:r>
      <w:proofErr w:type="spellEnd"/>
      <w:r>
        <w:t>, ongewenst zijn in Nederland, omdat zij met name jongeren aanzetten tot het aangaan van schulden?</w:t>
      </w:r>
    </w:p>
    <w:p w:rsidR="00176267" w:rsidP="00176267" w:rsidRDefault="00176267" w14:paraId="0FF58164" w14:textId="77777777"/>
    <w:p w:rsidR="00176267" w:rsidP="00176267" w:rsidRDefault="00176267" w14:paraId="58718D07" w14:textId="77777777">
      <w:pPr>
        <w:rPr>
          <w:b/>
          <w:bCs/>
        </w:rPr>
      </w:pPr>
      <w:r>
        <w:rPr>
          <w:b/>
          <w:bCs/>
        </w:rPr>
        <w:t>Antwoord 5</w:t>
      </w:r>
    </w:p>
    <w:p w:rsidR="00176267" w:rsidP="00176267" w:rsidRDefault="00176267" w14:paraId="173C2C1F" w14:textId="77777777">
      <w:r>
        <w:t xml:space="preserve">Wij constateren dat het gebruik van </w:t>
      </w:r>
      <w:proofErr w:type="gramStart"/>
      <w:r>
        <w:t>BNPL risico’s</w:t>
      </w:r>
      <w:proofErr w:type="gramEnd"/>
      <w:r>
        <w:t xml:space="preserve"> met zich meebrengt voor mensen in een kwetsbare situatie, zoals jongeren. Hier maken wij ons zorgen over. Daarom treden wij al enige tijd, gezamenlijk met de staatssecretaris voor Participatie en Integratie, op om deze risico’s te beperken.</w:t>
      </w:r>
    </w:p>
    <w:p w:rsidR="00176267" w:rsidP="00176267" w:rsidRDefault="00176267" w14:paraId="7A756E49" w14:textId="77777777"/>
    <w:p w:rsidR="00176267" w:rsidP="00176267" w:rsidRDefault="00176267" w14:paraId="0614DC3C" w14:textId="77777777">
      <w:r>
        <w:t xml:space="preserve">Zoals gezegd, komen aanbieders van BNPL-betaaldiensten uiterlijk november 2026 te vallen onder CCDII. Vanaf dan moeten ook de aanbieders van BNPL-betaaldiensten aan dezelfde, strenge regels voldoen als de aanbieders van consumptief krediet. In de praktijk betekent dit dat de aanbieders onder andere een krediettoets moeten gaan uitvoeren (waaronder een BKR-toets) en moeten voldoen aan regels ten aanzien van informatieverstrekking en reclame-uitingen. De richtlijn creëert, samengevat, de randvoorwaarden waarmee consumenten op verantwoorde wijze gebruik kunnen maken van BNPL. Een krediettoets is bijvoorbeeld een goed instrument om te voorkomen dat consumenten door de uitgestelde betaling in de problemen komen (overkreditering). </w:t>
      </w:r>
    </w:p>
    <w:p w:rsidR="00176267" w:rsidP="00176267" w:rsidRDefault="00176267" w14:paraId="6951AB0F" w14:textId="77777777"/>
    <w:p w:rsidRPr="00544FC8" w:rsidR="00176267" w:rsidP="00176267" w:rsidRDefault="00176267" w14:paraId="7D1C404D" w14:textId="77777777">
      <w:pPr>
        <w:rPr>
          <w:b/>
          <w:bCs/>
        </w:rPr>
      </w:pPr>
      <w:r>
        <w:rPr>
          <w:b/>
          <w:bCs/>
        </w:rPr>
        <w:t>Vraag 6</w:t>
      </w:r>
    </w:p>
    <w:p w:rsidR="00176267" w:rsidP="00176267" w:rsidRDefault="00176267" w14:paraId="3FDBD2B8" w14:textId="77777777">
      <w:r>
        <w:t>Zo ja, welke maatregelen gaat u nemen, in afwachting van de reeds voorgenomen en toegezegde wetgeving, om deze praktijken op korte termijn tegen te gaan?</w:t>
      </w:r>
    </w:p>
    <w:p w:rsidR="00176267" w:rsidP="00176267" w:rsidRDefault="00176267" w14:paraId="6F2FA359" w14:textId="77777777"/>
    <w:p w:rsidR="00176267" w:rsidP="00176267" w:rsidRDefault="00176267" w14:paraId="119A8A9E" w14:textId="77777777">
      <w:pPr>
        <w:rPr>
          <w:b/>
          <w:bCs/>
        </w:rPr>
      </w:pPr>
      <w:r>
        <w:rPr>
          <w:b/>
          <w:bCs/>
        </w:rPr>
        <w:t>Antwoord 6</w:t>
      </w:r>
    </w:p>
    <w:p w:rsidR="00176267" w:rsidP="00176267" w:rsidRDefault="00176267" w14:paraId="70C4777C" w14:textId="77777777">
      <w:r>
        <w:t xml:space="preserve">Door </w:t>
      </w:r>
      <w:r w:rsidRPr="001D7CBC">
        <w:t>vier aanbieders van BNPL-betaaldiensten (</w:t>
      </w:r>
      <w:proofErr w:type="spellStart"/>
      <w:r w:rsidRPr="001D7CBC">
        <w:t>Klarna</w:t>
      </w:r>
      <w:proofErr w:type="spellEnd"/>
      <w:r w:rsidRPr="001D7CBC">
        <w:t xml:space="preserve">, </w:t>
      </w:r>
      <w:proofErr w:type="spellStart"/>
      <w:r w:rsidRPr="001D7CBC">
        <w:t>Riverty</w:t>
      </w:r>
      <w:proofErr w:type="spellEnd"/>
      <w:r w:rsidRPr="001D7CBC">
        <w:t xml:space="preserve">, in3 en </w:t>
      </w:r>
      <w:proofErr w:type="spellStart"/>
      <w:r w:rsidRPr="001D7CBC">
        <w:t>Billink</w:t>
      </w:r>
      <w:proofErr w:type="spellEnd"/>
      <w:r w:rsidRPr="001D7CBC">
        <w:t xml:space="preserve">) </w:t>
      </w:r>
      <w:r>
        <w:t xml:space="preserve">is </w:t>
      </w:r>
      <w:r w:rsidRPr="001D7CBC">
        <w:t>een gedragscode opgesteld die op 30 oktober 2023 in werking is getreden.</w:t>
      </w:r>
      <w:r>
        <w:t xml:space="preserve"> De betrokken ministeries zijn doorlopend met de BNPL-aanbieders in gesprek om deze gedragscode aan te blijven scherpen naar een beschermingsniveau dat verder in lijn komt met de regelgeving uit de CCDII.</w:t>
      </w:r>
    </w:p>
    <w:p w:rsidR="00176267" w:rsidP="00176267" w:rsidRDefault="00176267" w14:paraId="3C28B0B4" w14:textId="77777777"/>
    <w:p w:rsidR="00176267" w:rsidP="00176267" w:rsidRDefault="00176267" w14:paraId="000FCF86" w14:textId="77777777">
      <w:r w:rsidRPr="001D7CBC">
        <w:t xml:space="preserve">Inzet op de preventie van schulden is </w:t>
      </w:r>
      <w:r>
        <w:t>daarnaast van belang</w:t>
      </w:r>
      <w:r w:rsidRPr="001D7CBC">
        <w:t xml:space="preserve">, door </w:t>
      </w:r>
      <w:r>
        <w:t xml:space="preserve">ervoor </w:t>
      </w:r>
      <w:r w:rsidRPr="001D7CBC">
        <w:t>te zorgen dat we mensen met beginnende geldzorgen en/of dreigende schuldenproblematiek zo vroeg mogelijk bereiken en door inzet op financiële educatie voor kinderen en jongeren. Het platform Wijzer in Geldzaken, waarin het</w:t>
      </w:r>
      <w:r>
        <w:t xml:space="preserve"> m</w:t>
      </w:r>
      <w:r w:rsidRPr="001D7CBC">
        <w:t xml:space="preserve">inisterie van Financiën samenwerkt met publieke en private partners uit de financiële sector, werkt op verschillende manieren aan het vergroten van het financiële bewustzijn en de financiële competenties waaronder kennis en vaardigheden. Zo dient de jaarlijkse Week van het Geld als belangrijke aanjager voor het structureel stimuleren van financiële vaardigheden van kinderen en jongeren in de klas. Tijdens deze week is er veel aandacht voor onderwerpen zoals financiële verleidingen (waaronder BNPL) en financieel zelfstandig worden. Wijzer in </w:t>
      </w:r>
      <w:r>
        <w:t>G</w:t>
      </w:r>
      <w:r w:rsidRPr="001D7CBC">
        <w:t xml:space="preserve">eldzaken </w:t>
      </w:r>
      <w:r>
        <w:t xml:space="preserve">moedigt </w:t>
      </w:r>
      <w:r w:rsidRPr="001D7CBC">
        <w:t>scholen aan om ook in de rest van het jaar aandacht te besteden aan leren omgaan met geld. In samenwerking met het</w:t>
      </w:r>
      <w:r>
        <w:t xml:space="preserve"> m</w:t>
      </w:r>
      <w:r w:rsidRPr="001D7CBC">
        <w:t xml:space="preserve">inisterie van Financiën ontwikkelde het </w:t>
      </w:r>
      <w:r>
        <w:t>m</w:t>
      </w:r>
      <w:r w:rsidRPr="001D7CBC">
        <w:t>inisterie van Sociale Zaken en Werkgelegenheid d</w:t>
      </w:r>
      <w:r>
        <w:t xml:space="preserve">aarnaast de </w:t>
      </w:r>
      <w:r w:rsidRPr="001D7CBC">
        <w:t>voorlichtings- en bewustwordingscampagne «Je Geld de Baas» over de risico’s en gevolgen van financiële verleidingen</w:t>
      </w:r>
      <w:r>
        <w:t>, waaronder BNPL. D</w:t>
      </w:r>
      <w:r w:rsidRPr="001D7CBC">
        <w:t>e subsidieregeling «Financiële Educatie voor onderwijsinstellingen» van het</w:t>
      </w:r>
      <w:r>
        <w:t xml:space="preserve"> m</w:t>
      </w:r>
      <w:r w:rsidRPr="001D7CBC">
        <w:t>inisterie van Sociale Zaken en Werkgelegenheid is tot slot een maatregel die als doel heeft het creëren, ontwikkelen en bevorderen van structurele aandacht voor financiële educatie op middelbare scholen en op mbo-scholen.</w:t>
      </w:r>
      <w:r>
        <w:rPr>
          <w:rStyle w:val="Voetnootmarkering"/>
        </w:rPr>
        <w:footnoteReference w:id="6"/>
      </w:r>
      <w:r w:rsidRPr="001D7CBC">
        <w:t xml:space="preserve"> De subsidie biedt scholen onder meer de mogelijkheid om voor een periode van maximaal drie jaar docenten te trainen en medewerkers vrij te tellen om financiële educatie een structurele plek te geven in het onderwijsprogramma.</w:t>
      </w:r>
      <w:r>
        <w:rPr>
          <w:rStyle w:val="Voetnootmarkering"/>
        </w:rPr>
        <w:footnoteReference w:id="7"/>
      </w:r>
    </w:p>
    <w:p w:rsidR="00176267" w:rsidP="00176267" w:rsidRDefault="00176267" w14:paraId="7998EAE5" w14:textId="77777777"/>
    <w:p w:rsidR="00176267" w:rsidP="00176267" w:rsidRDefault="00176267" w14:paraId="7A783B44" w14:textId="77777777"/>
    <w:p w:rsidR="00176267" w:rsidP="00176267" w:rsidRDefault="00176267" w14:paraId="718692B7" w14:textId="77777777"/>
    <w:p w:rsidR="00176267" w:rsidP="00176267" w:rsidRDefault="00176267" w14:paraId="52B76FCA" w14:textId="77777777"/>
    <w:p w:rsidRPr="00544FC8" w:rsidR="00176267" w:rsidP="00176267" w:rsidRDefault="00176267" w14:paraId="62487538" w14:textId="77777777">
      <w:pPr>
        <w:rPr>
          <w:b/>
          <w:bCs/>
        </w:rPr>
      </w:pPr>
      <w:r>
        <w:rPr>
          <w:b/>
          <w:bCs/>
        </w:rPr>
        <w:lastRenderedPageBreak/>
        <w:t>Vraag 7</w:t>
      </w:r>
    </w:p>
    <w:p w:rsidR="00176267" w:rsidP="00176267" w:rsidRDefault="00176267" w14:paraId="10C5C136" w14:textId="77777777">
      <w:r>
        <w:t>Kunt u deze vragen één voor één beantwoorden voor het commissiedebat Armoede en schulden van de vaste commissie voor Sociale Zaken en Werkgelegenheid, dat is gepland op 22 mei 2025?</w:t>
      </w:r>
    </w:p>
    <w:p w:rsidR="00176267" w:rsidP="00176267" w:rsidRDefault="00176267" w14:paraId="0D91DC42" w14:textId="77777777"/>
    <w:p w:rsidR="00176267" w:rsidP="00176267" w:rsidRDefault="00176267" w14:paraId="2FBB86D3" w14:textId="77777777">
      <w:pPr>
        <w:rPr>
          <w:b/>
          <w:bCs/>
        </w:rPr>
      </w:pPr>
      <w:r>
        <w:rPr>
          <w:b/>
          <w:bCs/>
        </w:rPr>
        <w:t>Antwoord 7</w:t>
      </w:r>
    </w:p>
    <w:p w:rsidRPr="00544FC8" w:rsidR="00176267" w:rsidP="00176267" w:rsidRDefault="00176267" w14:paraId="483024FE" w14:textId="77777777">
      <w:r>
        <w:t>Ja.</w:t>
      </w:r>
    </w:p>
    <w:p w:rsidRPr="00176267" w:rsidR="00544FC8" w:rsidP="00176267" w:rsidRDefault="00544FC8" w14:paraId="22E7B692" w14:textId="41A8C8A5"/>
    <w:sectPr w:rsidRPr="00176267" w:rsidR="00544FC8">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66433" w14:textId="77777777" w:rsidR="00D50E60" w:rsidRDefault="00D50E60">
      <w:pPr>
        <w:spacing w:line="240" w:lineRule="auto"/>
      </w:pPr>
      <w:r>
        <w:separator/>
      </w:r>
    </w:p>
  </w:endnote>
  <w:endnote w:type="continuationSeparator" w:id="0">
    <w:p w14:paraId="43200547" w14:textId="77777777" w:rsidR="00D50E60" w:rsidRDefault="00D50E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88048" w14:textId="77777777" w:rsidR="00D50E60" w:rsidRDefault="00D50E60">
      <w:pPr>
        <w:spacing w:line="240" w:lineRule="auto"/>
      </w:pPr>
      <w:r>
        <w:separator/>
      </w:r>
    </w:p>
  </w:footnote>
  <w:footnote w:type="continuationSeparator" w:id="0">
    <w:p w14:paraId="136C8A9F" w14:textId="77777777" w:rsidR="00D50E60" w:rsidRDefault="00D50E60">
      <w:pPr>
        <w:spacing w:line="240" w:lineRule="auto"/>
      </w:pPr>
      <w:r>
        <w:continuationSeparator/>
      </w:r>
    </w:p>
  </w:footnote>
  <w:footnote w:id="1">
    <w:p w14:paraId="7A080407" w14:textId="77777777" w:rsidR="00176267" w:rsidRPr="00C757FE" w:rsidRDefault="00176267" w:rsidP="00176267">
      <w:pPr>
        <w:pStyle w:val="Voetnoottekst"/>
        <w:rPr>
          <w:sz w:val="16"/>
          <w:szCs w:val="16"/>
        </w:rPr>
      </w:pPr>
      <w:r w:rsidRPr="00C757FE">
        <w:rPr>
          <w:rStyle w:val="Voetnootmarkering"/>
          <w:sz w:val="16"/>
          <w:szCs w:val="16"/>
        </w:rPr>
        <w:footnoteRef/>
      </w:r>
      <w:r w:rsidRPr="00C757FE">
        <w:rPr>
          <w:sz w:val="16"/>
          <w:szCs w:val="16"/>
        </w:rPr>
        <w:t xml:space="preserve"> </w:t>
      </w:r>
      <w:hyperlink r:id="rId1" w:history="1">
        <w:r w:rsidRPr="00C757FE">
          <w:rPr>
            <w:rStyle w:val="Hyperlink"/>
            <w:sz w:val="16"/>
            <w:szCs w:val="16"/>
          </w:rPr>
          <w:t>https://nos.nl/l/2565596</w:t>
        </w:r>
      </w:hyperlink>
      <w:r w:rsidRPr="00C757FE">
        <w:rPr>
          <w:sz w:val="16"/>
          <w:szCs w:val="16"/>
        </w:rPr>
        <w:t xml:space="preserve"> </w:t>
      </w:r>
    </w:p>
  </w:footnote>
  <w:footnote w:id="2">
    <w:p w14:paraId="208F85FE" w14:textId="77777777" w:rsidR="00176267" w:rsidRPr="00C757FE" w:rsidRDefault="00176267" w:rsidP="00176267">
      <w:pPr>
        <w:pStyle w:val="Voetnoottekst"/>
        <w:rPr>
          <w:sz w:val="16"/>
          <w:szCs w:val="16"/>
        </w:rPr>
      </w:pPr>
      <w:r w:rsidRPr="00C757FE">
        <w:rPr>
          <w:rStyle w:val="Voetnootmarkering"/>
          <w:sz w:val="16"/>
          <w:szCs w:val="16"/>
        </w:rPr>
        <w:footnoteRef/>
      </w:r>
      <w:r w:rsidRPr="00C757FE">
        <w:rPr>
          <w:sz w:val="16"/>
          <w:szCs w:val="16"/>
        </w:rPr>
        <w:t xml:space="preserve"> </w:t>
      </w:r>
      <w:hyperlink r:id="rId2" w:history="1">
        <w:r w:rsidRPr="00C757FE">
          <w:rPr>
            <w:rStyle w:val="Hyperlink"/>
            <w:sz w:val="16"/>
            <w:szCs w:val="16"/>
          </w:rPr>
          <w:t>ECLI:</w:t>
        </w:r>
        <w:proofErr w:type="gramStart"/>
        <w:r w:rsidRPr="00C757FE">
          <w:rPr>
            <w:rStyle w:val="Hyperlink"/>
            <w:sz w:val="16"/>
            <w:szCs w:val="16"/>
          </w:rPr>
          <w:t>NL:RBMNE</w:t>
        </w:r>
        <w:proofErr w:type="gramEnd"/>
        <w:r w:rsidRPr="00C757FE">
          <w:rPr>
            <w:rStyle w:val="Hyperlink"/>
            <w:sz w:val="16"/>
            <w:szCs w:val="16"/>
          </w:rPr>
          <w:t>:2025:2054, Rechtbank Midden-Nederland, 11309127 UC EXPL 24-6266 CD/942</w:t>
        </w:r>
      </w:hyperlink>
    </w:p>
  </w:footnote>
  <w:footnote w:id="3">
    <w:p w14:paraId="3D142815" w14:textId="77777777" w:rsidR="00176267" w:rsidRPr="00C757FE" w:rsidRDefault="00176267" w:rsidP="00176267">
      <w:pPr>
        <w:pStyle w:val="Voetnoottekst"/>
        <w:rPr>
          <w:sz w:val="16"/>
          <w:szCs w:val="16"/>
        </w:rPr>
      </w:pPr>
      <w:r w:rsidRPr="00C757FE">
        <w:rPr>
          <w:rStyle w:val="Voetnootmarkering"/>
          <w:sz w:val="16"/>
          <w:szCs w:val="16"/>
        </w:rPr>
        <w:footnoteRef/>
      </w:r>
      <w:r w:rsidRPr="00C757FE">
        <w:rPr>
          <w:sz w:val="16"/>
          <w:szCs w:val="16"/>
        </w:rPr>
        <w:t xml:space="preserve"> </w:t>
      </w:r>
      <w:hyperlink r:id="rId3" w:history="1">
        <w:r w:rsidRPr="00C757FE">
          <w:rPr>
            <w:rStyle w:val="Hyperlink"/>
            <w:sz w:val="16"/>
            <w:szCs w:val="16"/>
          </w:rPr>
          <w:t>ECLI:</w:t>
        </w:r>
        <w:proofErr w:type="gramStart"/>
        <w:r w:rsidRPr="00C757FE">
          <w:rPr>
            <w:rStyle w:val="Hyperlink"/>
            <w:sz w:val="16"/>
            <w:szCs w:val="16"/>
          </w:rPr>
          <w:t>NL:RBMNE</w:t>
        </w:r>
        <w:proofErr w:type="gramEnd"/>
        <w:r w:rsidRPr="00C757FE">
          <w:rPr>
            <w:rStyle w:val="Hyperlink"/>
            <w:sz w:val="16"/>
            <w:szCs w:val="16"/>
          </w:rPr>
          <w:t>:2025:2058, Rechtbank Midden-Nederland, 11356156 LC EXPL 24-2651 CD/942</w:t>
        </w:r>
      </w:hyperlink>
    </w:p>
  </w:footnote>
  <w:footnote w:id="4">
    <w:p w14:paraId="49527A0E" w14:textId="77777777" w:rsidR="00176267" w:rsidRPr="00C757FE" w:rsidRDefault="00176267" w:rsidP="00176267">
      <w:pPr>
        <w:pStyle w:val="Voetnoottekst"/>
        <w:rPr>
          <w:sz w:val="16"/>
          <w:szCs w:val="16"/>
        </w:rPr>
      </w:pPr>
      <w:r w:rsidRPr="00C757FE">
        <w:rPr>
          <w:rStyle w:val="Voetnootmarkering"/>
          <w:sz w:val="16"/>
          <w:szCs w:val="16"/>
        </w:rPr>
        <w:footnoteRef/>
      </w:r>
      <w:r w:rsidRPr="00C757FE">
        <w:rPr>
          <w:sz w:val="16"/>
          <w:szCs w:val="16"/>
        </w:rPr>
        <w:t xml:space="preserve"> </w:t>
      </w:r>
      <w:hyperlink r:id="rId4" w:history="1">
        <w:r w:rsidRPr="00C757FE">
          <w:rPr>
            <w:rStyle w:val="Hyperlink"/>
            <w:sz w:val="16"/>
            <w:szCs w:val="16"/>
          </w:rPr>
          <w:t>ECLI:</w:t>
        </w:r>
        <w:proofErr w:type="gramStart"/>
        <w:r w:rsidRPr="00C757FE">
          <w:rPr>
            <w:rStyle w:val="Hyperlink"/>
            <w:sz w:val="16"/>
            <w:szCs w:val="16"/>
          </w:rPr>
          <w:t>NL:RBMNE</w:t>
        </w:r>
        <w:proofErr w:type="gramEnd"/>
        <w:r w:rsidRPr="00C757FE">
          <w:rPr>
            <w:rStyle w:val="Hyperlink"/>
            <w:sz w:val="16"/>
            <w:szCs w:val="16"/>
          </w:rPr>
          <w:t>:2025:2059, Rechtbank Midden-Nederland, 11328823 LC EXPL 24-2484 CD/942</w:t>
        </w:r>
      </w:hyperlink>
    </w:p>
  </w:footnote>
  <w:footnote w:id="5">
    <w:p w14:paraId="7C214F69" w14:textId="77777777" w:rsidR="00176267" w:rsidRPr="00C757FE" w:rsidRDefault="00176267" w:rsidP="00176267">
      <w:pPr>
        <w:pStyle w:val="Voetnoottekst"/>
        <w:rPr>
          <w:sz w:val="16"/>
          <w:szCs w:val="16"/>
        </w:rPr>
      </w:pPr>
      <w:r w:rsidRPr="00C757FE">
        <w:rPr>
          <w:rStyle w:val="Voetnootmarkering"/>
          <w:sz w:val="16"/>
          <w:szCs w:val="16"/>
        </w:rPr>
        <w:footnoteRef/>
      </w:r>
      <w:r w:rsidRPr="00C757FE">
        <w:rPr>
          <w:sz w:val="16"/>
          <w:szCs w:val="16"/>
        </w:rPr>
        <w:t xml:space="preserve"> Richtlijn (EU) 2023/2225 van het Europees Parlement en de Raad, 18 oktober 2023 inzake kredietovereenkomsten voor consumenten en tot intrekking van Richtlijn 2008/48/EG (Consumer Credit Directive, CCDII).</w:t>
      </w:r>
    </w:p>
  </w:footnote>
  <w:footnote w:id="6">
    <w:p w14:paraId="24F077AA" w14:textId="77777777" w:rsidR="00176267" w:rsidRPr="00C757FE" w:rsidRDefault="00176267" w:rsidP="00176267">
      <w:pPr>
        <w:pStyle w:val="Voetnoottekst"/>
        <w:rPr>
          <w:sz w:val="16"/>
          <w:szCs w:val="16"/>
        </w:rPr>
      </w:pPr>
      <w:r w:rsidRPr="00C757FE">
        <w:rPr>
          <w:rStyle w:val="Voetnootmarkering"/>
          <w:sz w:val="16"/>
          <w:szCs w:val="16"/>
        </w:rPr>
        <w:footnoteRef/>
      </w:r>
      <w:r w:rsidRPr="00C757FE">
        <w:rPr>
          <w:sz w:val="16"/>
          <w:szCs w:val="16"/>
        </w:rPr>
        <w:t xml:space="preserve"> </w:t>
      </w:r>
      <w:hyperlink r:id="rId5" w:history="1">
        <w:r w:rsidRPr="00C757FE">
          <w:rPr>
            <w:rStyle w:val="Hyperlink"/>
            <w:sz w:val="16"/>
            <w:szCs w:val="16"/>
          </w:rPr>
          <w:t>https://wetten.overheid.nl/BWBR0048586/2024-03-19/0</w:t>
        </w:r>
      </w:hyperlink>
      <w:r w:rsidRPr="00C757FE">
        <w:rPr>
          <w:sz w:val="16"/>
          <w:szCs w:val="16"/>
        </w:rPr>
        <w:t xml:space="preserve"> </w:t>
      </w:r>
    </w:p>
  </w:footnote>
  <w:footnote w:id="7">
    <w:p w14:paraId="382B8CCD" w14:textId="77777777" w:rsidR="00176267" w:rsidRPr="00C757FE" w:rsidRDefault="00176267" w:rsidP="00176267">
      <w:pPr>
        <w:pStyle w:val="Voetnoottekst"/>
        <w:rPr>
          <w:sz w:val="16"/>
          <w:szCs w:val="16"/>
        </w:rPr>
      </w:pPr>
      <w:r w:rsidRPr="00C757FE">
        <w:rPr>
          <w:rStyle w:val="Voetnootmarkering"/>
          <w:sz w:val="16"/>
          <w:szCs w:val="16"/>
        </w:rPr>
        <w:footnoteRef/>
      </w:r>
      <w:r w:rsidRPr="00C757FE">
        <w:rPr>
          <w:sz w:val="16"/>
          <w:szCs w:val="16"/>
        </w:rPr>
        <w:t xml:space="preserve"> </w:t>
      </w:r>
      <w:r w:rsidRPr="00C757FE">
        <w:rPr>
          <w:i/>
          <w:iCs/>
          <w:sz w:val="16"/>
          <w:szCs w:val="16"/>
        </w:rPr>
        <w:t>Kamerstuk</w:t>
      </w:r>
      <w:r w:rsidRPr="00C757FE">
        <w:rPr>
          <w:sz w:val="16"/>
          <w:szCs w:val="16"/>
        </w:rPr>
        <w:t xml:space="preserve"> 24 515, nr. 698.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1477" w14:textId="77777777" w:rsidR="002310BF" w:rsidRDefault="00D50E60">
    <w:r>
      <w:rPr>
        <w:noProof/>
      </w:rPr>
      <mc:AlternateContent>
        <mc:Choice Requires="wps">
          <w:drawing>
            <wp:anchor distT="0" distB="0" distL="0" distR="0" simplePos="0" relativeHeight="251652096" behindDoc="0" locked="1" layoutInCell="1" allowOverlap="1" wp14:anchorId="45BCCB63" wp14:editId="76D37BB0">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DF9D942" w14:textId="77777777" w:rsidR="002310BF" w:rsidRDefault="00D50E60">
                          <w:pPr>
                            <w:pStyle w:val="StandaardReferentiegegevensKop"/>
                          </w:pPr>
                          <w:r>
                            <w:t>Directie Financiële Markten</w:t>
                          </w:r>
                        </w:p>
                        <w:p w14:paraId="651086E6" w14:textId="77777777" w:rsidR="002310BF" w:rsidRDefault="002310BF">
                          <w:pPr>
                            <w:pStyle w:val="WitregelW1"/>
                          </w:pPr>
                        </w:p>
                        <w:p w14:paraId="46142229" w14:textId="77777777" w:rsidR="002310BF" w:rsidRDefault="00D50E60">
                          <w:pPr>
                            <w:pStyle w:val="StandaardReferentiegegevensKop"/>
                          </w:pPr>
                          <w:r>
                            <w:t>Ons kenmerk</w:t>
                          </w:r>
                        </w:p>
                        <w:p w14:paraId="0D6F5B5C" w14:textId="71E00D24" w:rsidR="009B583E" w:rsidRDefault="00176267">
                          <w:pPr>
                            <w:pStyle w:val="StandaardReferentiegegevens"/>
                          </w:pPr>
                          <w:fldSimple w:instr=" DOCPROPERTY  &quot;Kenmerk&quot;  \* MERGEFORMAT ">
                            <w:r w:rsidR="00FA480D">
                              <w:t>2025-0000137021</w:t>
                            </w:r>
                          </w:fldSimple>
                        </w:p>
                      </w:txbxContent>
                    </wps:txbx>
                    <wps:bodyPr vert="horz" wrap="square" lIns="0" tIns="0" rIns="0" bIns="0" anchor="t" anchorCtr="0"/>
                  </wps:wsp>
                </a:graphicData>
              </a:graphic>
            </wp:anchor>
          </w:drawing>
        </mc:Choice>
        <mc:Fallback>
          <w:pict>
            <v:shapetype w14:anchorId="45BCCB63"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DF9D942" w14:textId="77777777" w:rsidR="002310BF" w:rsidRDefault="00D50E60">
                    <w:pPr>
                      <w:pStyle w:val="StandaardReferentiegegevensKop"/>
                    </w:pPr>
                    <w:r>
                      <w:t>Directie Financiële Markten</w:t>
                    </w:r>
                  </w:p>
                  <w:p w14:paraId="651086E6" w14:textId="77777777" w:rsidR="002310BF" w:rsidRDefault="002310BF">
                    <w:pPr>
                      <w:pStyle w:val="WitregelW1"/>
                    </w:pPr>
                  </w:p>
                  <w:p w14:paraId="46142229" w14:textId="77777777" w:rsidR="002310BF" w:rsidRDefault="00D50E60">
                    <w:pPr>
                      <w:pStyle w:val="StandaardReferentiegegevensKop"/>
                    </w:pPr>
                    <w:r>
                      <w:t>Ons kenmerk</w:t>
                    </w:r>
                  </w:p>
                  <w:p w14:paraId="0D6F5B5C" w14:textId="71E00D24" w:rsidR="009B583E" w:rsidRDefault="00176267">
                    <w:pPr>
                      <w:pStyle w:val="StandaardReferentiegegevens"/>
                    </w:pPr>
                    <w:fldSimple w:instr=" DOCPROPERTY  &quot;Kenmerk&quot;  \* MERGEFORMAT ">
                      <w:r w:rsidR="00FA480D">
                        <w:t>2025-0000137021</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A3D1044" wp14:editId="03A5C7F7">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AA87EA9" w14:textId="77777777" w:rsidR="009B583E" w:rsidRDefault="0017626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A3D1044"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AA87EA9" w14:textId="77777777" w:rsidR="009B583E" w:rsidRDefault="0017626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9F4F83F" wp14:editId="15E42E21">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26CD618" w14:textId="322D778F" w:rsidR="009B583E" w:rsidRDefault="0017626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9F4F83F"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26CD618" w14:textId="322D778F" w:rsidR="009B583E" w:rsidRDefault="00176267">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B8CD" w14:textId="77777777" w:rsidR="002310BF" w:rsidRDefault="00D50E60">
    <w:pPr>
      <w:spacing w:after="7029" w:line="14" w:lineRule="exact"/>
    </w:pPr>
    <w:r>
      <w:rPr>
        <w:noProof/>
      </w:rPr>
      <mc:AlternateContent>
        <mc:Choice Requires="wps">
          <w:drawing>
            <wp:anchor distT="0" distB="0" distL="0" distR="0" simplePos="0" relativeHeight="251655168" behindDoc="0" locked="1" layoutInCell="1" allowOverlap="1" wp14:anchorId="6DCA6607" wp14:editId="08B903AC">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15377C1" w14:textId="77777777" w:rsidR="002310BF" w:rsidRDefault="00D50E60">
                          <w:pPr>
                            <w:spacing w:line="240" w:lineRule="auto"/>
                          </w:pPr>
                          <w:r>
                            <w:rPr>
                              <w:noProof/>
                            </w:rPr>
                            <w:drawing>
                              <wp:inline distT="0" distB="0" distL="0" distR="0" wp14:anchorId="4EC4EC33" wp14:editId="73A6434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DCA6607"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15377C1" w14:textId="77777777" w:rsidR="002310BF" w:rsidRDefault="00D50E60">
                    <w:pPr>
                      <w:spacing w:line="240" w:lineRule="auto"/>
                    </w:pPr>
                    <w:r>
                      <w:rPr>
                        <w:noProof/>
                      </w:rPr>
                      <w:drawing>
                        <wp:inline distT="0" distB="0" distL="0" distR="0" wp14:anchorId="4EC4EC33" wp14:editId="73A6434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CCE8AF7" wp14:editId="5AB60962">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C983DFD" w14:textId="77777777" w:rsidR="00D50E60" w:rsidRDefault="00D50E60"/>
                      </w:txbxContent>
                    </wps:txbx>
                    <wps:bodyPr vert="horz" wrap="square" lIns="0" tIns="0" rIns="0" bIns="0" anchor="t" anchorCtr="0"/>
                  </wps:wsp>
                </a:graphicData>
              </a:graphic>
            </wp:anchor>
          </w:drawing>
        </mc:Choice>
        <mc:Fallback>
          <w:pict>
            <v:shape w14:anchorId="3CCE8AF7"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C983DFD" w14:textId="77777777" w:rsidR="00D50E60" w:rsidRDefault="00D50E60"/>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492E4C6" wp14:editId="625F302F">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0FAD4FA" w14:textId="77777777" w:rsidR="002310BF" w:rsidRDefault="00D50E60">
                          <w:pPr>
                            <w:pStyle w:val="StandaardReferentiegegevensKop"/>
                          </w:pPr>
                          <w:r>
                            <w:t>Directie Financiële Markten</w:t>
                          </w:r>
                        </w:p>
                        <w:p w14:paraId="01C938F1" w14:textId="77777777" w:rsidR="002310BF" w:rsidRDefault="002310BF">
                          <w:pPr>
                            <w:pStyle w:val="WitregelW1"/>
                          </w:pPr>
                        </w:p>
                        <w:p w14:paraId="1F9A18EB" w14:textId="77777777" w:rsidR="002310BF" w:rsidRDefault="00D50E60">
                          <w:pPr>
                            <w:pStyle w:val="StandaardReferentiegegevens"/>
                          </w:pPr>
                          <w:r>
                            <w:t>Korte Voorhout 7</w:t>
                          </w:r>
                        </w:p>
                        <w:p w14:paraId="75BABF05" w14:textId="77777777" w:rsidR="002310BF" w:rsidRDefault="00D50E60">
                          <w:pPr>
                            <w:pStyle w:val="StandaardReferentiegegevens"/>
                          </w:pPr>
                          <w:r>
                            <w:t>2511 CW  'S-GRAVENHAGE</w:t>
                          </w:r>
                        </w:p>
                        <w:p w14:paraId="183F16E2" w14:textId="77777777" w:rsidR="002310BF" w:rsidRDefault="00D50E60">
                          <w:pPr>
                            <w:pStyle w:val="StandaardReferentiegegevens"/>
                          </w:pPr>
                          <w:r>
                            <w:t>POSTBUS 20201</w:t>
                          </w:r>
                        </w:p>
                        <w:p w14:paraId="475D9D84" w14:textId="77777777" w:rsidR="002310BF" w:rsidRDefault="00D50E60">
                          <w:pPr>
                            <w:pStyle w:val="StandaardReferentiegegevens"/>
                          </w:pPr>
                          <w:r>
                            <w:t>2500 EE  'S-GRAVENHAGE</w:t>
                          </w:r>
                        </w:p>
                        <w:p w14:paraId="6D709A61" w14:textId="77777777" w:rsidR="002310BF" w:rsidRDefault="00D50E60">
                          <w:pPr>
                            <w:pStyle w:val="StandaardReferentiegegevens"/>
                          </w:pPr>
                          <w:proofErr w:type="gramStart"/>
                          <w:r>
                            <w:t>www.rijksoverheid.nl/fin</w:t>
                          </w:r>
                          <w:proofErr w:type="gramEnd"/>
                        </w:p>
                        <w:p w14:paraId="13DF7BBE" w14:textId="77777777" w:rsidR="002310BF" w:rsidRDefault="002310BF">
                          <w:pPr>
                            <w:pStyle w:val="WitregelW2"/>
                          </w:pPr>
                        </w:p>
                        <w:p w14:paraId="7F9AEF47" w14:textId="77777777" w:rsidR="002310BF" w:rsidRDefault="00D50E60">
                          <w:pPr>
                            <w:pStyle w:val="StandaardReferentiegegevensKop"/>
                          </w:pPr>
                          <w:r>
                            <w:t>Ons kenmerk</w:t>
                          </w:r>
                        </w:p>
                        <w:p w14:paraId="75DA6D07" w14:textId="4A468D1E" w:rsidR="009B583E" w:rsidRDefault="00176267">
                          <w:pPr>
                            <w:pStyle w:val="StandaardReferentiegegevens"/>
                          </w:pPr>
                          <w:fldSimple w:instr=" DOCPROPERTY  &quot;Kenmerk&quot;  \* MERGEFORMAT ">
                            <w:r w:rsidR="00FA480D">
                              <w:t>2025-0000137021</w:t>
                            </w:r>
                          </w:fldSimple>
                        </w:p>
                        <w:p w14:paraId="579597A8" w14:textId="77777777" w:rsidR="002310BF" w:rsidRDefault="002310BF">
                          <w:pPr>
                            <w:pStyle w:val="WitregelW1"/>
                          </w:pPr>
                        </w:p>
                        <w:p w14:paraId="20E7FA73" w14:textId="77777777" w:rsidR="002310BF" w:rsidRDefault="00D50E60">
                          <w:pPr>
                            <w:pStyle w:val="StandaardReferentiegegevensKop"/>
                          </w:pPr>
                          <w:r>
                            <w:t>Uw brief (kenmerk)</w:t>
                          </w:r>
                        </w:p>
                        <w:p w14:paraId="7E7FCF43" w14:textId="1FBB9D8C" w:rsidR="009B583E" w:rsidRDefault="00176267">
                          <w:pPr>
                            <w:pStyle w:val="StandaardReferentiegegevens"/>
                          </w:pPr>
                          <w:r>
                            <w:fldChar w:fldCharType="begin"/>
                          </w:r>
                          <w:r>
                            <w:instrText xml:space="preserve"> DOCPROPERTY  "UwKenmerk"  \* MERGEFORMAT </w:instrText>
                          </w:r>
                          <w:r>
                            <w:fldChar w:fldCharType="end"/>
                          </w:r>
                        </w:p>
                        <w:p w14:paraId="083F341B" w14:textId="77777777" w:rsidR="002310BF" w:rsidRDefault="002310BF">
                          <w:pPr>
                            <w:pStyle w:val="WitregelW1"/>
                          </w:pPr>
                        </w:p>
                        <w:p w14:paraId="7BBE9F89" w14:textId="77777777" w:rsidR="002310BF" w:rsidRDefault="00D50E60">
                          <w:pPr>
                            <w:pStyle w:val="StandaardReferentiegegevensKop"/>
                          </w:pPr>
                          <w:r>
                            <w:t>Bijlagen</w:t>
                          </w:r>
                        </w:p>
                        <w:p w14:paraId="5AFB3FA8" w14:textId="77777777" w:rsidR="002310BF" w:rsidRDefault="00D50E60">
                          <w:pPr>
                            <w:pStyle w:val="StandaardReferentiegegevens"/>
                          </w:pPr>
                          <w:r>
                            <w:t>Geen</w:t>
                          </w:r>
                        </w:p>
                      </w:txbxContent>
                    </wps:txbx>
                    <wps:bodyPr vert="horz" wrap="square" lIns="0" tIns="0" rIns="0" bIns="0" anchor="t" anchorCtr="0"/>
                  </wps:wsp>
                </a:graphicData>
              </a:graphic>
            </wp:anchor>
          </w:drawing>
        </mc:Choice>
        <mc:Fallback>
          <w:pict>
            <v:shape w14:anchorId="1492E4C6"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0FAD4FA" w14:textId="77777777" w:rsidR="002310BF" w:rsidRDefault="00D50E60">
                    <w:pPr>
                      <w:pStyle w:val="StandaardReferentiegegevensKop"/>
                    </w:pPr>
                    <w:r>
                      <w:t>Directie Financiële Markten</w:t>
                    </w:r>
                  </w:p>
                  <w:p w14:paraId="01C938F1" w14:textId="77777777" w:rsidR="002310BF" w:rsidRDefault="002310BF">
                    <w:pPr>
                      <w:pStyle w:val="WitregelW1"/>
                    </w:pPr>
                  </w:p>
                  <w:p w14:paraId="1F9A18EB" w14:textId="77777777" w:rsidR="002310BF" w:rsidRDefault="00D50E60">
                    <w:pPr>
                      <w:pStyle w:val="StandaardReferentiegegevens"/>
                    </w:pPr>
                    <w:r>
                      <w:t>Korte Voorhout 7</w:t>
                    </w:r>
                  </w:p>
                  <w:p w14:paraId="75BABF05" w14:textId="77777777" w:rsidR="002310BF" w:rsidRDefault="00D50E60">
                    <w:pPr>
                      <w:pStyle w:val="StandaardReferentiegegevens"/>
                    </w:pPr>
                    <w:r>
                      <w:t>2511 CW  'S-GRAVENHAGE</w:t>
                    </w:r>
                  </w:p>
                  <w:p w14:paraId="183F16E2" w14:textId="77777777" w:rsidR="002310BF" w:rsidRDefault="00D50E60">
                    <w:pPr>
                      <w:pStyle w:val="StandaardReferentiegegevens"/>
                    </w:pPr>
                    <w:r>
                      <w:t>POSTBUS 20201</w:t>
                    </w:r>
                  </w:p>
                  <w:p w14:paraId="475D9D84" w14:textId="77777777" w:rsidR="002310BF" w:rsidRDefault="00D50E60">
                    <w:pPr>
                      <w:pStyle w:val="StandaardReferentiegegevens"/>
                    </w:pPr>
                    <w:r>
                      <w:t>2500 EE  'S-GRAVENHAGE</w:t>
                    </w:r>
                  </w:p>
                  <w:p w14:paraId="6D709A61" w14:textId="77777777" w:rsidR="002310BF" w:rsidRDefault="00D50E60">
                    <w:pPr>
                      <w:pStyle w:val="StandaardReferentiegegevens"/>
                    </w:pPr>
                    <w:proofErr w:type="gramStart"/>
                    <w:r>
                      <w:t>www.rijksoverheid.nl/fin</w:t>
                    </w:r>
                    <w:proofErr w:type="gramEnd"/>
                  </w:p>
                  <w:p w14:paraId="13DF7BBE" w14:textId="77777777" w:rsidR="002310BF" w:rsidRDefault="002310BF">
                    <w:pPr>
                      <w:pStyle w:val="WitregelW2"/>
                    </w:pPr>
                  </w:p>
                  <w:p w14:paraId="7F9AEF47" w14:textId="77777777" w:rsidR="002310BF" w:rsidRDefault="00D50E60">
                    <w:pPr>
                      <w:pStyle w:val="StandaardReferentiegegevensKop"/>
                    </w:pPr>
                    <w:r>
                      <w:t>Ons kenmerk</w:t>
                    </w:r>
                  </w:p>
                  <w:p w14:paraId="75DA6D07" w14:textId="4A468D1E" w:rsidR="009B583E" w:rsidRDefault="00176267">
                    <w:pPr>
                      <w:pStyle w:val="StandaardReferentiegegevens"/>
                    </w:pPr>
                    <w:fldSimple w:instr=" DOCPROPERTY  &quot;Kenmerk&quot;  \* MERGEFORMAT ">
                      <w:r w:rsidR="00FA480D">
                        <w:t>2025-0000137021</w:t>
                      </w:r>
                    </w:fldSimple>
                  </w:p>
                  <w:p w14:paraId="579597A8" w14:textId="77777777" w:rsidR="002310BF" w:rsidRDefault="002310BF">
                    <w:pPr>
                      <w:pStyle w:val="WitregelW1"/>
                    </w:pPr>
                  </w:p>
                  <w:p w14:paraId="20E7FA73" w14:textId="77777777" w:rsidR="002310BF" w:rsidRDefault="00D50E60">
                    <w:pPr>
                      <w:pStyle w:val="StandaardReferentiegegevensKop"/>
                    </w:pPr>
                    <w:r>
                      <w:t>Uw brief (kenmerk)</w:t>
                    </w:r>
                  </w:p>
                  <w:p w14:paraId="7E7FCF43" w14:textId="1FBB9D8C" w:rsidR="009B583E" w:rsidRDefault="00176267">
                    <w:pPr>
                      <w:pStyle w:val="StandaardReferentiegegevens"/>
                    </w:pPr>
                    <w:r>
                      <w:fldChar w:fldCharType="begin"/>
                    </w:r>
                    <w:r>
                      <w:instrText xml:space="preserve"> DOCPROPERTY  "UwKenmerk"  \* MERGEFORMAT </w:instrText>
                    </w:r>
                    <w:r>
                      <w:fldChar w:fldCharType="end"/>
                    </w:r>
                  </w:p>
                  <w:p w14:paraId="083F341B" w14:textId="77777777" w:rsidR="002310BF" w:rsidRDefault="002310BF">
                    <w:pPr>
                      <w:pStyle w:val="WitregelW1"/>
                    </w:pPr>
                  </w:p>
                  <w:p w14:paraId="7BBE9F89" w14:textId="77777777" w:rsidR="002310BF" w:rsidRDefault="00D50E60">
                    <w:pPr>
                      <w:pStyle w:val="StandaardReferentiegegevensKop"/>
                    </w:pPr>
                    <w:r>
                      <w:t>Bijlagen</w:t>
                    </w:r>
                  </w:p>
                  <w:p w14:paraId="5AFB3FA8" w14:textId="77777777" w:rsidR="002310BF" w:rsidRDefault="00D50E60">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8C85403" wp14:editId="384BE83B">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CBAC9E4" w14:textId="77777777" w:rsidR="002310BF" w:rsidRDefault="00D50E60">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8C85403"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CBAC9E4" w14:textId="77777777" w:rsidR="002310BF" w:rsidRDefault="00D50E60">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3190410" wp14:editId="01BDB17C">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D6D6A01" w14:textId="098EAB52" w:rsidR="009B583E" w:rsidRDefault="00176267">
                          <w:pPr>
                            <w:pStyle w:val="Rubricering"/>
                          </w:pPr>
                          <w:r>
                            <w:fldChar w:fldCharType="begin"/>
                          </w:r>
                          <w:r>
                            <w:instrText xml:space="preserve"> DOCPROPERTY  "Rubricering"  \* MERGEFORMAT </w:instrText>
                          </w:r>
                          <w:r>
                            <w:fldChar w:fldCharType="end"/>
                          </w:r>
                        </w:p>
                        <w:p w14:paraId="79889694" w14:textId="77777777" w:rsidR="002310BF" w:rsidRDefault="00D50E60">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53190410"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D6D6A01" w14:textId="098EAB52" w:rsidR="009B583E" w:rsidRDefault="00176267">
                    <w:pPr>
                      <w:pStyle w:val="Rubricering"/>
                    </w:pPr>
                    <w:r>
                      <w:fldChar w:fldCharType="begin"/>
                    </w:r>
                    <w:r>
                      <w:instrText xml:space="preserve"> DOCPROPERTY  "Rubricering"  \* MERGEFORMAT </w:instrText>
                    </w:r>
                    <w:r>
                      <w:fldChar w:fldCharType="end"/>
                    </w:r>
                  </w:p>
                  <w:p w14:paraId="79889694" w14:textId="77777777" w:rsidR="002310BF" w:rsidRDefault="00D50E60">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54E8317" wp14:editId="1007E72C">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DBFAE1C" w14:textId="77777777" w:rsidR="009B583E" w:rsidRDefault="0017626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54E8317"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DBFAE1C" w14:textId="77777777" w:rsidR="009B583E" w:rsidRDefault="0017626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A3C36FD" wp14:editId="13163DA3">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310BF" w14:paraId="5C43D813" w14:textId="77777777">
                            <w:trPr>
                              <w:trHeight w:val="200"/>
                            </w:trPr>
                            <w:tc>
                              <w:tcPr>
                                <w:tcW w:w="1140" w:type="dxa"/>
                              </w:tcPr>
                              <w:p w14:paraId="6D1B2F4C" w14:textId="77777777" w:rsidR="002310BF" w:rsidRDefault="002310BF"/>
                            </w:tc>
                            <w:tc>
                              <w:tcPr>
                                <w:tcW w:w="5400" w:type="dxa"/>
                              </w:tcPr>
                              <w:p w14:paraId="46F2661A" w14:textId="77777777" w:rsidR="002310BF" w:rsidRDefault="002310BF"/>
                            </w:tc>
                          </w:tr>
                          <w:tr w:rsidR="002310BF" w14:paraId="15F9633A" w14:textId="77777777">
                            <w:trPr>
                              <w:trHeight w:val="240"/>
                            </w:trPr>
                            <w:tc>
                              <w:tcPr>
                                <w:tcW w:w="1140" w:type="dxa"/>
                              </w:tcPr>
                              <w:p w14:paraId="31C52892" w14:textId="77777777" w:rsidR="002310BF" w:rsidRDefault="00D50E60">
                                <w:r>
                                  <w:t>Datum</w:t>
                                </w:r>
                              </w:p>
                            </w:tc>
                            <w:tc>
                              <w:tcPr>
                                <w:tcW w:w="5400" w:type="dxa"/>
                              </w:tcPr>
                              <w:p w14:paraId="73B23071" w14:textId="69141826" w:rsidR="002310BF" w:rsidRDefault="00FA480D">
                                <w:r>
                                  <w:t>21 mei 2025</w:t>
                                </w:r>
                              </w:p>
                            </w:tc>
                          </w:tr>
                          <w:tr w:rsidR="002310BF" w14:paraId="53D67A9E" w14:textId="77777777">
                            <w:trPr>
                              <w:trHeight w:val="240"/>
                            </w:trPr>
                            <w:tc>
                              <w:tcPr>
                                <w:tcW w:w="1140" w:type="dxa"/>
                              </w:tcPr>
                              <w:p w14:paraId="1B606B6F" w14:textId="77777777" w:rsidR="002310BF" w:rsidRDefault="00D50E60">
                                <w:r>
                                  <w:t>Betreft</w:t>
                                </w:r>
                              </w:p>
                            </w:tc>
                            <w:tc>
                              <w:tcPr>
                                <w:tcW w:w="5400" w:type="dxa"/>
                              </w:tcPr>
                              <w:p w14:paraId="5D06401D" w14:textId="10A08989" w:rsidR="009B583E" w:rsidRDefault="00176267">
                                <w:r>
                                  <w:fldChar w:fldCharType="begin"/>
                                </w:r>
                                <w:r>
                                  <w:instrText xml:space="preserve"> DOCPROPERTY  "Onderwerp"  \* MERGEFORMAT </w:instrText>
                                </w:r>
                                <w:r>
                                  <w:fldChar w:fldCharType="separate"/>
                                </w:r>
                                <w:r w:rsidR="00FA480D">
                                  <w:t xml:space="preserve">Beantwoording Kamervragen van het lid Welzijn (Nieuw Sociaal Contract) over de uitspraak van de rechter dat achterafbetaaldienst </w:t>
                                </w:r>
                                <w:proofErr w:type="spellStart"/>
                                <w:r w:rsidR="00FA480D">
                                  <w:t>Klarna</w:t>
                                </w:r>
                                <w:proofErr w:type="spellEnd"/>
                                <w:r w:rsidR="00FA480D">
                                  <w:t xml:space="preserve"> verdient aan incassokosten</w:t>
                                </w:r>
                                <w:r>
                                  <w:fldChar w:fldCharType="end"/>
                                </w:r>
                              </w:p>
                            </w:tc>
                          </w:tr>
                          <w:tr w:rsidR="002310BF" w14:paraId="32A2EDC8" w14:textId="77777777">
                            <w:trPr>
                              <w:trHeight w:val="200"/>
                            </w:trPr>
                            <w:tc>
                              <w:tcPr>
                                <w:tcW w:w="1140" w:type="dxa"/>
                              </w:tcPr>
                              <w:p w14:paraId="662AD052" w14:textId="77777777" w:rsidR="002310BF" w:rsidRDefault="002310BF"/>
                            </w:tc>
                            <w:tc>
                              <w:tcPr>
                                <w:tcW w:w="4738" w:type="dxa"/>
                              </w:tcPr>
                              <w:p w14:paraId="1386BA3A" w14:textId="77777777" w:rsidR="002310BF" w:rsidRDefault="002310BF"/>
                            </w:tc>
                          </w:tr>
                        </w:tbl>
                        <w:p w14:paraId="2F88D9AA" w14:textId="77777777" w:rsidR="00D50E60" w:rsidRDefault="00D50E60"/>
                      </w:txbxContent>
                    </wps:txbx>
                    <wps:bodyPr vert="horz" wrap="square" lIns="0" tIns="0" rIns="0" bIns="0" anchor="t" anchorCtr="0"/>
                  </wps:wsp>
                </a:graphicData>
              </a:graphic>
            </wp:anchor>
          </w:drawing>
        </mc:Choice>
        <mc:Fallback>
          <w:pict>
            <v:shape w14:anchorId="1A3C36FD"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2310BF" w14:paraId="5C43D813" w14:textId="77777777">
                      <w:trPr>
                        <w:trHeight w:val="200"/>
                      </w:trPr>
                      <w:tc>
                        <w:tcPr>
                          <w:tcW w:w="1140" w:type="dxa"/>
                        </w:tcPr>
                        <w:p w14:paraId="6D1B2F4C" w14:textId="77777777" w:rsidR="002310BF" w:rsidRDefault="002310BF"/>
                      </w:tc>
                      <w:tc>
                        <w:tcPr>
                          <w:tcW w:w="5400" w:type="dxa"/>
                        </w:tcPr>
                        <w:p w14:paraId="46F2661A" w14:textId="77777777" w:rsidR="002310BF" w:rsidRDefault="002310BF"/>
                      </w:tc>
                    </w:tr>
                    <w:tr w:rsidR="002310BF" w14:paraId="15F9633A" w14:textId="77777777">
                      <w:trPr>
                        <w:trHeight w:val="240"/>
                      </w:trPr>
                      <w:tc>
                        <w:tcPr>
                          <w:tcW w:w="1140" w:type="dxa"/>
                        </w:tcPr>
                        <w:p w14:paraId="31C52892" w14:textId="77777777" w:rsidR="002310BF" w:rsidRDefault="00D50E60">
                          <w:r>
                            <w:t>Datum</w:t>
                          </w:r>
                        </w:p>
                      </w:tc>
                      <w:tc>
                        <w:tcPr>
                          <w:tcW w:w="5400" w:type="dxa"/>
                        </w:tcPr>
                        <w:p w14:paraId="73B23071" w14:textId="69141826" w:rsidR="002310BF" w:rsidRDefault="00FA480D">
                          <w:r>
                            <w:t>21 mei 2025</w:t>
                          </w:r>
                        </w:p>
                      </w:tc>
                    </w:tr>
                    <w:tr w:rsidR="002310BF" w14:paraId="53D67A9E" w14:textId="77777777">
                      <w:trPr>
                        <w:trHeight w:val="240"/>
                      </w:trPr>
                      <w:tc>
                        <w:tcPr>
                          <w:tcW w:w="1140" w:type="dxa"/>
                        </w:tcPr>
                        <w:p w14:paraId="1B606B6F" w14:textId="77777777" w:rsidR="002310BF" w:rsidRDefault="00D50E60">
                          <w:r>
                            <w:t>Betreft</w:t>
                          </w:r>
                        </w:p>
                      </w:tc>
                      <w:tc>
                        <w:tcPr>
                          <w:tcW w:w="5400" w:type="dxa"/>
                        </w:tcPr>
                        <w:p w14:paraId="5D06401D" w14:textId="10A08989" w:rsidR="009B583E" w:rsidRDefault="00176267">
                          <w:r>
                            <w:fldChar w:fldCharType="begin"/>
                          </w:r>
                          <w:r>
                            <w:instrText xml:space="preserve"> DOCPROPERTY  "Onderwerp"  \* MERGEFORMAT </w:instrText>
                          </w:r>
                          <w:r>
                            <w:fldChar w:fldCharType="separate"/>
                          </w:r>
                          <w:r w:rsidR="00FA480D">
                            <w:t xml:space="preserve">Beantwoording Kamervragen van het lid Welzijn (Nieuw Sociaal Contract) over de uitspraak van de rechter dat achterafbetaaldienst </w:t>
                          </w:r>
                          <w:proofErr w:type="spellStart"/>
                          <w:r w:rsidR="00FA480D">
                            <w:t>Klarna</w:t>
                          </w:r>
                          <w:proofErr w:type="spellEnd"/>
                          <w:r w:rsidR="00FA480D">
                            <w:t xml:space="preserve"> verdient aan incassokosten</w:t>
                          </w:r>
                          <w:r>
                            <w:fldChar w:fldCharType="end"/>
                          </w:r>
                        </w:p>
                      </w:tc>
                    </w:tr>
                    <w:tr w:rsidR="002310BF" w14:paraId="32A2EDC8" w14:textId="77777777">
                      <w:trPr>
                        <w:trHeight w:val="200"/>
                      </w:trPr>
                      <w:tc>
                        <w:tcPr>
                          <w:tcW w:w="1140" w:type="dxa"/>
                        </w:tcPr>
                        <w:p w14:paraId="662AD052" w14:textId="77777777" w:rsidR="002310BF" w:rsidRDefault="002310BF"/>
                      </w:tc>
                      <w:tc>
                        <w:tcPr>
                          <w:tcW w:w="4738" w:type="dxa"/>
                        </w:tcPr>
                        <w:p w14:paraId="1386BA3A" w14:textId="77777777" w:rsidR="002310BF" w:rsidRDefault="002310BF"/>
                      </w:tc>
                    </w:tr>
                  </w:tbl>
                  <w:p w14:paraId="2F88D9AA" w14:textId="77777777" w:rsidR="00D50E60" w:rsidRDefault="00D50E60"/>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74752C1" wp14:editId="663EAD52">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77CC49C" w14:textId="32401E59" w:rsidR="009B583E" w:rsidRDefault="0017626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74752C1"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77CC49C" w14:textId="32401E59" w:rsidR="009B583E" w:rsidRDefault="00176267">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D8C229F" wp14:editId="5418DC97">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3B4708F" w14:textId="77777777" w:rsidR="00D50E60" w:rsidRDefault="00D50E60"/>
                      </w:txbxContent>
                    </wps:txbx>
                    <wps:bodyPr vert="horz" wrap="square" lIns="0" tIns="0" rIns="0" bIns="0" anchor="t" anchorCtr="0"/>
                  </wps:wsp>
                </a:graphicData>
              </a:graphic>
            </wp:anchor>
          </w:drawing>
        </mc:Choice>
        <mc:Fallback>
          <w:pict>
            <v:shape w14:anchorId="0D8C229F"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3B4708F" w14:textId="77777777" w:rsidR="00D50E60" w:rsidRDefault="00D50E6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BB1D386"/>
    <w:multiLevelType w:val="multilevel"/>
    <w:tmpl w:val="6CECE64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A5A3C8D"/>
    <w:multiLevelType w:val="multilevel"/>
    <w:tmpl w:val="1C10EE8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3E8FFDB"/>
    <w:multiLevelType w:val="multilevel"/>
    <w:tmpl w:val="FD3AF82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972421"/>
    <w:multiLevelType w:val="multilevel"/>
    <w:tmpl w:val="B5ACBF5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1FC2ED3"/>
    <w:multiLevelType w:val="multilevel"/>
    <w:tmpl w:val="C9233F6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2405F7"/>
    <w:multiLevelType w:val="hybridMultilevel"/>
    <w:tmpl w:val="2D382730"/>
    <w:lvl w:ilvl="0" w:tplc="FFFFFFFF">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C51632E"/>
    <w:multiLevelType w:val="hybridMultilevel"/>
    <w:tmpl w:val="2BF84E9A"/>
    <w:lvl w:ilvl="0" w:tplc="FFFFFFFF">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710017E2"/>
    <w:multiLevelType w:val="multilevel"/>
    <w:tmpl w:val="3F4276D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455062">
    <w:abstractNumId w:val="7"/>
  </w:num>
  <w:num w:numId="2" w16cid:durableId="1408963518">
    <w:abstractNumId w:val="1"/>
  </w:num>
  <w:num w:numId="3" w16cid:durableId="2117602694">
    <w:abstractNumId w:val="0"/>
  </w:num>
  <w:num w:numId="4" w16cid:durableId="1442919076">
    <w:abstractNumId w:val="3"/>
  </w:num>
  <w:num w:numId="5" w16cid:durableId="1737971793">
    <w:abstractNumId w:val="2"/>
  </w:num>
  <w:num w:numId="6" w16cid:durableId="1285039979">
    <w:abstractNumId w:val="4"/>
  </w:num>
  <w:num w:numId="7" w16cid:durableId="154222034">
    <w:abstractNumId w:val="6"/>
  </w:num>
  <w:num w:numId="8" w16cid:durableId="113598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0BF"/>
    <w:rsid w:val="00021DA5"/>
    <w:rsid w:val="00046C6A"/>
    <w:rsid w:val="000703C2"/>
    <w:rsid w:val="00083D06"/>
    <w:rsid w:val="000B4F12"/>
    <w:rsid w:val="000D6B85"/>
    <w:rsid w:val="00145204"/>
    <w:rsid w:val="00161D4D"/>
    <w:rsid w:val="00166A27"/>
    <w:rsid w:val="00176267"/>
    <w:rsid w:val="00192333"/>
    <w:rsid w:val="001C4E40"/>
    <w:rsid w:val="001D2F6D"/>
    <w:rsid w:val="001D7CBC"/>
    <w:rsid w:val="00200487"/>
    <w:rsid w:val="00200AA8"/>
    <w:rsid w:val="00216698"/>
    <w:rsid w:val="002310BF"/>
    <w:rsid w:val="00236C22"/>
    <w:rsid w:val="00241652"/>
    <w:rsid w:val="00257D09"/>
    <w:rsid w:val="002C285E"/>
    <w:rsid w:val="003032B3"/>
    <w:rsid w:val="00320282"/>
    <w:rsid w:val="00337F09"/>
    <w:rsid w:val="003628F8"/>
    <w:rsid w:val="003B051C"/>
    <w:rsid w:val="003B42AB"/>
    <w:rsid w:val="003D5961"/>
    <w:rsid w:val="003E348A"/>
    <w:rsid w:val="003F66CC"/>
    <w:rsid w:val="00405CF6"/>
    <w:rsid w:val="00412931"/>
    <w:rsid w:val="004179E6"/>
    <w:rsid w:val="00440292"/>
    <w:rsid w:val="00462337"/>
    <w:rsid w:val="004A46B7"/>
    <w:rsid w:val="004B5B3E"/>
    <w:rsid w:val="00544FC8"/>
    <w:rsid w:val="005605EA"/>
    <w:rsid w:val="00584128"/>
    <w:rsid w:val="005B70A2"/>
    <w:rsid w:val="005C5C25"/>
    <w:rsid w:val="005D1F24"/>
    <w:rsid w:val="005E6319"/>
    <w:rsid w:val="006229CD"/>
    <w:rsid w:val="00636F04"/>
    <w:rsid w:val="00643F3C"/>
    <w:rsid w:val="00696573"/>
    <w:rsid w:val="006B0237"/>
    <w:rsid w:val="006C3D7A"/>
    <w:rsid w:val="006C7F64"/>
    <w:rsid w:val="007471D3"/>
    <w:rsid w:val="007534D4"/>
    <w:rsid w:val="00754F6C"/>
    <w:rsid w:val="0075609A"/>
    <w:rsid w:val="00783740"/>
    <w:rsid w:val="007C4E6E"/>
    <w:rsid w:val="008829E4"/>
    <w:rsid w:val="00886F37"/>
    <w:rsid w:val="008A434E"/>
    <w:rsid w:val="009356F5"/>
    <w:rsid w:val="00974612"/>
    <w:rsid w:val="00990C62"/>
    <w:rsid w:val="009B583E"/>
    <w:rsid w:val="009C64FE"/>
    <w:rsid w:val="009E62BE"/>
    <w:rsid w:val="009F2F77"/>
    <w:rsid w:val="00A024E1"/>
    <w:rsid w:val="00A05308"/>
    <w:rsid w:val="00A16DFB"/>
    <w:rsid w:val="00A346E0"/>
    <w:rsid w:val="00A36AEB"/>
    <w:rsid w:val="00A47AA5"/>
    <w:rsid w:val="00A6645B"/>
    <w:rsid w:val="00AA22AD"/>
    <w:rsid w:val="00AC10F4"/>
    <w:rsid w:val="00AD645A"/>
    <w:rsid w:val="00AE0656"/>
    <w:rsid w:val="00B46A3C"/>
    <w:rsid w:val="00B57631"/>
    <w:rsid w:val="00B747DD"/>
    <w:rsid w:val="00BB2F76"/>
    <w:rsid w:val="00BE02A2"/>
    <w:rsid w:val="00C309D1"/>
    <w:rsid w:val="00C40C55"/>
    <w:rsid w:val="00C757FE"/>
    <w:rsid w:val="00CD695C"/>
    <w:rsid w:val="00D50E60"/>
    <w:rsid w:val="00D603BC"/>
    <w:rsid w:val="00D75F87"/>
    <w:rsid w:val="00DA32D3"/>
    <w:rsid w:val="00DD60EE"/>
    <w:rsid w:val="00E12E05"/>
    <w:rsid w:val="00E27162"/>
    <w:rsid w:val="00E34588"/>
    <w:rsid w:val="00E6045D"/>
    <w:rsid w:val="00E64A13"/>
    <w:rsid w:val="00E92B66"/>
    <w:rsid w:val="00EA14A5"/>
    <w:rsid w:val="00F84B74"/>
    <w:rsid w:val="00F92E5C"/>
    <w:rsid w:val="00FA480D"/>
    <w:rsid w:val="00FC344B"/>
    <w:rsid w:val="00FC3609"/>
    <w:rsid w:val="00FD19A5"/>
    <w:rsid w:val="00FD2622"/>
    <w:rsid w:val="00FF7D7A"/>
    <w:rsid w:val="2DC63A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01FBF771"/>
  <w15:docId w15:val="{909E6F4F-D6ED-43AA-99E0-E2B64ACC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44FC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44FC8"/>
    <w:rPr>
      <w:rFonts w:ascii="Verdana" w:hAnsi="Verdana"/>
      <w:color w:val="000000"/>
      <w:sz w:val="18"/>
      <w:szCs w:val="18"/>
    </w:rPr>
  </w:style>
  <w:style w:type="paragraph" w:styleId="Voettekst">
    <w:name w:val="footer"/>
    <w:basedOn w:val="Standaard"/>
    <w:link w:val="VoettekstChar"/>
    <w:uiPriority w:val="99"/>
    <w:unhideWhenUsed/>
    <w:rsid w:val="00544FC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44FC8"/>
    <w:rPr>
      <w:rFonts w:ascii="Verdana" w:hAnsi="Verdana"/>
      <w:color w:val="000000"/>
      <w:sz w:val="18"/>
      <w:szCs w:val="18"/>
    </w:rPr>
  </w:style>
  <w:style w:type="paragraph" w:styleId="Voetnoottekst">
    <w:name w:val="footnote text"/>
    <w:basedOn w:val="Standaard"/>
    <w:link w:val="VoetnoottekstChar"/>
    <w:uiPriority w:val="99"/>
    <w:semiHidden/>
    <w:unhideWhenUsed/>
    <w:rsid w:val="00544FC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44FC8"/>
    <w:rPr>
      <w:rFonts w:ascii="Verdana" w:hAnsi="Verdana"/>
      <w:color w:val="000000"/>
    </w:rPr>
  </w:style>
  <w:style w:type="character" w:styleId="Voetnootmarkering">
    <w:name w:val="footnote reference"/>
    <w:basedOn w:val="Standaardalinea-lettertype"/>
    <w:uiPriority w:val="99"/>
    <w:semiHidden/>
    <w:unhideWhenUsed/>
    <w:rsid w:val="00544FC8"/>
    <w:rPr>
      <w:vertAlign w:val="superscript"/>
    </w:rPr>
  </w:style>
  <w:style w:type="character" w:styleId="Onopgelostemelding">
    <w:name w:val="Unresolved Mention"/>
    <w:basedOn w:val="Standaardalinea-lettertype"/>
    <w:uiPriority w:val="99"/>
    <w:semiHidden/>
    <w:unhideWhenUsed/>
    <w:rsid w:val="00544FC8"/>
    <w:rPr>
      <w:color w:val="605E5C"/>
      <w:shd w:val="clear" w:color="auto" w:fill="E1DFDD"/>
    </w:rPr>
  </w:style>
  <w:style w:type="character" w:styleId="Verwijzingopmerking">
    <w:name w:val="annotation reference"/>
    <w:basedOn w:val="Standaardalinea-lettertype"/>
    <w:uiPriority w:val="99"/>
    <w:semiHidden/>
    <w:unhideWhenUsed/>
    <w:rsid w:val="00544FC8"/>
    <w:rPr>
      <w:sz w:val="16"/>
      <w:szCs w:val="16"/>
    </w:rPr>
  </w:style>
  <w:style w:type="paragraph" w:styleId="Tekstopmerking">
    <w:name w:val="annotation text"/>
    <w:basedOn w:val="Standaard"/>
    <w:link w:val="TekstopmerkingChar"/>
    <w:uiPriority w:val="99"/>
    <w:unhideWhenUsed/>
    <w:rsid w:val="00544FC8"/>
    <w:pPr>
      <w:spacing w:line="240" w:lineRule="auto"/>
    </w:pPr>
    <w:rPr>
      <w:sz w:val="20"/>
      <w:szCs w:val="20"/>
    </w:rPr>
  </w:style>
  <w:style w:type="character" w:customStyle="1" w:styleId="TekstopmerkingChar">
    <w:name w:val="Tekst opmerking Char"/>
    <w:basedOn w:val="Standaardalinea-lettertype"/>
    <w:link w:val="Tekstopmerking"/>
    <w:uiPriority w:val="99"/>
    <w:rsid w:val="00544FC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44FC8"/>
    <w:rPr>
      <w:b/>
      <w:bCs/>
    </w:rPr>
  </w:style>
  <w:style w:type="character" w:customStyle="1" w:styleId="OnderwerpvanopmerkingChar">
    <w:name w:val="Onderwerp van opmerking Char"/>
    <w:basedOn w:val="TekstopmerkingChar"/>
    <w:link w:val="Onderwerpvanopmerking"/>
    <w:uiPriority w:val="99"/>
    <w:semiHidden/>
    <w:rsid w:val="00544FC8"/>
    <w:rPr>
      <w:rFonts w:ascii="Verdana" w:hAnsi="Verdana"/>
      <w:b/>
      <w:bCs/>
      <w:color w:val="000000"/>
    </w:rPr>
  </w:style>
  <w:style w:type="paragraph" w:styleId="Lijstalinea">
    <w:name w:val="List Paragraph"/>
    <w:basedOn w:val="Standaard"/>
    <w:uiPriority w:val="34"/>
    <w:semiHidden/>
    <w:rsid w:val="00AC10F4"/>
    <w:pPr>
      <w:ind w:left="720"/>
      <w:contextualSpacing/>
    </w:pPr>
  </w:style>
  <w:style w:type="paragraph" w:styleId="Revisie">
    <w:name w:val="Revision"/>
    <w:hidden/>
    <w:uiPriority w:val="99"/>
    <w:semiHidden/>
    <w:rsid w:val="003B42AB"/>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0703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660">
      <w:bodyDiv w:val="1"/>
      <w:marLeft w:val="0"/>
      <w:marRight w:val="0"/>
      <w:marTop w:val="0"/>
      <w:marBottom w:val="0"/>
      <w:divBdr>
        <w:top w:val="none" w:sz="0" w:space="0" w:color="auto"/>
        <w:left w:val="none" w:sz="0" w:space="0" w:color="auto"/>
        <w:bottom w:val="none" w:sz="0" w:space="0" w:color="auto"/>
        <w:right w:val="none" w:sz="0" w:space="0" w:color="auto"/>
      </w:divBdr>
    </w:div>
    <w:div w:id="368842770">
      <w:bodyDiv w:val="1"/>
      <w:marLeft w:val="0"/>
      <w:marRight w:val="0"/>
      <w:marTop w:val="0"/>
      <w:marBottom w:val="0"/>
      <w:divBdr>
        <w:top w:val="none" w:sz="0" w:space="0" w:color="auto"/>
        <w:left w:val="none" w:sz="0" w:space="0" w:color="auto"/>
        <w:bottom w:val="none" w:sz="0" w:space="0" w:color="auto"/>
        <w:right w:val="none" w:sz="0" w:space="0" w:color="auto"/>
      </w:divBdr>
    </w:div>
    <w:div w:id="471825169">
      <w:bodyDiv w:val="1"/>
      <w:marLeft w:val="0"/>
      <w:marRight w:val="0"/>
      <w:marTop w:val="0"/>
      <w:marBottom w:val="0"/>
      <w:divBdr>
        <w:top w:val="none" w:sz="0" w:space="0" w:color="auto"/>
        <w:left w:val="none" w:sz="0" w:space="0" w:color="auto"/>
        <w:bottom w:val="none" w:sz="0" w:space="0" w:color="auto"/>
        <w:right w:val="none" w:sz="0" w:space="0" w:color="auto"/>
      </w:divBdr>
    </w:div>
    <w:div w:id="1044794630">
      <w:bodyDiv w:val="1"/>
      <w:marLeft w:val="0"/>
      <w:marRight w:val="0"/>
      <w:marTop w:val="0"/>
      <w:marBottom w:val="0"/>
      <w:divBdr>
        <w:top w:val="none" w:sz="0" w:space="0" w:color="auto"/>
        <w:left w:val="none" w:sz="0" w:space="0" w:color="auto"/>
        <w:bottom w:val="none" w:sz="0" w:space="0" w:color="auto"/>
        <w:right w:val="none" w:sz="0" w:space="0" w:color="auto"/>
      </w:divBdr>
    </w:div>
    <w:div w:id="1100023685">
      <w:bodyDiv w:val="1"/>
      <w:marLeft w:val="0"/>
      <w:marRight w:val="0"/>
      <w:marTop w:val="0"/>
      <w:marBottom w:val="0"/>
      <w:divBdr>
        <w:top w:val="none" w:sz="0" w:space="0" w:color="auto"/>
        <w:left w:val="none" w:sz="0" w:space="0" w:color="auto"/>
        <w:bottom w:val="none" w:sz="0" w:space="0" w:color="auto"/>
        <w:right w:val="none" w:sz="0" w:space="0" w:color="auto"/>
      </w:divBdr>
    </w:div>
    <w:div w:id="1489903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3" Type="http://schemas.openxmlformats.org/officeDocument/2006/relationships/hyperlink" Target="https://uitspraken.rechtspraak.nl/details?id=ECLI:NL:RBMNE:2025:2058" TargetMode="External"/><Relationship Id="rId2" Type="http://schemas.openxmlformats.org/officeDocument/2006/relationships/hyperlink" Target="https://uitspraken.rechtspraak.nl/details?id=ECLI:NL:RBMNE:2025:2054" TargetMode="External"/><Relationship Id="rId1" Type="http://schemas.openxmlformats.org/officeDocument/2006/relationships/hyperlink" Target="https://nos.nl/l/2565596" TargetMode="External"/><Relationship Id="rId5" Type="http://schemas.openxmlformats.org/officeDocument/2006/relationships/hyperlink" Target="https://wetten.overheid.nl/BWBR0048586/2024-03-19/0" TargetMode="External"/><Relationship Id="rId4" Type="http://schemas.openxmlformats.org/officeDocument/2006/relationships/hyperlink" Target="https://uitspraken.rechtspraak.nl/details?id=ECLI:NL:RBMNE:2025:205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1326</ap:Words>
  <ap:Characters>7293</ap:Characters>
  <ap:DocSecurity>4</ap:DocSecurity>
  <ap:Lines>60</ap:Lines>
  <ap:Paragraphs>17</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Kamervragen van het lid Welzijn (Nieuw Sociaal Contract) over de uitspraak van de rechter dat achterafbetaaldienst Klarna verdient aan incassokosten</vt:lpstr>
    </vt:vector>
  </ap:TitlesOfParts>
  <ap:LinksUpToDate>false</ap:LinksUpToDate>
  <ap:CharactersWithSpaces>8602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2025-05-21T17:01:00.0000000Z</lastPrinted>
  <dcterms:created xsi:type="dcterms:W3CDTF">2025-05-21T17:02:00.0000000Z</dcterms:created>
  <dcterms:modified xsi:type="dcterms:W3CDTF">2025-05-21T17:02:00.0000000Z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Kamervragen van het lid Welzijn (Nieuw Sociaal Contract) over de uitspraak van de rechter dat achterafbetaaldienst Klarna verdient aan incassokosten</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15 mei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2025-0000137021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Kamervragen van het lid Welzijn (Nieuw Sociaal Contract) over de uitspraak van de rechter dat achterafbetaaldienst Klarna verdient aan incassokosten</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2025-05-08T10:42:19Z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6a905944-b08e-40a2-85d0-954ffac2795d</vt:lpwstr>
  </property>
  <property fmtid="{D5CDD505-2E9C-101B-9397-08002B2CF9AE}" pid="37" name="MSIP_Label_6800fede-0e59-47ad-af95-4e63bbdb932d_ContentBits">
    <vt:lpwstr>0</vt:lpwstr>
  </property>
</Properties>
</file>