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2025Z10213</w:t>
        <w:br/>
      </w:r>
      <w:proofErr w:type="spellEnd"/>
    </w:p>
    <w:p>
      <w:pPr>
        <w:pStyle w:val="Normal"/>
        <w:rPr>
          <w:b w:val="1"/>
          <w:bCs w:val="1"/>
        </w:rPr>
      </w:pPr>
      <w:r w:rsidR="250AE766">
        <w:rPr>
          <w:b w:val="0"/>
          <w:bCs w:val="0"/>
        </w:rPr>
        <w:t>(ingezonden 22 mei 2025)</w:t>
        <w:br/>
      </w:r>
    </w:p>
    <w:p>
      <w:r>
        <w:t xml:space="preserve">Vragen van het lid Ceder (ChristenUnie) aan de staatssecretarissen van Justitie en Veiligheid en van Binnenlandse Zaken en Koninkrijksrelaties over het gelijktrekken van de regels voor jeugdstrafzittingen binnen het Koninkrijk der Nederlanden</w:t>
      </w:r>
      <w:r>
        <w:br/>
      </w:r>
    </w:p>
    <w:p>
      <w:r>
        <w:t xml:space="preserve">1. Bent u bekend met het feit dat jeugdstrafzaken in Europees Nederland tegen minderjarigen tot 18 jaar standaard achter gesloten deuren worden behandeld, conform artikel 495b van het Wetboek van Strafvordering (Sv)?</w:t>
      </w:r>
      <w:r>
        <w:br/>
      </w:r>
    </w:p>
    <w:p>
      <w:r>
        <w:t xml:space="preserve">2. Klopt het dat op de BES-eilanden, alsmede in andere Caribische delen van het Koninkrijk zoals Curaçao, in beginsel een openbare strafzitting geldt voor jongeren vanaf 16 jaar (onder andere artikel 488 Sv BES)? Zo ja, wat is de juridische en praktische onderbouwing voor dit verschil?</w:t>
      </w:r>
      <w:r>
        <w:br/>
      </w:r>
    </w:p>
    <w:p>
      <w:r>
        <w:t xml:space="preserve">3. Acht u het wenselijk dat jongeren van 16 en 17 jaar, die juridisch als minderjarig worden beschouwd en vaak nog volop in ontwikkeling zijn, in delen van het Koninkrijk wel publiekelijk terecht kunnen staan, terwijl zij in Europees Nederland beschermd worden door besloten zittingen?</w:t>
      </w:r>
      <w:r>
        <w:br/>
      </w:r>
    </w:p>
    <w:p>
      <w:r>
        <w:t xml:space="preserve">4. Hoe verhoudt dit verschil zich volgens u tot het Internationaal Verdrag inzake de Rechten van het Kind (IVRK), dat stelt dat alle kinderen onder de 18 jaar recht hebben op bescherming van hun privacy in het strafproces?</w:t>
      </w:r>
      <w:r>
        <w:br/>
      </w:r>
    </w:p>
    <w:p>
      <w:r>
        <w:t xml:space="preserve">5. Kunt u aangeven of – en hoe – in de huidige situatie rekening wordt gehouden met kwetsbare jongeren met bijvoorbeeld een licht verstandelijke beperking, die extra risico lopen op stigmatisering en psychische schade bij openbare zittingen?</w:t>
      </w:r>
      <w:r>
        <w:br/>
      </w:r>
    </w:p>
    <w:p>
      <w:r>
        <w:t xml:space="preserve">6. Zou u het wenselijk vinden als er meer uniformiteit zou zijn binnen het koninkrijk op het gebied van beslotenheid van jeugdstrafzittingen tot 18 jaar? Waarom wel of waarom niet?</w:t>
      </w:r>
      <w:r>
        <w:br/>
      </w:r>
    </w:p>
    <w:p>
      <w:r>
        <w:t xml:space="preserve">⁠7. Hoe zou zo’n uniforme norm zich verhouden tot de autonomie van de landen binnen het Koninkrijk? Bent u bereid hierover het gesprek aan te gaan met de verantwoordelijke ministers van Justitie van Aruba, Curaçao en Sint Maarten, met respect voor hun eigenstandigheid?</w:t>
      </w:r>
      <w:r>
        <w:br/>
      </w:r>
    </w:p>
    <w:p>
      <w:r>
        <w:t xml:space="preserve">8. Bent u bereid om – in samenwerking met de landen en de ketenpartners – te verkennen hoe dit onderwerp op korte termijn gezamenlijk kan worden opgepakt, zodat jeugdigen binnen het gehele Koninkrijk kunnen rekenen op gelijke bescherming? Zo ja, op welke termijn en wijze wilt u dit aanpakken?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