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2EF8" w:rsidR="00762EF8" w:rsidRDefault="00331A43" w14:paraId="13ADE07E" w14:textId="77777777">
      <w:pPr>
        <w:rPr>
          <w:rFonts w:ascii="Calibri" w:hAnsi="Calibri" w:cs="Calibri"/>
        </w:rPr>
      </w:pPr>
      <w:r w:rsidRPr="00762EF8">
        <w:rPr>
          <w:rFonts w:ascii="Calibri" w:hAnsi="Calibri" w:cs="Calibri"/>
        </w:rPr>
        <w:t>32140</w:t>
      </w:r>
      <w:r w:rsidRPr="00762EF8" w:rsidR="00762EF8">
        <w:rPr>
          <w:rFonts w:ascii="Calibri" w:hAnsi="Calibri" w:cs="Calibri"/>
        </w:rPr>
        <w:tab/>
      </w:r>
      <w:r w:rsidRPr="00762EF8" w:rsidR="00762EF8">
        <w:rPr>
          <w:rFonts w:ascii="Calibri" w:hAnsi="Calibri" w:cs="Calibri"/>
        </w:rPr>
        <w:tab/>
      </w:r>
      <w:r w:rsidRPr="00762EF8" w:rsidR="00762EF8">
        <w:rPr>
          <w:rFonts w:ascii="Calibri" w:hAnsi="Calibri" w:cs="Calibri"/>
        </w:rPr>
        <w:tab/>
        <w:t>Herziening Belastingstelsel</w:t>
      </w:r>
    </w:p>
    <w:p w:rsidRPr="00762EF8" w:rsidR="00762EF8" w:rsidP="00D31852" w:rsidRDefault="00762EF8" w14:paraId="1B62231D" w14:textId="77777777">
      <w:pPr>
        <w:rPr>
          <w:rFonts w:ascii="Calibri" w:hAnsi="Calibri" w:cs="Calibri"/>
        </w:rPr>
      </w:pPr>
      <w:r w:rsidRPr="00762EF8">
        <w:rPr>
          <w:rFonts w:ascii="Calibri" w:hAnsi="Calibri" w:cs="Calibri"/>
        </w:rPr>
        <w:t xml:space="preserve">Nr. </w:t>
      </w:r>
      <w:r w:rsidRPr="00762EF8">
        <w:rPr>
          <w:rFonts w:ascii="Calibri" w:hAnsi="Calibri" w:cs="Calibri"/>
        </w:rPr>
        <w:t>253</w:t>
      </w:r>
      <w:r w:rsidRPr="00762EF8">
        <w:rPr>
          <w:rFonts w:ascii="Calibri" w:hAnsi="Calibri" w:cs="Calibri"/>
        </w:rPr>
        <w:tab/>
      </w:r>
      <w:r w:rsidRPr="00762EF8">
        <w:rPr>
          <w:rFonts w:ascii="Calibri" w:hAnsi="Calibri" w:cs="Calibri"/>
        </w:rPr>
        <w:tab/>
      </w:r>
      <w:r w:rsidRPr="00762EF8">
        <w:rPr>
          <w:rFonts w:ascii="Calibri" w:hAnsi="Calibri" w:cs="Calibri"/>
        </w:rPr>
        <w:tab/>
        <w:t>Brief van de staatssecretaris van Financiën</w:t>
      </w:r>
    </w:p>
    <w:p w:rsidRPr="00762EF8" w:rsidR="00762EF8" w:rsidP="00331A43" w:rsidRDefault="00762EF8" w14:paraId="0B822B66" w14:textId="714E804F">
      <w:pPr>
        <w:rPr>
          <w:rFonts w:ascii="Calibri" w:hAnsi="Calibri" w:cs="Calibri"/>
        </w:rPr>
      </w:pPr>
      <w:r w:rsidRPr="00762EF8">
        <w:rPr>
          <w:rFonts w:ascii="Calibri" w:hAnsi="Calibri" w:cs="Calibri"/>
        </w:rPr>
        <w:t>Aan de Voorzitter van de Tweede Kamer der Staten-Generaal</w:t>
      </w:r>
    </w:p>
    <w:p w:rsidRPr="00762EF8" w:rsidR="00762EF8" w:rsidP="00331A43" w:rsidRDefault="00762EF8" w14:paraId="0ECB05B4" w14:textId="0E6C76D1">
      <w:pPr>
        <w:rPr>
          <w:rFonts w:ascii="Calibri" w:hAnsi="Calibri" w:cs="Calibri"/>
        </w:rPr>
      </w:pPr>
      <w:r w:rsidRPr="00762EF8">
        <w:rPr>
          <w:rFonts w:ascii="Calibri" w:hAnsi="Calibri" w:cs="Calibri"/>
        </w:rPr>
        <w:t>Den Haag, 22 mei 2025</w:t>
      </w:r>
    </w:p>
    <w:p w:rsidRPr="00762EF8" w:rsidR="00331A43" w:rsidP="00331A43" w:rsidRDefault="00331A43" w14:paraId="2D35E670" w14:textId="77777777">
      <w:pPr>
        <w:rPr>
          <w:rFonts w:ascii="Calibri" w:hAnsi="Calibri" w:cs="Calibri"/>
        </w:rPr>
      </w:pPr>
    </w:p>
    <w:p w:rsidRPr="00762EF8" w:rsidR="00331A43" w:rsidP="00331A43" w:rsidRDefault="00331A43" w14:paraId="7CDC7510" w14:textId="2E8B3325">
      <w:pPr>
        <w:rPr>
          <w:rFonts w:ascii="Calibri" w:hAnsi="Calibri" w:cs="Calibri"/>
        </w:rPr>
      </w:pPr>
      <w:r w:rsidRPr="00762EF8">
        <w:rPr>
          <w:rFonts w:ascii="Calibri" w:hAnsi="Calibri" w:cs="Calibri"/>
        </w:rPr>
        <w:t xml:space="preserve">In opdracht van het ministerie van Financiën hebben onderzoeksbureau Stichting Economisch Onderzoek (SEO) en </w:t>
      </w:r>
      <w:proofErr w:type="spellStart"/>
      <w:r w:rsidRPr="00762EF8">
        <w:rPr>
          <w:rFonts w:ascii="Calibri" w:hAnsi="Calibri" w:cs="Calibri"/>
        </w:rPr>
        <w:t>Dialogic</w:t>
      </w:r>
      <w:proofErr w:type="spellEnd"/>
      <w:r w:rsidRPr="00762EF8">
        <w:rPr>
          <w:rFonts w:ascii="Calibri" w:hAnsi="Calibri" w:cs="Calibri"/>
        </w:rPr>
        <w:t xml:space="preserve"> enkele vrijstellingen in de Wet op de omzetbelasting 1968 (btw) geëvalueerd. Het gaat met name om vrijstellingen die zien op bepaalde diensten door lijkbezorgers, schrijvers, journalisten, componisten en cartoonisten en om voordrachten. De onderzoekers hebben gekeken naar onder meer de doeltreffend- en doelmatigheid van de verschillende vrijstellingen. Bijgevoegd evaluatierapport bevat de conclusies. In deze brief worden de resultaten kort samengevat. Ten eerste voor de hiervoor genoemde optionele btw-vrijstellingen en daarna ook voor de omzetgrenzen voor de btw-vrijstelling voor fondsenwervende activiteiten. </w:t>
      </w:r>
      <w:bookmarkStart w:name="_Hlk197427165" w:id="0"/>
      <w:r w:rsidRPr="00762EF8">
        <w:rPr>
          <w:rFonts w:ascii="Calibri" w:hAnsi="Calibri" w:cs="Calibri"/>
        </w:rPr>
        <w:t>Op 6 december 2022 is de Motie Inge van Dijk</w:t>
      </w:r>
      <w:r w:rsidRPr="00762EF8">
        <w:rPr>
          <w:rStyle w:val="Voetnootmarkering"/>
          <w:rFonts w:ascii="Calibri" w:hAnsi="Calibri" w:cs="Calibri"/>
        </w:rPr>
        <w:footnoteReference w:id="1"/>
      </w:r>
      <w:r w:rsidRPr="00762EF8">
        <w:rPr>
          <w:rFonts w:ascii="Calibri" w:hAnsi="Calibri" w:cs="Calibri"/>
        </w:rPr>
        <w:t xml:space="preserve"> unaniem aangenomen. Daarin werd opgeroepen om te onderzoeken of de invulling van de fondswervingsvrijstelling en de daarin opgenomen omzetgrenzen nog van deze tijd zijn. Het kabinet heeft daarop toegezegd dit mee nemen in het onderzoek naar de vrijstellingen in de btw. </w:t>
      </w:r>
      <w:bookmarkStart w:name="_Hlk197427181" w:id="1"/>
      <w:bookmarkEnd w:id="0"/>
      <w:r w:rsidRPr="00762EF8">
        <w:rPr>
          <w:rFonts w:ascii="Calibri" w:hAnsi="Calibri" w:cs="Calibri"/>
        </w:rPr>
        <w:t>Bij dezen wil ik uw Kamer ook informeren over de uitkomsten daarvan.</w:t>
      </w:r>
    </w:p>
    <w:bookmarkEnd w:id="1"/>
    <w:p w:rsidRPr="00762EF8" w:rsidR="00331A43" w:rsidP="00331A43" w:rsidRDefault="00331A43" w14:paraId="4E6ABFD3" w14:textId="77777777">
      <w:pPr>
        <w:rPr>
          <w:rFonts w:ascii="Calibri" w:hAnsi="Calibri" w:cs="Calibri"/>
          <w:i/>
          <w:iCs/>
        </w:rPr>
      </w:pPr>
      <w:r w:rsidRPr="00762EF8">
        <w:rPr>
          <w:rFonts w:ascii="Calibri" w:hAnsi="Calibri" w:cs="Calibri"/>
          <w:i/>
          <w:iCs/>
        </w:rPr>
        <w:t>Optionele vrijstellingen</w:t>
      </w:r>
    </w:p>
    <w:p w:rsidRPr="00762EF8" w:rsidR="00331A43" w:rsidP="00331A43" w:rsidRDefault="00331A43" w14:paraId="704DDD36" w14:textId="77777777">
      <w:pPr>
        <w:rPr>
          <w:rFonts w:ascii="Calibri" w:hAnsi="Calibri" w:cs="Calibri"/>
        </w:rPr>
      </w:pPr>
      <w:r w:rsidRPr="00762EF8">
        <w:rPr>
          <w:rFonts w:ascii="Calibri" w:hAnsi="Calibri" w:cs="Calibri"/>
        </w:rPr>
        <w:t>De Europese btw-richtlijn</w:t>
      </w:r>
      <w:r w:rsidRPr="00762EF8">
        <w:rPr>
          <w:rStyle w:val="Voetnootmarkering"/>
          <w:rFonts w:ascii="Calibri" w:hAnsi="Calibri" w:cs="Calibri"/>
        </w:rPr>
        <w:footnoteReference w:id="2"/>
      </w:r>
      <w:r w:rsidRPr="00762EF8">
        <w:rPr>
          <w:rFonts w:ascii="Calibri" w:hAnsi="Calibri" w:cs="Calibri"/>
        </w:rPr>
        <w:t xml:space="preserve"> bevat naast een aantal verplicht gestelde vrijstellingen ook vrijstellingen waarbij lidstaten de keuze hebben om deze al dan niet te hanteren, de zogenoemde optionele vrijstellingen. De eerder genoemde vrijstellingen vallen hier ook onder. De doelstellingen verschillen per vrijstelling maar komen veelal neer op het beter betaalbaar maken van de diensten of het verminderen van administratieve lasten. </w:t>
      </w:r>
    </w:p>
    <w:p w:rsidRPr="00762EF8" w:rsidR="00331A43" w:rsidP="00331A43" w:rsidRDefault="00331A43" w14:paraId="1F576C5E" w14:textId="77777777">
      <w:pPr>
        <w:rPr>
          <w:rFonts w:ascii="Calibri" w:hAnsi="Calibri" w:cs="Calibri"/>
        </w:rPr>
      </w:pPr>
      <w:r w:rsidRPr="00762EF8">
        <w:rPr>
          <w:rFonts w:ascii="Calibri" w:hAnsi="Calibri" w:cs="Calibri"/>
        </w:rPr>
        <w:t xml:space="preserve">SEO concludeert in haar onderzoek dat de doeltreffend- en doelmatigheid van de vrijstellingen voor de diensten door </w:t>
      </w:r>
      <w:r w:rsidRPr="00762EF8">
        <w:rPr>
          <w:rFonts w:ascii="Calibri" w:hAnsi="Calibri" w:cs="Calibri"/>
          <w:i/>
          <w:iCs/>
        </w:rPr>
        <w:t>lijkbezorgers, schrijvers en journalisten</w:t>
      </w:r>
      <w:r w:rsidRPr="00762EF8">
        <w:rPr>
          <w:rFonts w:ascii="Calibri" w:hAnsi="Calibri" w:cs="Calibri"/>
        </w:rPr>
        <w:t xml:space="preserve"> gemiddeld tot hoog is. Aandachtspunt daarbij is dat lijkbezorgers en journalisten vaak een mix van belaste en vrijgestelde prestaties uitvoeren, waardoor een vrijstelling niet altijd leidt tot een administratieve lastenvermindering. Daarnaast presteren schrijvers en journalisten aan zowel btw-plichtige afnemers als aan </w:t>
      </w:r>
      <w:r w:rsidRPr="00762EF8">
        <w:rPr>
          <w:rFonts w:ascii="Calibri" w:hAnsi="Calibri" w:cs="Calibri"/>
        </w:rPr>
        <w:lastRenderedPageBreak/>
        <w:t xml:space="preserve">consumenten, maar levert alleen voor die laatste groep de vrijstelling een financieel voordeel op. </w:t>
      </w:r>
    </w:p>
    <w:p w:rsidRPr="00762EF8" w:rsidR="00331A43" w:rsidP="00331A43" w:rsidRDefault="00331A43" w14:paraId="23076D99" w14:textId="234B5E84">
      <w:pPr>
        <w:rPr>
          <w:rFonts w:ascii="Calibri" w:hAnsi="Calibri" w:cs="Calibri"/>
        </w:rPr>
      </w:pPr>
      <w:r w:rsidRPr="00762EF8">
        <w:rPr>
          <w:rFonts w:ascii="Calibri" w:hAnsi="Calibri" w:cs="Calibri"/>
        </w:rPr>
        <w:t xml:space="preserve">De doeltreffend- en doelmatigheid voor de vrijstelling voor diensten door </w:t>
      </w:r>
      <w:r w:rsidRPr="00762EF8">
        <w:rPr>
          <w:rFonts w:ascii="Calibri" w:hAnsi="Calibri" w:cs="Calibri"/>
          <w:i/>
          <w:iCs/>
        </w:rPr>
        <w:t>cartoonisten, componisten en voor voordrachten</w:t>
      </w:r>
      <w:r w:rsidRPr="00762EF8">
        <w:rPr>
          <w:rFonts w:ascii="Calibri" w:hAnsi="Calibri" w:cs="Calibri"/>
        </w:rPr>
        <w:t xml:space="preserve"> zijn volgens de onderzoekers laag</w:t>
      </w:r>
      <w:r w:rsidRPr="00762EF8">
        <w:rPr>
          <w:rFonts w:ascii="Calibri" w:hAnsi="Calibri" w:cs="Calibri"/>
          <w:i/>
          <w:iCs/>
        </w:rPr>
        <w:t>.</w:t>
      </w:r>
      <w:r w:rsidRPr="00762EF8">
        <w:rPr>
          <w:rFonts w:ascii="Calibri" w:hAnsi="Calibri" w:cs="Calibri"/>
        </w:rPr>
        <w:t xml:space="preserve"> Componisten hebben vaak een mix van belaste en vrijgestelde prestaties, waardoor een vrijstelling mogelijk juist tot een administratieve lastenverzwaring leidt. Voor cartoonisten geldt dat zij zeer beperkt gebruik maken van de vrijstelling</w:t>
      </w:r>
      <w:r w:rsidRPr="00762EF8">
        <w:rPr>
          <w:rStyle w:val="Voetnootmarkering"/>
          <w:rFonts w:ascii="Calibri" w:hAnsi="Calibri" w:cs="Calibri"/>
        </w:rPr>
        <w:footnoteReference w:id="3"/>
      </w:r>
      <w:r w:rsidRPr="00762EF8">
        <w:rPr>
          <w:rFonts w:ascii="Calibri" w:hAnsi="Calibri" w:cs="Calibri"/>
        </w:rPr>
        <w:t xml:space="preserve">, waarbij vaak als reden wordt opgevoerd dat het leidt tot meer administratieve lasten. Bij de vrijstelling voor voordrachten is het sterke vermoeden dat er niet of nauwelijks gebruik van wordt gemaakt, onder meer vanwege onduidelijkheid over wanneer de vrijstelling wel en niet toegepast moet worden. </w:t>
      </w:r>
    </w:p>
    <w:p w:rsidRPr="00762EF8" w:rsidR="00331A43" w:rsidP="00331A43" w:rsidRDefault="00331A43" w14:paraId="6F0442AC" w14:textId="77777777">
      <w:pPr>
        <w:spacing w:line="240" w:lineRule="auto"/>
        <w:rPr>
          <w:rFonts w:ascii="Calibri" w:hAnsi="Calibri" w:cs="Calibri"/>
          <w:i/>
          <w:iCs/>
        </w:rPr>
      </w:pPr>
      <w:r w:rsidRPr="00762EF8">
        <w:rPr>
          <w:rFonts w:ascii="Calibri" w:hAnsi="Calibri" w:cs="Calibri"/>
          <w:i/>
          <w:iCs/>
        </w:rPr>
        <w:t xml:space="preserve">Tabel </w:t>
      </w:r>
      <w:r w:rsidRPr="00762EF8">
        <w:rPr>
          <w:rFonts w:ascii="Calibri" w:hAnsi="Calibri" w:cs="Calibri"/>
          <w:i/>
          <w:iCs/>
        </w:rPr>
        <w:fldChar w:fldCharType="begin"/>
      </w:r>
      <w:r w:rsidRPr="00762EF8">
        <w:rPr>
          <w:rFonts w:ascii="Calibri" w:hAnsi="Calibri" w:cs="Calibri"/>
          <w:i/>
          <w:iCs/>
        </w:rPr>
        <w:instrText xml:space="preserve"> SEQ Tabel \* ARABIC </w:instrText>
      </w:r>
      <w:r w:rsidRPr="00762EF8">
        <w:rPr>
          <w:rFonts w:ascii="Calibri" w:hAnsi="Calibri" w:cs="Calibri"/>
          <w:i/>
          <w:iCs/>
        </w:rPr>
        <w:fldChar w:fldCharType="separate"/>
      </w:r>
      <w:r w:rsidRPr="00762EF8">
        <w:rPr>
          <w:rFonts w:ascii="Calibri" w:hAnsi="Calibri" w:cs="Calibri"/>
          <w:i/>
          <w:iCs/>
          <w:noProof/>
        </w:rPr>
        <w:t>1</w:t>
      </w:r>
      <w:r w:rsidRPr="00762EF8">
        <w:rPr>
          <w:rFonts w:ascii="Calibri" w:hAnsi="Calibri" w:cs="Calibri"/>
        </w:rPr>
        <w:fldChar w:fldCharType="end"/>
      </w:r>
      <w:r w:rsidRPr="00762EF8">
        <w:rPr>
          <w:rFonts w:ascii="Calibri" w:hAnsi="Calibri" w:cs="Calibri"/>
          <w:i/>
          <w:iCs/>
        </w:rPr>
        <w:t>: Overzicht onderzoeksresultaten optionele vrijstellingen</w:t>
      </w:r>
    </w:p>
    <w:tbl>
      <w:tblPr>
        <w:tblStyle w:val="Rastertabel4"/>
        <w:tblW w:w="0" w:type="auto"/>
        <w:tblLook w:val="04A0" w:firstRow="1" w:lastRow="0" w:firstColumn="1" w:lastColumn="0" w:noHBand="0" w:noVBand="1"/>
      </w:tblPr>
      <w:tblGrid>
        <w:gridCol w:w="1581"/>
        <w:gridCol w:w="8"/>
        <w:gridCol w:w="1283"/>
        <w:gridCol w:w="1571"/>
        <w:gridCol w:w="1344"/>
        <w:gridCol w:w="1744"/>
      </w:tblGrid>
      <w:tr w:rsidRPr="00762EF8" w:rsidR="00331A43" w:rsidTr="00CB24FF" w14:paraId="61270CD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dxa"/>
          </w:tcPr>
          <w:p w:rsidRPr="00762EF8" w:rsidR="00331A43" w:rsidP="00CB24FF" w:rsidRDefault="00331A43" w14:paraId="117EB440" w14:textId="77777777">
            <w:pPr>
              <w:rPr>
                <w:rFonts w:ascii="Calibri" w:hAnsi="Calibri" w:cs="Calibri"/>
                <w:sz w:val="22"/>
                <w:szCs w:val="22"/>
              </w:rPr>
            </w:pPr>
            <w:bookmarkStart w:name="_Hlk197426734" w:id="2"/>
            <w:r w:rsidRPr="00762EF8">
              <w:rPr>
                <w:rFonts w:ascii="Calibri" w:hAnsi="Calibri" w:cs="Calibri"/>
                <w:sz w:val="22"/>
                <w:szCs w:val="22"/>
              </w:rPr>
              <w:t>Vrijstelling</w:t>
            </w:r>
          </w:p>
        </w:tc>
        <w:tc>
          <w:tcPr>
            <w:tcW w:w="1294" w:type="dxa"/>
            <w:gridSpan w:val="2"/>
          </w:tcPr>
          <w:p w:rsidRPr="00762EF8" w:rsidR="00331A43" w:rsidP="00CB24FF" w:rsidRDefault="00331A43" w14:paraId="44D5C727"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 xml:space="preserve">Noodzaak </w:t>
            </w:r>
            <w:proofErr w:type="spellStart"/>
            <w:r w:rsidRPr="00762EF8">
              <w:rPr>
                <w:rFonts w:ascii="Calibri" w:hAnsi="Calibri" w:cs="Calibri"/>
                <w:sz w:val="22"/>
                <w:szCs w:val="22"/>
              </w:rPr>
              <w:t>overheids-ingrijpen</w:t>
            </w:r>
            <w:proofErr w:type="spellEnd"/>
            <w:r w:rsidRPr="00762EF8">
              <w:rPr>
                <w:rFonts w:ascii="Calibri" w:hAnsi="Calibri" w:cs="Calibri"/>
                <w:sz w:val="22"/>
                <w:szCs w:val="22"/>
              </w:rPr>
              <w:t xml:space="preserve"> </w:t>
            </w:r>
          </w:p>
        </w:tc>
        <w:tc>
          <w:tcPr>
            <w:tcW w:w="1574" w:type="dxa"/>
          </w:tcPr>
          <w:p w:rsidRPr="00762EF8" w:rsidR="00331A43" w:rsidP="00CB24FF" w:rsidRDefault="00331A43" w14:paraId="5845FD15"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00762EF8">
              <w:rPr>
                <w:rFonts w:ascii="Calibri" w:hAnsi="Calibri" w:cs="Calibri"/>
                <w:sz w:val="22"/>
                <w:szCs w:val="22"/>
              </w:rPr>
              <w:t>Doeltreffend-heid</w:t>
            </w:r>
            <w:proofErr w:type="spellEnd"/>
          </w:p>
        </w:tc>
        <w:tc>
          <w:tcPr>
            <w:tcW w:w="1347" w:type="dxa"/>
          </w:tcPr>
          <w:p w:rsidRPr="00762EF8" w:rsidR="00331A43" w:rsidP="00CB24FF" w:rsidRDefault="00331A43" w14:paraId="100AE746"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00762EF8">
              <w:rPr>
                <w:rFonts w:ascii="Calibri" w:hAnsi="Calibri" w:cs="Calibri"/>
                <w:sz w:val="22"/>
                <w:szCs w:val="22"/>
              </w:rPr>
              <w:t>Doelmatig-heid</w:t>
            </w:r>
            <w:proofErr w:type="spellEnd"/>
          </w:p>
        </w:tc>
        <w:tc>
          <w:tcPr>
            <w:tcW w:w="1731" w:type="dxa"/>
          </w:tcPr>
          <w:p w:rsidRPr="00762EF8" w:rsidR="00331A43" w:rsidP="00CB24FF" w:rsidRDefault="00331A43" w14:paraId="0D571757"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Budgettair belang</w:t>
            </w:r>
          </w:p>
        </w:tc>
      </w:tr>
      <w:tr w:rsidRPr="00762EF8" w:rsidR="00331A43" w:rsidTr="00CB24FF" w14:paraId="4EE44F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gridSpan w:val="2"/>
          </w:tcPr>
          <w:p w:rsidRPr="00762EF8" w:rsidR="00331A43" w:rsidP="00CB24FF" w:rsidRDefault="00331A43" w14:paraId="322482B3" w14:textId="77777777">
            <w:pPr>
              <w:rPr>
                <w:rFonts w:ascii="Calibri" w:hAnsi="Calibri" w:cs="Calibri"/>
                <w:sz w:val="22"/>
                <w:szCs w:val="22"/>
              </w:rPr>
            </w:pPr>
            <w:bookmarkStart w:name="_Hlk196730855" w:id="3"/>
            <w:r w:rsidRPr="00762EF8">
              <w:rPr>
                <w:rFonts w:ascii="Calibri" w:hAnsi="Calibri" w:cs="Calibri"/>
                <w:sz w:val="22"/>
                <w:szCs w:val="22"/>
              </w:rPr>
              <w:t>Lijkbezorgers</w:t>
            </w:r>
          </w:p>
        </w:tc>
        <w:tc>
          <w:tcPr>
            <w:tcW w:w="1286" w:type="dxa"/>
          </w:tcPr>
          <w:p w:rsidRPr="00762EF8" w:rsidR="00331A43" w:rsidP="00CB24FF" w:rsidRDefault="00331A43" w14:paraId="3DB6EAC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Nee</w:t>
            </w:r>
          </w:p>
        </w:tc>
        <w:tc>
          <w:tcPr>
            <w:tcW w:w="1574" w:type="dxa"/>
          </w:tcPr>
          <w:p w:rsidRPr="00762EF8" w:rsidR="00331A43" w:rsidP="00CB24FF" w:rsidRDefault="00331A43" w14:paraId="2D591D9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Hoog</w:t>
            </w:r>
          </w:p>
        </w:tc>
        <w:tc>
          <w:tcPr>
            <w:tcW w:w="1347" w:type="dxa"/>
          </w:tcPr>
          <w:p w:rsidRPr="00762EF8" w:rsidR="00331A43" w:rsidP="00CB24FF" w:rsidRDefault="00331A43" w14:paraId="4ED1397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 xml:space="preserve">Hoog / </w:t>
            </w:r>
            <w:r w:rsidRPr="00762EF8">
              <w:rPr>
                <w:rStyle w:val="Voetnootmarkering"/>
                <w:rFonts w:ascii="Calibri" w:hAnsi="Calibri" w:cs="Calibri"/>
                <w:sz w:val="22"/>
                <w:szCs w:val="22"/>
              </w:rPr>
              <w:footnoteReference w:id="4"/>
            </w:r>
            <w:r w:rsidRPr="00762EF8">
              <w:rPr>
                <w:rFonts w:ascii="Calibri" w:hAnsi="Calibri" w:cs="Calibri"/>
                <w:sz w:val="22"/>
                <w:szCs w:val="22"/>
              </w:rPr>
              <w:t>gemiddeld</w:t>
            </w:r>
          </w:p>
        </w:tc>
        <w:tc>
          <w:tcPr>
            <w:tcW w:w="1731" w:type="dxa"/>
          </w:tcPr>
          <w:p w:rsidRPr="00762EF8" w:rsidR="00331A43" w:rsidP="00CB24FF" w:rsidRDefault="00331A43" w14:paraId="4B97787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€35 tot €105</w:t>
            </w:r>
          </w:p>
          <w:p w:rsidRPr="00762EF8" w:rsidR="00331A43" w:rsidP="00CB24FF" w:rsidRDefault="00331A43" w14:paraId="0CF5DB2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 xml:space="preserve">miljoen </w:t>
            </w:r>
          </w:p>
        </w:tc>
      </w:tr>
      <w:tr w:rsidRPr="00762EF8" w:rsidR="00331A43" w:rsidTr="00CB24FF" w14:paraId="24BA8B82" w14:textId="77777777">
        <w:tc>
          <w:tcPr>
            <w:cnfStyle w:val="001000000000" w:firstRow="0" w:lastRow="0" w:firstColumn="1" w:lastColumn="0" w:oddVBand="0" w:evenVBand="0" w:oddHBand="0" w:evenHBand="0" w:firstRowFirstColumn="0" w:firstRowLastColumn="0" w:lastRowFirstColumn="0" w:lastRowLastColumn="0"/>
            <w:tcW w:w="1593" w:type="dxa"/>
            <w:gridSpan w:val="2"/>
          </w:tcPr>
          <w:p w:rsidRPr="00762EF8" w:rsidR="00331A43" w:rsidP="00CB24FF" w:rsidRDefault="00331A43" w14:paraId="27D0FBF5" w14:textId="77777777">
            <w:pPr>
              <w:rPr>
                <w:rFonts w:ascii="Calibri" w:hAnsi="Calibri" w:cs="Calibri"/>
                <w:sz w:val="22"/>
                <w:szCs w:val="22"/>
              </w:rPr>
            </w:pPr>
            <w:r w:rsidRPr="00762EF8">
              <w:rPr>
                <w:rFonts w:ascii="Calibri" w:hAnsi="Calibri" w:cs="Calibri"/>
                <w:sz w:val="22"/>
                <w:szCs w:val="22"/>
              </w:rPr>
              <w:t xml:space="preserve">Schrijvers </w:t>
            </w:r>
          </w:p>
        </w:tc>
        <w:tc>
          <w:tcPr>
            <w:tcW w:w="1286" w:type="dxa"/>
          </w:tcPr>
          <w:p w:rsidRPr="00762EF8" w:rsidR="00331A43" w:rsidP="00CB24FF" w:rsidRDefault="00331A43" w14:paraId="175EBF9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Nee</w:t>
            </w:r>
          </w:p>
        </w:tc>
        <w:tc>
          <w:tcPr>
            <w:tcW w:w="1574" w:type="dxa"/>
          </w:tcPr>
          <w:p w:rsidRPr="00762EF8" w:rsidR="00331A43" w:rsidP="00CB24FF" w:rsidRDefault="00331A43" w14:paraId="28E9F38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Hoog / gemiddeld</w:t>
            </w:r>
            <w:r w:rsidRPr="00762EF8">
              <w:rPr>
                <w:rStyle w:val="Voetnootmarkering"/>
                <w:rFonts w:ascii="Calibri" w:hAnsi="Calibri" w:cs="Calibri"/>
                <w:sz w:val="22"/>
                <w:szCs w:val="22"/>
              </w:rPr>
              <w:footnoteReference w:id="5"/>
            </w:r>
          </w:p>
        </w:tc>
        <w:tc>
          <w:tcPr>
            <w:tcW w:w="1347" w:type="dxa"/>
          </w:tcPr>
          <w:p w:rsidRPr="00762EF8" w:rsidR="00331A43" w:rsidP="00CB24FF" w:rsidRDefault="00331A43" w14:paraId="323067C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 xml:space="preserve">Hoog </w:t>
            </w:r>
          </w:p>
        </w:tc>
        <w:tc>
          <w:tcPr>
            <w:tcW w:w="1731" w:type="dxa"/>
            <w:vMerge w:val="restart"/>
          </w:tcPr>
          <w:p w:rsidRPr="00762EF8" w:rsidR="00331A43" w:rsidP="00CB24FF" w:rsidRDefault="00331A43" w14:paraId="060ACA3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Enkele</w:t>
            </w:r>
          </w:p>
          <w:p w:rsidRPr="00762EF8" w:rsidR="00331A43" w:rsidP="00CB24FF" w:rsidRDefault="00331A43" w14:paraId="66FC4FE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miljoenen</w:t>
            </w:r>
          </w:p>
          <w:p w:rsidRPr="00762EF8" w:rsidR="00331A43" w:rsidP="00CB24FF" w:rsidRDefault="00331A43" w14:paraId="7893674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tot maximaal</w:t>
            </w:r>
          </w:p>
          <w:p w:rsidRPr="00762EF8" w:rsidR="00331A43" w:rsidP="00CB24FF" w:rsidRDefault="00331A43" w14:paraId="49ED03E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 xml:space="preserve">€30 mln. </w:t>
            </w:r>
          </w:p>
        </w:tc>
      </w:tr>
      <w:tr w:rsidRPr="00762EF8" w:rsidR="00331A43" w:rsidTr="00CB24FF" w14:paraId="67E8FB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gridSpan w:val="2"/>
          </w:tcPr>
          <w:p w:rsidRPr="00762EF8" w:rsidR="00331A43" w:rsidP="00CB24FF" w:rsidRDefault="00331A43" w14:paraId="2386B99E" w14:textId="77777777">
            <w:pPr>
              <w:rPr>
                <w:rFonts w:ascii="Calibri" w:hAnsi="Calibri" w:cs="Calibri"/>
                <w:sz w:val="22"/>
                <w:szCs w:val="22"/>
              </w:rPr>
            </w:pPr>
            <w:r w:rsidRPr="00762EF8">
              <w:rPr>
                <w:rFonts w:ascii="Calibri" w:hAnsi="Calibri" w:cs="Calibri"/>
                <w:sz w:val="22"/>
                <w:szCs w:val="22"/>
              </w:rPr>
              <w:t>Journalisten</w:t>
            </w:r>
          </w:p>
        </w:tc>
        <w:tc>
          <w:tcPr>
            <w:tcW w:w="1286" w:type="dxa"/>
          </w:tcPr>
          <w:p w:rsidRPr="00762EF8" w:rsidR="00331A43" w:rsidP="00CB24FF" w:rsidRDefault="00331A43" w14:paraId="028BAF8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Nee</w:t>
            </w:r>
          </w:p>
        </w:tc>
        <w:tc>
          <w:tcPr>
            <w:tcW w:w="1574" w:type="dxa"/>
          </w:tcPr>
          <w:p w:rsidRPr="00762EF8" w:rsidR="00331A43" w:rsidP="00CB24FF" w:rsidRDefault="00331A43" w14:paraId="43D897D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Gemiddeld</w:t>
            </w:r>
          </w:p>
        </w:tc>
        <w:tc>
          <w:tcPr>
            <w:tcW w:w="1347" w:type="dxa"/>
          </w:tcPr>
          <w:p w:rsidRPr="00762EF8" w:rsidR="00331A43" w:rsidP="00CB24FF" w:rsidRDefault="00331A43" w14:paraId="6745105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Gemiddeld</w:t>
            </w:r>
          </w:p>
        </w:tc>
        <w:tc>
          <w:tcPr>
            <w:tcW w:w="1731" w:type="dxa"/>
            <w:vMerge/>
          </w:tcPr>
          <w:p w:rsidRPr="00762EF8" w:rsidR="00331A43" w:rsidP="00CB24FF" w:rsidRDefault="00331A43" w14:paraId="5F91655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Pr="00762EF8" w:rsidR="00331A43" w:rsidTr="00CB24FF" w14:paraId="08CE59DB" w14:textId="77777777">
        <w:tc>
          <w:tcPr>
            <w:cnfStyle w:val="001000000000" w:firstRow="0" w:lastRow="0" w:firstColumn="1" w:lastColumn="0" w:oddVBand="0" w:evenVBand="0" w:oddHBand="0" w:evenHBand="0" w:firstRowFirstColumn="0" w:firstRowLastColumn="0" w:lastRowFirstColumn="0" w:lastRowLastColumn="0"/>
            <w:tcW w:w="1593" w:type="dxa"/>
            <w:gridSpan w:val="2"/>
          </w:tcPr>
          <w:p w:rsidRPr="00762EF8" w:rsidR="00331A43" w:rsidP="00CB24FF" w:rsidRDefault="00331A43" w14:paraId="6FF493D0" w14:textId="77777777">
            <w:pPr>
              <w:rPr>
                <w:rFonts w:ascii="Calibri" w:hAnsi="Calibri" w:cs="Calibri"/>
                <w:sz w:val="22"/>
                <w:szCs w:val="22"/>
              </w:rPr>
            </w:pPr>
            <w:r w:rsidRPr="00762EF8">
              <w:rPr>
                <w:rFonts w:ascii="Calibri" w:hAnsi="Calibri" w:cs="Calibri"/>
                <w:sz w:val="22"/>
                <w:szCs w:val="22"/>
              </w:rPr>
              <w:t>Componisten</w:t>
            </w:r>
          </w:p>
        </w:tc>
        <w:tc>
          <w:tcPr>
            <w:tcW w:w="1286" w:type="dxa"/>
          </w:tcPr>
          <w:p w:rsidRPr="00762EF8" w:rsidR="00331A43" w:rsidP="00CB24FF" w:rsidRDefault="00331A43" w14:paraId="14D78E3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Nee</w:t>
            </w:r>
          </w:p>
        </w:tc>
        <w:tc>
          <w:tcPr>
            <w:tcW w:w="1574" w:type="dxa"/>
          </w:tcPr>
          <w:p w:rsidRPr="00762EF8" w:rsidR="00331A43" w:rsidP="00CB24FF" w:rsidRDefault="00331A43" w14:paraId="2C76E2E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Laag</w:t>
            </w:r>
          </w:p>
        </w:tc>
        <w:tc>
          <w:tcPr>
            <w:tcW w:w="1347" w:type="dxa"/>
          </w:tcPr>
          <w:p w:rsidRPr="00762EF8" w:rsidR="00331A43" w:rsidP="00CB24FF" w:rsidRDefault="00331A43" w14:paraId="67EC012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Hoog / laag</w:t>
            </w:r>
            <w:r w:rsidRPr="00762EF8">
              <w:rPr>
                <w:rStyle w:val="Voetnootmarkering"/>
                <w:rFonts w:ascii="Calibri" w:hAnsi="Calibri" w:cs="Calibri"/>
                <w:sz w:val="22"/>
                <w:szCs w:val="22"/>
              </w:rPr>
              <w:footnoteReference w:id="6"/>
            </w:r>
          </w:p>
        </w:tc>
        <w:tc>
          <w:tcPr>
            <w:tcW w:w="1731" w:type="dxa"/>
          </w:tcPr>
          <w:p w:rsidRPr="00762EF8" w:rsidR="00331A43" w:rsidP="00CB24FF" w:rsidRDefault="00331A43" w14:paraId="63F5F0D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 xml:space="preserve">Enkele miljoenen </w:t>
            </w:r>
          </w:p>
          <w:p w:rsidRPr="00762EF8" w:rsidR="00331A43" w:rsidP="00CB24FF" w:rsidRDefault="00331A43" w14:paraId="6D254B9C"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budgettaire derving of</w:t>
            </w:r>
          </w:p>
          <w:p w:rsidRPr="00762EF8" w:rsidR="00331A43" w:rsidP="00CB24FF" w:rsidRDefault="00331A43" w14:paraId="4AD281E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opbrengst</w:t>
            </w:r>
          </w:p>
        </w:tc>
      </w:tr>
      <w:tr w:rsidRPr="00762EF8" w:rsidR="00331A43" w:rsidTr="00CB24FF" w14:paraId="027049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gridSpan w:val="2"/>
          </w:tcPr>
          <w:p w:rsidRPr="00762EF8" w:rsidR="00331A43" w:rsidP="00CB24FF" w:rsidRDefault="00331A43" w14:paraId="6F59DF5A" w14:textId="77777777">
            <w:pPr>
              <w:rPr>
                <w:rFonts w:ascii="Calibri" w:hAnsi="Calibri" w:cs="Calibri"/>
                <w:sz w:val="22"/>
                <w:szCs w:val="22"/>
              </w:rPr>
            </w:pPr>
            <w:r w:rsidRPr="00762EF8">
              <w:rPr>
                <w:rFonts w:ascii="Calibri" w:hAnsi="Calibri" w:cs="Calibri"/>
                <w:sz w:val="22"/>
                <w:szCs w:val="22"/>
              </w:rPr>
              <w:t>Cartoonisten</w:t>
            </w:r>
          </w:p>
        </w:tc>
        <w:tc>
          <w:tcPr>
            <w:tcW w:w="1286" w:type="dxa"/>
          </w:tcPr>
          <w:p w:rsidRPr="00762EF8" w:rsidR="00331A43" w:rsidP="00CB24FF" w:rsidRDefault="00331A43" w14:paraId="65DA73C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Nee</w:t>
            </w:r>
          </w:p>
        </w:tc>
        <w:tc>
          <w:tcPr>
            <w:tcW w:w="1574" w:type="dxa"/>
          </w:tcPr>
          <w:p w:rsidRPr="00762EF8" w:rsidR="00331A43" w:rsidP="00CB24FF" w:rsidRDefault="00331A43" w14:paraId="0897C14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Laag</w:t>
            </w:r>
          </w:p>
        </w:tc>
        <w:tc>
          <w:tcPr>
            <w:tcW w:w="1347" w:type="dxa"/>
          </w:tcPr>
          <w:p w:rsidRPr="00762EF8" w:rsidR="00331A43" w:rsidP="00CB24FF" w:rsidRDefault="00331A43" w14:paraId="40DDA40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Hoog / laag</w:t>
            </w:r>
            <w:r w:rsidRPr="00762EF8">
              <w:rPr>
                <w:rStyle w:val="Voetnootmarkering"/>
                <w:rFonts w:ascii="Calibri" w:hAnsi="Calibri" w:cs="Calibri"/>
                <w:sz w:val="22"/>
                <w:szCs w:val="22"/>
              </w:rPr>
              <w:footnoteReference w:id="7"/>
            </w:r>
          </w:p>
        </w:tc>
        <w:tc>
          <w:tcPr>
            <w:tcW w:w="1731" w:type="dxa"/>
          </w:tcPr>
          <w:p w:rsidRPr="00762EF8" w:rsidR="00331A43" w:rsidP="00CB24FF" w:rsidRDefault="00331A43" w14:paraId="11EB142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Verwaarloosbaar</w:t>
            </w:r>
          </w:p>
        </w:tc>
      </w:tr>
      <w:tr w:rsidRPr="00762EF8" w:rsidR="00331A43" w:rsidTr="00CB24FF" w14:paraId="2F1AB9E7" w14:textId="77777777">
        <w:tc>
          <w:tcPr>
            <w:cnfStyle w:val="001000000000" w:firstRow="0" w:lastRow="0" w:firstColumn="1" w:lastColumn="0" w:oddVBand="0" w:evenVBand="0" w:oddHBand="0" w:evenHBand="0" w:firstRowFirstColumn="0" w:firstRowLastColumn="0" w:lastRowFirstColumn="0" w:lastRowLastColumn="0"/>
            <w:tcW w:w="1593" w:type="dxa"/>
            <w:gridSpan w:val="2"/>
          </w:tcPr>
          <w:p w:rsidRPr="00762EF8" w:rsidR="00331A43" w:rsidP="00CB24FF" w:rsidRDefault="00331A43" w14:paraId="28CFC576" w14:textId="77777777">
            <w:pPr>
              <w:rPr>
                <w:rFonts w:ascii="Calibri" w:hAnsi="Calibri" w:cs="Calibri"/>
                <w:sz w:val="22"/>
                <w:szCs w:val="22"/>
              </w:rPr>
            </w:pPr>
            <w:r w:rsidRPr="00762EF8">
              <w:rPr>
                <w:rFonts w:ascii="Calibri" w:hAnsi="Calibri" w:cs="Calibri"/>
                <w:sz w:val="22"/>
                <w:szCs w:val="22"/>
              </w:rPr>
              <w:t>Voordrachten</w:t>
            </w:r>
          </w:p>
        </w:tc>
        <w:tc>
          <w:tcPr>
            <w:tcW w:w="1286" w:type="dxa"/>
          </w:tcPr>
          <w:p w:rsidRPr="00762EF8" w:rsidR="00331A43" w:rsidP="00CB24FF" w:rsidRDefault="00331A43" w14:paraId="45D70F9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Nee</w:t>
            </w:r>
          </w:p>
        </w:tc>
        <w:tc>
          <w:tcPr>
            <w:tcW w:w="1574" w:type="dxa"/>
          </w:tcPr>
          <w:p w:rsidRPr="00762EF8" w:rsidR="00331A43" w:rsidP="00CB24FF" w:rsidRDefault="00331A43" w14:paraId="667E0EE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Laag</w:t>
            </w:r>
          </w:p>
        </w:tc>
        <w:tc>
          <w:tcPr>
            <w:tcW w:w="1347" w:type="dxa"/>
          </w:tcPr>
          <w:p w:rsidRPr="00762EF8" w:rsidR="00331A43" w:rsidP="00CB24FF" w:rsidRDefault="00331A43" w14:paraId="0D0DFE0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Laag</w:t>
            </w:r>
          </w:p>
        </w:tc>
        <w:tc>
          <w:tcPr>
            <w:tcW w:w="1731" w:type="dxa"/>
          </w:tcPr>
          <w:p w:rsidRPr="00762EF8" w:rsidR="00331A43" w:rsidP="00CB24FF" w:rsidRDefault="00331A43" w14:paraId="6CD7D53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2EF8">
              <w:rPr>
                <w:rFonts w:ascii="Calibri" w:hAnsi="Calibri" w:cs="Calibri"/>
                <w:sz w:val="22"/>
                <w:szCs w:val="22"/>
              </w:rPr>
              <w:t>Verwaarloosbaar</w:t>
            </w:r>
          </w:p>
        </w:tc>
      </w:tr>
      <w:bookmarkEnd w:id="2"/>
      <w:bookmarkEnd w:id="3"/>
    </w:tbl>
    <w:p w:rsidRPr="00762EF8" w:rsidR="00331A43" w:rsidP="00331A43" w:rsidRDefault="00331A43" w14:paraId="2F5AAB8F" w14:textId="77777777">
      <w:pPr>
        <w:rPr>
          <w:rFonts w:ascii="Calibri" w:hAnsi="Calibri" w:cs="Calibri"/>
        </w:rPr>
      </w:pPr>
    </w:p>
    <w:p w:rsidRPr="00762EF8" w:rsidR="00331A43" w:rsidP="00331A43" w:rsidRDefault="00331A43" w14:paraId="44746238" w14:textId="77777777">
      <w:pPr>
        <w:rPr>
          <w:rFonts w:ascii="Calibri" w:hAnsi="Calibri" w:cs="Calibri"/>
        </w:rPr>
      </w:pPr>
      <w:r w:rsidRPr="00762EF8">
        <w:rPr>
          <w:rFonts w:ascii="Calibri" w:hAnsi="Calibri" w:cs="Calibri"/>
        </w:rPr>
        <w:lastRenderedPageBreak/>
        <w:t xml:space="preserve">In de aanbevelingen van het onderzoek geven de onderzoekers aan dat zij niet direct aanleiding zien om de vrijstellingen voor diensten door </w:t>
      </w:r>
      <w:r w:rsidRPr="00762EF8">
        <w:rPr>
          <w:rFonts w:ascii="Calibri" w:hAnsi="Calibri" w:cs="Calibri"/>
          <w:i/>
          <w:iCs/>
        </w:rPr>
        <w:t>lijkbezorgers, schrijvers en journalisten</w:t>
      </w:r>
      <w:r w:rsidRPr="00762EF8">
        <w:rPr>
          <w:rFonts w:ascii="Calibri" w:hAnsi="Calibri" w:cs="Calibri"/>
        </w:rPr>
        <w:t xml:space="preserve"> af te schaffen. Wat betreft de vrijstellingen </w:t>
      </w:r>
      <w:r w:rsidRPr="00762EF8">
        <w:rPr>
          <w:rFonts w:ascii="Calibri" w:hAnsi="Calibri" w:cs="Calibri"/>
          <w:i/>
          <w:iCs/>
        </w:rPr>
        <w:t>voor diensten door componisten, cartoonisten en voor voordrachten</w:t>
      </w:r>
      <w:r w:rsidRPr="00762EF8">
        <w:rPr>
          <w:rFonts w:ascii="Calibri" w:hAnsi="Calibri" w:cs="Calibri"/>
        </w:rPr>
        <w:t xml:space="preserve"> zien de onderzoekers wel aanleiding om deze af te schaffen. </w:t>
      </w:r>
    </w:p>
    <w:p w:rsidRPr="00762EF8" w:rsidR="00331A43" w:rsidP="00331A43" w:rsidRDefault="00331A43" w14:paraId="610B2825" w14:textId="77777777">
      <w:pPr>
        <w:rPr>
          <w:rFonts w:ascii="Calibri" w:hAnsi="Calibri" w:cs="Calibri"/>
          <w:i/>
          <w:iCs/>
        </w:rPr>
      </w:pPr>
      <w:r w:rsidRPr="00762EF8">
        <w:rPr>
          <w:rFonts w:ascii="Calibri" w:hAnsi="Calibri" w:cs="Calibri"/>
          <w:i/>
          <w:iCs/>
        </w:rPr>
        <w:t>Omzetgrenzen van de vrijstelling voor fondsenwervende activiteiten</w:t>
      </w:r>
    </w:p>
    <w:p w:rsidRPr="00762EF8" w:rsidR="00331A43" w:rsidP="00331A43" w:rsidRDefault="00331A43" w14:paraId="040FF12E" w14:textId="77777777">
      <w:pPr>
        <w:rPr>
          <w:rFonts w:ascii="Calibri" w:hAnsi="Calibri" w:cs="Calibri"/>
        </w:rPr>
      </w:pPr>
      <w:r w:rsidRPr="00762EF8">
        <w:rPr>
          <w:rFonts w:ascii="Calibri" w:hAnsi="Calibri" w:cs="Calibri"/>
        </w:rPr>
        <w:t>De btw-vrijstelling voor fondsenwervende activiteiten heeft als doel om bepaalde ondernemers die vrijgestelde prestaties verrichten en nevenactiviteiten hebben van relatief bescheiden omvang daarvoor niet in de heffing van de btw te betrekken. Die activiteiten moeten gericht zijn op de verkrijging van financiële steun voor deze organisaties. Dit is volgens de Europese btw-richtlijn een verplichte vrijstelling. Daarbij geldt wel de eis dat de vrijstelling niet tot concurrentieverstoring mag leiden. Om aan die eis te voldoen is de vrijstelling in de Wet op de omzetbelasting 1968 geïmplementeerd met bepaalde omzetgrenzen.</w:t>
      </w:r>
      <w:r w:rsidRPr="00762EF8">
        <w:rPr>
          <w:rStyle w:val="Voetnootmarkering"/>
          <w:rFonts w:ascii="Calibri" w:hAnsi="Calibri" w:cs="Calibri"/>
        </w:rPr>
        <w:footnoteReference w:id="8"/>
      </w:r>
    </w:p>
    <w:p w:rsidRPr="00762EF8" w:rsidR="00331A43" w:rsidP="00331A43" w:rsidRDefault="00331A43" w14:paraId="1F8984B9" w14:textId="77777777">
      <w:pPr>
        <w:rPr>
          <w:rFonts w:ascii="Calibri" w:hAnsi="Calibri" w:cs="Calibri"/>
        </w:rPr>
      </w:pPr>
      <w:r w:rsidRPr="00762EF8">
        <w:rPr>
          <w:rFonts w:ascii="Calibri" w:hAnsi="Calibri" w:cs="Calibri"/>
        </w:rPr>
        <w:t xml:space="preserve">De onderzoekers geven aan dat het doelbereik en de doeltreffendheid van de omzetgrenzen hoog is. Daarnaast wordt de doelmatigheid als gemiddeld beoordeeld. Gebruikers lopen aan tegen het onderscheid en de kwalificatie van prestaties als (goederen)levering of dienst. De uitvoeringskosten voor de belastingdienst zijn laag. </w:t>
      </w:r>
      <w:bookmarkStart w:name="_Hlk197427124" w:id="4"/>
      <w:r w:rsidRPr="00762EF8">
        <w:rPr>
          <w:rFonts w:ascii="Calibri" w:hAnsi="Calibri" w:cs="Calibri"/>
        </w:rPr>
        <w:t>In de aanbevelingen van het onderzoek geven de onderzoekers aan dat zij geen aanleiding zien om de omzetgrenzen aan te passen.</w:t>
      </w:r>
    </w:p>
    <w:bookmarkEnd w:id="4"/>
    <w:p w:rsidRPr="00762EF8" w:rsidR="00331A43" w:rsidP="00331A43" w:rsidRDefault="00331A43" w14:paraId="3F7B9D8A" w14:textId="77777777">
      <w:pPr>
        <w:rPr>
          <w:rFonts w:ascii="Calibri" w:hAnsi="Calibri" w:cs="Calibri"/>
          <w:i/>
          <w:iCs/>
        </w:rPr>
      </w:pPr>
      <w:r w:rsidRPr="00762EF8">
        <w:rPr>
          <w:rFonts w:ascii="Calibri" w:hAnsi="Calibri" w:cs="Calibri"/>
          <w:i/>
          <w:iCs/>
        </w:rPr>
        <w:t>Vervolg</w:t>
      </w:r>
    </w:p>
    <w:p w:rsidRPr="00762EF8" w:rsidR="00331A43" w:rsidP="00762EF8" w:rsidRDefault="00331A43" w14:paraId="045781B1" w14:textId="77777777">
      <w:pPr>
        <w:pStyle w:val="Geenafstand"/>
        <w:rPr>
          <w:rFonts w:ascii="Calibri" w:hAnsi="Calibri" w:cs="Calibri"/>
        </w:rPr>
      </w:pPr>
      <w:bookmarkStart w:name="_Hlk196732272" w:id="5"/>
      <w:r w:rsidRPr="00762EF8">
        <w:rPr>
          <w:rFonts w:ascii="Calibri" w:hAnsi="Calibri" w:cs="Calibri"/>
        </w:rPr>
        <w:t xml:space="preserve">De uitkomsten van het onderzoek worden de komende tijd gewogen. Zoals </w:t>
      </w:r>
    </w:p>
    <w:p w:rsidRPr="00762EF8" w:rsidR="00331A43" w:rsidP="00762EF8" w:rsidRDefault="00331A43" w14:paraId="5D90AF19" w14:textId="76E87130">
      <w:pPr>
        <w:pStyle w:val="Geenafstand"/>
        <w:rPr>
          <w:rFonts w:ascii="Calibri" w:hAnsi="Calibri" w:cs="Calibri"/>
        </w:rPr>
      </w:pPr>
      <w:r w:rsidRPr="00762EF8">
        <w:rPr>
          <w:rFonts w:ascii="Calibri" w:hAnsi="Calibri" w:cs="Calibri"/>
        </w:rPr>
        <w:t>beschreven in de begrotingsregels van dit kabinet geldt als uitgangspunt dat voor een negatief geëvalueerde fiscale regeling moet worden bezien of de regeling</w:t>
      </w:r>
      <w:r w:rsidRPr="00762EF8" w:rsidR="00762EF8">
        <w:rPr>
          <w:rFonts w:ascii="Calibri" w:hAnsi="Calibri" w:cs="Calibri"/>
        </w:rPr>
        <w:t xml:space="preserve"> </w:t>
      </w:r>
      <w:r w:rsidRPr="00762EF8">
        <w:rPr>
          <w:rFonts w:ascii="Calibri" w:hAnsi="Calibri" w:cs="Calibri"/>
        </w:rPr>
        <w:t>wordt afgeschaft, versoberd, hervormd of gemotiveerd gehandhaafd. Voor het</w:t>
      </w:r>
      <w:r w:rsidRPr="00762EF8" w:rsidR="00762EF8">
        <w:rPr>
          <w:rFonts w:ascii="Calibri" w:hAnsi="Calibri" w:cs="Calibri"/>
        </w:rPr>
        <w:t xml:space="preserve"> </w:t>
      </w:r>
      <w:r w:rsidRPr="00762EF8">
        <w:rPr>
          <w:rFonts w:ascii="Calibri" w:hAnsi="Calibri" w:cs="Calibri"/>
        </w:rPr>
        <w:t>zomerreces volgt een kabinetsreactie</w:t>
      </w:r>
      <w:bookmarkEnd w:id="5"/>
      <w:r w:rsidRPr="00762EF8">
        <w:rPr>
          <w:rFonts w:ascii="Calibri" w:hAnsi="Calibri" w:cs="Calibri"/>
        </w:rPr>
        <w:t>.</w:t>
      </w:r>
    </w:p>
    <w:p w:rsidRPr="00762EF8" w:rsidR="00331A43" w:rsidP="00331A43" w:rsidRDefault="00331A43" w14:paraId="129A39B6" w14:textId="77777777">
      <w:pPr>
        <w:rPr>
          <w:rFonts w:ascii="Calibri" w:hAnsi="Calibri" w:cs="Calibri"/>
        </w:rPr>
      </w:pPr>
    </w:p>
    <w:p w:rsidRPr="00762EF8" w:rsidR="00331A43" w:rsidP="00762EF8" w:rsidRDefault="00331A43" w14:paraId="1E400547" w14:textId="77777777">
      <w:pPr>
        <w:pStyle w:val="Geenafstand"/>
        <w:rPr>
          <w:rFonts w:ascii="Calibri" w:hAnsi="Calibri" w:cs="Calibri"/>
        </w:rPr>
      </w:pPr>
    </w:p>
    <w:p w:rsidRPr="00762EF8" w:rsidR="00331A43" w:rsidP="00762EF8" w:rsidRDefault="00762EF8" w14:paraId="7398DE62" w14:textId="21672145">
      <w:pPr>
        <w:pStyle w:val="Geenafstand"/>
        <w:rPr>
          <w:rFonts w:ascii="Calibri" w:hAnsi="Calibri" w:cs="Calibri"/>
        </w:rPr>
      </w:pPr>
      <w:r w:rsidRPr="00762EF8">
        <w:rPr>
          <w:rFonts w:ascii="Calibri" w:hAnsi="Calibri" w:cs="Calibri"/>
        </w:rPr>
        <w:t>D</w:t>
      </w:r>
      <w:r w:rsidRPr="00762EF8" w:rsidR="00331A43">
        <w:rPr>
          <w:rFonts w:ascii="Calibri" w:hAnsi="Calibri" w:cs="Calibri"/>
        </w:rPr>
        <w:t>e staatssecretaris van Financiën</w:t>
      </w:r>
      <w:r w:rsidRPr="00762EF8">
        <w:rPr>
          <w:rFonts w:ascii="Calibri" w:hAnsi="Calibri" w:cs="Calibri"/>
        </w:rPr>
        <w:t>,</w:t>
      </w:r>
    </w:p>
    <w:p w:rsidRPr="00762EF8" w:rsidR="00331A43" w:rsidP="00762EF8" w:rsidRDefault="00331A43" w14:paraId="30A27424" w14:textId="77777777">
      <w:pPr>
        <w:pStyle w:val="Geenafstand"/>
        <w:rPr>
          <w:rFonts w:ascii="Calibri" w:hAnsi="Calibri" w:cs="Calibri"/>
        </w:rPr>
      </w:pPr>
      <w:r w:rsidRPr="00762EF8">
        <w:rPr>
          <w:rFonts w:ascii="Calibri" w:hAnsi="Calibri" w:cs="Calibri"/>
        </w:rPr>
        <w:t>T. van Oostenbruggen</w:t>
      </w:r>
      <w:r w:rsidRPr="00762EF8">
        <w:rPr>
          <w:rFonts w:ascii="Calibri" w:hAnsi="Calibri" w:cs="Calibri"/>
        </w:rPr>
        <w:br/>
      </w:r>
    </w:p>
    <w:p w:rsidRPr="00762EF8" w:rsidR="00FE0FA3" w:rsidRDefault="00FE0FA3" w14:paraId="634E4757" w14:textId="77777777">
      <w:pPr>
        <w:rPr>
          <w:rFonts w:ascii="Calibri" w:hAnsi="Calibri" w:cs="Calibri"/>
        </w:rPr>
      </w:pPr>
    </w:p>
    <w:sectPr w:rsidRPr="00762EF8" w:rsidR="00FE0FA3" w:rsidSect="00331A4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5A75" w14:textId="77777777" w:rsidR="00331A43" w:rsidRDefault="00331A43" w:rsidP="00331A43">
      <w:pPr>
        <w:spacing w:after="0" w:line="240" w:lineRule="auto"/>
      </w:pPr>
      <w:r>
        <w:separator/>
      </w:r>
    </w:p>
  </w:endnote>
  <w:endnote w:type="continuationSeparator" w:id="0">
    <w:p w14:paraId="56700C83" w14:textId="77777777" w:rsidR="00331A43" w:rsidRDefault="00331A43" w:rsidP="0033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D6C3" w14:textId="77777777" w:rsidR="00331A43" w:rsidRPr="00331A43" w:rsidRDefault="00331A43" w:rsidP="00331A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CF32" w14:textId="77777777" w:rsidR="00331A43" w:rsidRPr="00331A43" w:rsidRDefault="00331A43" w:rsidP="00331A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1624" w14:textId="77777777" w:rsidR="00331A43" w:rsidRPr="00331A43" w:rsidRDefault="00331A43" w:rsidP="00331A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AC4C1" w14:textId="77777777" w:rsidR="00331A43" w:rsidRDefault="00331A43" w:rsidP="00331A43">
      <w:pPr>
        <w:spacing w:after="0" w:line="240" w:lineRule="auto"/>
      </w:pPr>
      <w:r>
        <w:separator/>
      </w:r>
    </w:p>
  </w:footnote>
  <w:footnote w:type="continuationSeparator" w:id="0">
    <w:p w14:paraId="06BF41FE" w14:textId="77777777" w:rsidR="00331A43" w:rsidRDefault="00331A43" w:rsidP="00331A43">
      <w:pPr>
        <w:spacing w:after="0" w:line="240" w:lineRule="auto"/>
      </w:pPr>
      <w:r>
        <w:continuationSeparator/>
      </w:r>
    </w:p>
  </w:footnote>
  <w:footnote w:id="1">
    <w:p w14:paraId="43579BBE" w14:textId="77777777" w:rsidR="00331A43" w:rsidRPr="00762EF8" w:rsidRDefault="00331A43" w:rsidP="00331A43">
      <w:pPr>
        <w:pStyle w:val="Voetnoottekst"/>
        <w:rPr>
          <w:rFonts w:ascii="Calibri" w:hAnsi="Calibri" w:cs="Calibri"/>
        </w:rPr>
      </w:pPr>
      <w:r w:rsidRPr="00762EF8">
        <w:rPr>
          <w:rStyle w:val="Voetnootmarkering"/>
          <w:rFonts w:ascii="Calibri" w:hAnsi="Calibri" w:cs="Calibri"/>
        </w:rPr>
        <w:footnoteRef/>
      </w:r>
      <w:r w:rsidRPr="00762EF8">
        <w:rPr>
          <w:rFonts w:ascii="Calibri" w:hAnsi="Calibri" w:cs="Calibri"/>
        </w:rPr>
        <w:t xml:space="preserve"> Kamerstukken II, 2022/23, 36 200 XVI, nr. 171.</w:t>
      </w:r>
    </w:p>
  </w:footnote>
  <w:footnote w:id="2">
    <w:p w14:paraId="12FEAA42" w14:textId="77777777" w:rsidR="00331A43" w:rsidRPr="00762EF8" w:rsidRDefault="00331A43" w:rsidP="00331A43">
      <w:pPr>
        <w:pStyle w:val="Voetnoottekst"/>
        <w:rPr>
          <w:rFonts w:ascii="Calibri" w:hAnsi="Calibri" w:cs="Calibri"/>
        </w:rPr>
      </w:pPr>
      <w:r w:rsidRPr="00762EF8">
        <w:rPr>
          <w:rStyle w:val="Voetnootmarkering"/>
          <w:rFonts w:ascii="Calibri" w:hAnsi="Calibri" w:cs="Calibri"/>
        </w:rPr>
        <w:footnoteRef/>
      </w:r>
      <w:r w:rsidRPr="00762EF8">
        <w:rPr>
          <w:rFonts w:ascii="Calibri" w:hAnsi="Calibri" w:cs="Calibri"/>
        </w:rPr>
        <w:t xml:space="preserve"> Richtlijn 2006/112/EG van de Raad van 28 november 2006 betreffende het gemeenschappelijke stelsel van belasting over de toegevoegde waarde (</w:t>
      </w:r>
      <w:proofErr w:type="spellStart"/>
      <w:r w:rsidRPr="00762EF8">
        <w:rPr>
          <w:rFonts w:ascii="Calibri" w:hAnsi="Calibri" w:cs="Calibri"/>
        </w:rPr>
        <w:t>PbEU</w:t>
      </w:r>
      <w:proofErr w:type="spellEnd"/>
      <w:r w:rsidRPr="00762EF8">
        <w:rPr>
          <w:rFonts w:ascii="Calibri" w:hAnsi="Calibri" w:cs="Calibri"/>
        </w:rPr>
        <w:t xml:space="preserve"> 2006, L 347).</w:t>
      </w:r>
    </w:p>
  </w:footnote>
  <w:footnote w:id="3">
    <w:p w14:paraId="4ED65E79" w14:textId="77777777" w:rsidR="00331A43" w:rsidRPr="00762EF8" w:rsidRDefault="00331A43" w:rsidP="00331A43">
      <w:pPr>
        <w:pStyle w:val="Voetnoottekst"/>
        <w:rPr>
          <w:rFonts w:ascii="Calibri" w:hAnsi="Calibri" w:cs="Calibri"/>
        </w:rPr>
      </w:pPr>
      <w:r w:rsidRPr="00762EF8">
        <w:rPr>
          <w:rStyle w:val="Voetnootmarkering"/>
          <w:rFonts w:ascii="Calibri" w:hAnsi="Calibri" w:cs="Calibri"/>
        </w:rPr>
        <w:footnoteRef/>
      </w:r>
      <w:r w:rsidRPr="00762EF8">
        <w:rPr>
          <w:rFonts w:ascii="Calibri" w:hAnsi="Calibri" w:cs="Calibri"/>
        </w:rPr>
        <w:t xml:space="preserve"> Het bijzondere van de vrijstelling voor cartoonisten is dat deze optioneel is voor de belastingplichtige. Zij mogen de vrijstelling toepassen, maar zijn daartoe niet verplicht. Zij kunnen er ook voor kiezen om wél btw in rekening te brengen. Voor de andere vrijstellingen die zijn geëvalueerd geldt dat, aangezien Nederland ervoor heeft gekozen om die in te voeren, belastingplichtigen deze wel verplicht moeten toepassen. </w:t>
      </w:r>
    </w:p>
  </w:footnote>
  <w:footnote w:id="4">
    <w:p w14:paraId="10F32027" w14:textId="77777777" w:rsidR="00331A43" w:rsidRPr="00762EF8" w:rsidRDefault="00331A43" w:rsidP="00331A43">
      <w:pPr>
        <w:pStyle w:val="Voetnoottekst"/>
        <w:rPr>
          <w:rFonts w:ascii="Calibri" w:hAnsi="Calibri" w:cs="Calibri"/>
        </w:rPr>
      </w:pPr>
      <w:r w:rsidRPr="00762EF8">
        <w:rPr>
          <w:rStyle w:val="Voetnootmarkering"/>
          <w:rFonts w:ascii="Calibri" w:hAnsi="Calibri" w:cs="Calibri"/>
        </w:rPr>
        <w:footnoteRef/>
      </w:r>
      <w:r w:rsidRPr="00762EF8">
        <w:rPr>
          <w:rFonts w:ascii="Calibri" w:hAnsi="Calibri" w:cs="Calibri"/>
        </w:rPr>
        <w:t xml:space="preserve"> Hoog voor de Belastingdienst, gemiddeld voor de lijkbezorgers.</w:t>
      </w:r>
    </w:p>
  </w:footnote>
  <w:footnote w:id="5">
    <w:p w14:paraId="5A2523A0" w14:textId="77777777" w:rsidR="00331A43" w:rsidRPr="00762EF8" w:rsidRDefault="00331A43" w:rsidP="00331A43">
      <w:pPr>
        <w:pStyle w:val="Voetnoottekst"/>
        <w:rPr>
          <w:rFonts w:ascii="Calibri" w:hAnsi="Calibri" w:cs="Calibri"/>
        </w:rPr>
      </w:pPr>
      <w:r w:rsidRPr="00762EF8">
        <w:rPr>
          <w:rStyle w:val="Voetnootmarkering"/>
          <w:rFonts w:ascii="Calibri" w:hAnsi="Calibri" w:cs="Calibri"/>
        </w:rPr>
        <w:footnoteRef/>
      </w:r>
      <w:r w:rsidRPr="00762EF8">
        <w:rPr>
          <w:rFonts w:ascii="Calibri" w:hAnsi="Calibri" w:cs="Calibri"/>
        </w:rPr>
        <w:t xml:space="preserve"> Hoog wat betreft de doelstelling </w:t>
      </w:r>
      <w:r w:rsidRPr="00762EF8">
        <w:rPr>
          <w:rFonts w:ascii="Calibri" w:hAnsi="Calibri" w:cs="Calibri"/>
          <w:i/>
          <w:iCs/>
        </w:rPr>
        <w:t>lagere administratieve lasten</w:t>
      </w:r>
      <w:r w:rsidRPr="00762EF8">
        <w:rPr>
          <w:rFonts w:ascii="Calibri" w:hAnsi="Calibri" w:cs="Calibri"/>
        </w:rPr>
        <w:t xml:space="preserve">, gemiddeld op de doelstelling </w:t>
      </w:r>
      <w:r w:rsidRPr="00762EF8">
        <w:rPr>
          <w:rFonts w:ascii="Calibri" w:hAnsi="Calibri" w:cs="Calibri"/>
          <w:i/>
          <w:iCs/>
        </w:rPr>
        <w:t>betere betaalbaarheid.</w:t>
      </w:r>
    </w:p>
  </w:footnote>
  <w:footnote w:id="6">
    <w:p w14:paraId="5DD49873" w14:textId="77777777" w:rsidR="00331A43" w:rsidRPr="00762EF8" w:rsidRDefault="00331A43" w:rsidP="00331A43">
      <w:pPr>
        <w:pStyle w:val="Voetnoottekst"/>
        <w:rPr>
          <w:rFonts w:ascii="Calibri" w:hAnsi="Calibri" w:cs="Calibri"/>
        </w:rPr>
      </w:pPr>
      <w:r w:rsidRPr="00762EF8">
        <w:rPr>
          <w:rStyle w:val="Voetnootmarkering"/>
          <w:rFonts w:ascii="Calibri" w:hAnsi="Calibri" w:cs="Calibri"/>
        </w:rPr>
        <w:footnoteRef/>
      </w:r>
      <w:r w:rsidRPr="00762EF8">
        <w:rPr>
          <w:rFonts w:ascii="Calibri" w:hAnsi="Calibri" w:cs="Calibri"/>
        </w:rPr>
        <w:t xml:space="preserve"> Hoog voor de Belastingdienst, laag voor de componisten. </w:t>
      </w:r>
    </w:p>
  </w:footnote>
  <w:footnote w:id="7">
    <w:p w14:paraId="3FE96020" w14:textId="77777777" w:rsidR="00331A43" w:rsidRPr="00762EF8" w:rsidRDefault="00331A43" w:rsidP="00331A43">
      <w:pPr>
        <w:pStyle w:val="Voetnoottekst"/>
        <w:rPr>
          <w:rFonts w:ascii="Calibri" w:hAnsi="Calibri" w:cs="Calibri"/>
        </w:rPr>
      </w:pPr>
      <w:r w:rsidRPr="00762EF8">
        <w:rPr>
          <w:rStyle w:val="Voetnootmarkering"/>
          <w:rFonts w:ascii="Calibri" w:hAnsi="Calibri" w:cs="Calibri"/>
        </w:rPr>
        <w:footnoteRef/>
      </w:r>
      <w:r w:rsidRPr="00762EF8">
        <w:rPr>
          <w:rFonts w:ascii="Calibri" w:hAnsi="Calibri" w:cs="Calibri"/>
        </w:rPr>
        <w:t xml:space="preserve"> Hoog voor de Belastingdienst, laag voor de cartoonisten.</w:t>
      </w:r>
    </w:p>
  </w:footnote>
  <w:footnote w:id="8">
    <w:p w14:paraId="77197820" w14:textId="77777777" w:rsidR="00331A43" w:rsidRPr="00762EF8" w:rsidRDefault="00331A43" w:rsidP="00331A43">
      <w:pPr>
        <w:pStyle w:val="Voetnoottekst"/>
        <w:rPr>
          <w:rFonts w:ascii="Calibri" w:hAnsi="Calibri" w:cs="Calibri"/>
        </w:rPr>
      </w:pPr>
      <w:r w:rsidRPr="00762EF8">
        <w:rPr>
          <w:rStyle w:val="Voetnootmarkering"/>
          <w:rFonts w:ascii="Calibri" w:hAnsi="Calibri" w:cs="Calibri"/>
        </w:rPr>
        <w:footnoteRef/>
      </w:r>
      <w:r w:rsidRPr="00762EF8">
        <w:rPr>
          <w:rFonts w:ascii="Calibri" w:hAnsi="Calibri" w:cs="Calibri"/>
        </w:rPr>
        <w:t xml:space="preserve"> Hoofdregel voor leveringen is dat deze niet meer mogen bedragen dan € 68.067 per jaar en ter zake van diensten niet meer dan € 22.689 per jaar.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B234" w14:textId="77777777" w:rsidR="00331A43" w:rsidRPr="00331A43" w:rsidRDefault="00331A43" w:rsidP="00331A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31BE" w14:textId="77777777" w:rsidR="00331A43" w:rsidRPr="00331A43" w:rsidRDefault="00331A43" w:rsidP="00331A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241A" w14:textId="77777777" w:rsidR="00331A43" w:rsidRPr="00331A43" w:rsidRDefault="00331A43" w:rsidP="00331A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43"/>
    <w:rsid w:val="000B1615"/>
    <w:rsid w:val="002E3E61"/>
    <w:rsid w:val="00331A43"/>
    <w:rsid w:val="003B707A"/>
    <w:rsid w:val="003E57D6"/>
    <w:rsid w:val="00762EF8"/>
    <w:rsid w:val="00DE2A3D"/>
    <w:rsid w:val="00F60C2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5907"/>
  <w15:chartTrackingRefBased/>
  <w15:docId w15:val="{5B500078-F1D6-4C64-B18D-F641C586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1A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1A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1A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1A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1A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1A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1A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1A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1A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1A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1A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1A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1A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1A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1A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1A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1A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1A43"/>
    <w:rPr>
      <w:rFonts w:eastAsiaTheme="majorEastAsia" w:cstheme="majorBidi"/>
      <w:color w:val="272727" w:themeColor="text1" w:themeTint="D8"/>
    </w:rPr>
  </w:style>
  <w:style w:type="paragraph" w:styleId="Titel">
    <w:name w:val="Title"/>
    <w:basedOn w:val="Standaard"/>
    <w:next w:val="Standaard"/>
    <w:link w:val="TitelChar"/>
    <w:uiPriority w:val="10"/>
    <w:qFormat/>
    <w:rsid w:val="00331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1A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1A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1A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1A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1A43"/>
    <w:rPr>
      <w:i/>
      <w:iCs/>
      <w:color w:val="404040" w:themeColor="text1" w:themeTint="BF"/>
    </w:rPr>
  </w:style>
  <w:style w:type="paragraph" w:styleId="Lijstalinea">
    <w:name w:val="List Paragraph"/>
    <w:basedOn w:val="Standaard"/>
    <w:uiPriority w:val="34"/>
    <w:qFormat/>
    <w:rsid w:val="00331A43"/>
    <w:pPr>
      <w:ind w:left="720"/>
      <w:contextualSpacing/>
    </w:pPr>
  </w:style>
  <w:style w:type="character" w:styleId="Intensievebenadrukking">
    <w:name w:val="Intense Emphasis"/>
    <w:basedOn w:val="Standaardalinea-lettertype"/>
    <w:uiPriority w:val="21"/>
    <w:qFormat/>
    <w:rsid w:val="00331A43"/>
    <w:rPr>
      <w:i/>
      <w:iCs/>
      <w:color w:val="0F4761" w:themeColor="accent1" w:themeShade="BF"/>
    </w:rPr>
  </w:style>
  <w:style w:type="paragraph" w:styleId="Duidelijkcitaat">
    <w:name w:val="Intense Quote"/>
    <w:basedOn w:val="Standaard"/>
    <w:next w:val="Standaard"/>
    <w:link w:val="DuidelijkcitaatChar"/>
    <w:uiPriority w:val="30"/>
    <w:qFormat/>
    <w:rsid w:val="00331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1A43"/>
    <w:rPr>
      <w:i/>
      <w:iCs/>
      <w:color w:val="0F4761" w:themeColor="accent1" w:themeShade="BF"/>
    </w:rPr>
  </w:style>
  <w:style w:type="character" w:styleId="Intensieveverwijzing">
    <w:name w:val="Intense Reference"/>
    <w:basedOn w:val="Standaardalinea-lettertype"/>
    <w:uiPriority w:val="32"/>
    <w:qFormat/>
    <w:rsid w:val="00331A43"/>
    <w:rPr>
      <w:b/>
      <w:bCs/>
      <w:smallCaps/>
      <w:color w:val="0F4761" w:themeColor="accent1" w:themeShade="BF"/>
      <w:spacing w:val="5"/>
    </w:rPr>
  </w:style>
  <w:style w:type="paragraph" w:customStyle="1" w:styleId="WitregelW1bodytekst">
    <w:name w:val="Witregel W1 (bodytekst)"/>
    <w:basedOn w:val="Standaard"/>
    <w:next w:val="Standaard"/>
    <w:rsid w:val="00331A4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31A4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31A4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31A4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31A43"/>
    <w:rPr>
      <w:rFonts w:ascii="Verdana" w:eastAsia="DejaVu Sans" w:hAnsi="Verdana" w:cs="Lohit Hindi"/>
      <w:color w:val="000000"/>
      <w:kern w:val="0"/>
      <w:sz w:val="18"/>
      <w:szCs w:val="18"/>
      <w:lang w:eastAsia="nl-NL"/>
      <w14:ligatures w14:val="none"/>
    </w:rPr>
  </w:style>
  <w:style w:type="table" w:styleId="Rastertabel4">
    <w:name w:val="Grid Table 4"/>
    <w:basedOn w:val="Standaardtabel"/>
    <w:uiPriority w:val="49"/>
    <w:rsid w:val="00331A43"/>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331A4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331A43"/>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331A43"/>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331A43"/>
    <w:pPr>
      <w:spacing w:line="240" w:lineRule="exact"/>
    </w:pPr>
    <w:rPr>
      <w:vertAlign w:val="superscript"/>
    </w:rPr>
  </w:style>
  <w:style w:type="paragraph" w:styleId="Geenafstand">
    <w:name w:val="No Spacing"/>
    <w:uiPriority w:val="1"/>
    <w:qFormat/>
    <w:rsid w:val="00762E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844</ap:Words>
  <ap:Characters>4643</ap:Characters>
  <ap:DocSecurity>0</ap:DocSecurity>
  <ap:Lines>38</ap:Lines>
  <ap:Paragraphs>10</ap:Paragraphs>
  <ap:ScaleCrop>false</ap:ScaleCrop>
  <ap:LinksUpToDate>false</ap:LinksUpToDate>
  <ap:CharactersWithSpaces>5477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2025-05-28T11:09:00.0000000Z</dcterms:created>
  <dcterms:modified xsi:type="dcterms:W3CDTF">2025-05-28T11:09:00.0000000Z</dcterms:modified>
  <version/>
  <category/>
</coreProperties>
</file>