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2025Z10395</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[1]?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Logius, die BNR met zestien andere overheidsorganisaties onder de loep heeft genomen, de overstap naar clouddiensten van Amerikaanse dienstverleners niet heroverweegt? [2] Zo ja, kunt u dit besluit onderbouwen?
        </w:t>
      </w:r>
      <w:r>
        <w:br/>
      </w:r>
    </w:p>
    <w:p>
      <w:r>
        <w:t xml:space="preserve"/>
      </w:r>
      <w:r>
        <w:rPr>
          <w:u w:val="single"/>
        </w:rPr>
        <w:t xml:space="preserve">Vraag 3</w:t>
      </w:r>
      <w:r>
        <w:rPr/>
        <w:t xml:space="preserve">
          <w:br/>
Welke processen, registers, (mail)communicatiediensten en / 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Logius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Logius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Logius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die hiertoe oproept? [3] 
        </w:t>
      </w:r>
      <w:r>
        <w:br/>
      </w:r>
    </w:p>
    <w:p>
      <w:r>
        <w:t xml:space="preserve"/>
      </w:r>
      <w:r>
        <w:rPr>
          <w:u w:val="single"/>
        </w:rPr>
        <w:t xml:space="preserve">Vraag 8</w:t>
      </w:r>
      <w:r>
        <w:rPr/>
        <w:t xml:space="preserve">
          <w:br/>
Hoe geven uw departement, Logius en andere overheidsorganisaties onder uw gezag voorts invulling aan de aangenomen motie-Six Dijkstra c.s. die oproept om als doelstelling te hanteren dat de continuïteit van digitale overheidsdienstverlening niet rechtstreeks afhankelijk is van partijen uit de Verenigde Staten? [4]
        </w:t>
      </w:r>
      <w:r>
        <w:br/>
      </w:r>
    </w:p>
    <w:p>
      <w:r>
        <w:t xml:space="preserve"/>
      </w:r>
      <w:r>
        <w:rPr>
          <w:u w:val="single"/>
        </w:rPr>
        <w:t xml:space="preserve">Vraag 9</w:t>
      </w:r>
      <w:r>
        <w:rPr/>
        <w:t xml:space="preserve">
          <w:br/>
Kunt u toezeggen dat de afhankelijkheid van Amerikaanse techgiganten binnen uw departement, Logius en andere overheidsorganisaties onder uw gezag niet verder zal toenemen, en dat het bevorderen van de strategische autonomie van Nederland en / of Europa het uitgangspunt is bij elk besluit omtrent digitale diensten dat onder uw gezag genomen wordt?
        </w:t>
      </w:r>
      <w:r>
        <w:br/>
      </w:r>
    </w:p>
    <w:p>
      <w:r>
        <w:t xml:space="preserve"/>
      </w:r>
      <w:r>
        <w:rPr>
          <w:u w:val="single"/>
        </w:rPr>
        <w:t xml:space="preserve">Vraag 10</w:t>
      </w:r>
      <w:r>
        <w:rPr/>
        <w:t xml:space="preserve">
          <w:br/>
Kunt u deze vragen afzonderlijk beantwoorden vóór het notaoverleg over de initiatiefnota ‘Wolken aan de horizon’ van 2 juni a.s.? [5]
        </w:t>
      </w:r>
      <w:r>
        <w:br/>
      </w:r>
    </w:p>
    <w:p>
      <w:r>
        <w:t xml:space="preserve"> </w:t>
      </w:r>
      <w:r>
        <w:br/>
      </w:r>
    </w:p>
    <w:p>
      <w:r>
        <w:t xml:space="preserve"> </w:t>
      </w:r>
      <w:r>
        <w:br/>
      </w:r>
    </w:p>
    <w:p>
      <w:r>
        <w:t xml:space="preserve">[1] BNR d.d. 20 mei 2025</w:t>
      </w:r>
      <w:r>
        <w:br/>
      </w:r>
    </w:p>
    <w:p>
      <w:r>
        <w:t xml:space="preserve">[2]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r>
        <w:br/>
      </w:r>
    </w:p>
    <w:p>
      <w:r>
        <w:t xml:space="preserve">[3] Kamerstuk 26643, nr. 1315</w:t>
      </w:r>
      <w:r>
        <w:br/>
      </w:r>
    </w:p>
    <w:p>
      <w:r>
        <w:t xml:space="preserve">[4] Kamerstuk 26643, nr. 1320</w:t>
      </w:r>
      <w:r>
        <w:br/>
      </w:r>
    </w:p>
    <w:p>
      <w:r>
        <w:t xml:space="preserve">[5] Kamerstuk 36574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