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2025Z10393</w:t>
        <w:br/>
      </w:r>
      <w:proofErr w:type="spellEnd"/>
    </w:p>
    <w:p>
      <w:pPr>
        <w:pStyle w:val="Normal"/>
        <w:rPr>
          <w:b w:val="1"/>
          <w:bCs w:val="1"/>
        </w:rPr>
      </w:pPr>
      <w:r w:rsidR="250AE766">
        <w:rPr>
          <w:b w:val="0"/>
          <w:bCs w:val="0"/>
        </w:rPr>
        <w:t>(ingezonden 23 mei 2025)</w:t>
        <w:br/>
      </w:r>
    </w:p>
    <w:p>
      <w:r>
        <w:t xml:space="preserve">Vragen van het lid Bontenbal (CDA) aan de minister van Klimaat en Groene Groei over de CO2-heffing.</w:t>
      </w:r>
      <w:r>
        <w:br/>
      </w:r>
    </w:p>
    <w:p>
      <w:r>
        <w:t xml:space="preserve"> </w:t>
      </w:r>
      <w:r>
        <w:br/>
      </w:r>
    </w:p>
    <w:p>
      <w:r>
        <w:t xml:space="preserve">1.⁠ ⁠Op welke wijze gaat u uitvoering geven aan de door de Kamer aangenomen motie (Kamerstuk 21501-02, nr. 3151) over alle bestaande nationale koppen uit Nederlandse wetgeving schrappen en wat betekent dit voor het al dan niet voortbestaan van de nationale CO2-heffing die ook een nationale kop is op Europees beleid?</w:t>
      </w:r>
      <w:r>
        <w:br/>
      </w:r>
    </w:p>
    <w:p>
      <w:r>
        <w:t xml:space="preserve"> </w:t>
      </w:r>
      <w:r>
        <w:br/>
      </w:r>
    </w:p>
    <w:p>
      <w:r>
        <w:t xml:space="preserve">2.⁠ ⁠Wat betekent de conclusie uit de Speelveldtoets 2025 van PricewaterhouseCoopers (1) dat unilaterale nationale “sticks” beperkt of niet tot prikkels leiden voor CO2-reductie in Nederland, onder andere omdat productie en investeringen naar andere Europese landen zullen weglekken, voor hoe u het nut- en noodzaak van de nationale CO2-heffing beoordeelt?</w:t>
      </w:r>
      <w:r>
        <w:br/>
      </w:r>
    </w:p>
    <w:p>
      <w:r>
        <w:t xml:space="preserve"> </w:t>
      </w:r>
      <w:r>
        <w:br/>
      </w:r>
    </w:p>
    <w:p>
      <w:r>
        <w:t xml:space="preserve">3.⁠ ⁠In hoeverre is de impact van de CO2-heffing na 2030 in kaart gebracht? Wat zijn de effecten van de voorgestelde CO2-prijs van 216 euro per ton CO2 in 2035 (Kamerstuk 32140, nr. 251)op onder andere de risico’s op weglek, het concurrentievermogen van de industrie in Nederland en de mogelijkheden voor het investeren in verduurzaming van de industrie?</w:t>
      </w:r>
      <w:r>
        <w:br/>
      </w:r>
    </w:p>
    <w:p>
      <w:r>
        <w:t xml:space="preserve"> </w:t>
      </w:r>
      <w:r>
        <w:br/>
      </w:r>
    </w:p>
    <w:p>
      <w:r>
        <w:t xml:space="preserve">4.⁠ ⁠Bent u ermee bekend dat er in de Nederlandse industrie vanuit wordt gegaan dat het verschil tussen de nationale CO2-heffing en de EU Emissions Trading System (EU-ETS) prijs, en daarmee de heffing die de Nederlandse industrie bovenop de EU-ETS moet betalen, op korte termijn tot boven de €30 per ton CO2 en op de langere naar meer dan 60 euro per ton CO2 zal stijgen? Zo ja, op welke wijze heeft u dit meegewogen bij de besluitvorming omtrent de aanpassing van de CO2-heffing industrie?</w:t>
      </w:r>
      <w:r>
        <w:br/>
      </w:r>
    </w:p>
    <w:p>
      <w:r>
        <w:t xml:space="preserve"> </w:t>
      </w:r>
      <w:r>
        <w:br/>
      </w:r>
    </w:p>
    <w:p>
      <w:r>
        <w:t xml:space="preserve">5.⁠ ⁠Welke ontwikkeling van de effectieve nationale heffing (verschil tussen EU-ETS en tarief nationale CO2-heffing) wordt door uw ministerie verwacht richting 2035? Wat betekent dit voor het concurrentievermogen van de Nederlandse industrie en de mogelijkheden om te investeren in verduurzaming?</w:t>
      </w:r>
      <w:r>
        <w:br/>
      </w:r>
    </w:p>
    <w:p>
      <w:r>
        <w:t xml:space="preserve"> </w:t>
      </w:r>
      <w:r>
        <w:br/>
      </w:r>
    </w:p>
    <w:p>
      <w:r>
        <w:t xml:space="preserve">6.⁠ ⁠Welke mogelijkheden ziet u om, indien schrappen van de nationale CO2-heffing niet haalbaar is, in ieder geval het verschil tussen het tarief van de nationale heffing en EU-ETS prijs, en daarmee de hoogte van de nationale kop, te maximaliseren op een bedrag waarmee het concurrentievermogen en de verduurzaming van de Nederlandse industrie niet negatief worden beïnvloed?</w:t>
      </w:r>
      <w:r>
        <w:br/>
      </w:r>
    </w:p>
    <w:p>
      <w:r>
        <w:t xml:space="preserve"> </w:t>
      </w:r>
      <w:r>
        <w:br/>
      </w:r>
    </w:p>
    <w:p>
      <w:r>
        <w:t xml:space="preserve">7.⁠ ⁠Op welke wijze gaat u er met de reductiefactor en de dispensatierechten maximaal voor zorgen dat bedrijven handelingsperspectief blijven houden gezien de vertraagde totstandkoming van de randvoorwaarden die nodig zijn voor verduurzaming van de industrie?</w:t>
      </w:r>
      <w:r>
        <w:br/>
      </w:r>
    </w:p>
    <w:p>
      <w:r>
        <w:t xml:space="preserve"> </w:t>
      </w:r>
      <w:r>
        <w:br/>
      </w:r>
    </w:p>
    <w:p>
      <w:r>
        <w:t xml:space="preserve">8.⁠ ⁠Kunt u deze vragen voor het debat over het pakket voor Groene Groei van 3 juni 2025 beantwoorden?</w:t>
      </w:r>
      <w:r>
        <w:br/>
      </w:r>
    </w:p>
    <w:p>
      <w:r>
        <w:t xml:space="preserve"> </w:t>
      </w:r>
      <w:r>
        <w:br/>
      </w:r>
    </w:p>
    <w:p>
      <w:r>
        <w:t xml:space="preserve">(1) PricewaterhouseCoopers, april 2025, 'Speelveldtoets 2025'. (https://www.rijksoverheid.nl/documenten/rapporten/2025/04/25/speelveldtoets-2025)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