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60D44" w:rsidTr="00E604AA" w14:paraId="6E59A888" w14:textId="77777777">
        <w:trPr>
          <w:trHeight w:val="1514"/>
        </w:trPr>
        <w:tc>
          <w:tcPr>
            <w:tcW w:w="7522" w:type="dxa"/>
            <w:tcBorders>
              <w:top w:val="nil"/>
              <w:left w:val="nil"/>
              <w:bottom w:val="nil"/>
              <w:right w:val="nil"/>
            </w:tcBorders>
            <w:tcMar>
              <w:left w:w="0" w:type="dxa"/>
              <w:right w:w="0" w:type="dxa"/>
            </w:tcMar>
          </w:tcPr>
          <w:p w:rsidR="00732B28" w:rsidP="00732B28" w:rsidRDefault="00732B28" w14:paraId="3313D709" w14:textId="77777777">
            <w:r>
              <w:t>De voorzitter van de Tweede Kamer der Staten-Generaal</w:t>
            </w:r>
          </w:p>
          <w:p w:rsidR="00732B28" w:rsidP="00732B28" w:rsidRDefault="00732B28" w14:paraId="1B2D4F89" w14:textId="77777777">
            <w:r>
              <w:t>Postbus 20018</w:t>
            </w:r>
          </w:p>
          <w:p w:rsidR="00650C9D" w:rsidP="00732B28" w:rsidRDefault="00732B28" w14:paraId="0079566E" w14:textId="3450F763">
            <w:r>
              <w:t>2500 EA  DEN HAAG</w:t>
            </w:r>
          </w:p>
          <w:p w:rsidRPr="00650C9D" w:rsidR="001475E9" w:rsidP="00650C9D" w:rsidRDefault="007F7207" w14:paraId="49F55C21" w14:textId="77777777">
            <w:r w:rsidRPr="007F7207">
              <w:t xml:space="preserve"> </w:t>
            </w:r>
          </w:p>
          <w:p w:rsidRPr="007F7207" w:rsidR="007F7207" w:rsidP="007F7207" w:rsidRDefault="003F573F" w14:paraId="64DC313C" w14:textId="77777777">
            <w:r>
              <w:t xml:space="preserve"> </w:t>
            </w:r>
            <w:r w:rsidR="00AD678B">
              <w:t xml:space="preserve"> </w:t>
            </w:r>
            <w:r w:rsidR="00BE15AC">
              <w:t xml:space="preserve"> </w:t>
            </w:r>
          </w:p>
        </w:tc>
      </w:tr>
    </w:tbl>
    <w:p w:rsidR="00B60D44" w:rsidRDefault="00B60D44" w14:paraId="00A34C2A"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60D44" w:rsidTr="00556757" w14:paraId="2BD9EB3F" w14:textId="77777777">
        <w:trPr>
          <w:trHeight w:val="284" w:hRule="exact"/>
        </w:trPr>
        <w:tc>
          <w:tcPr>
            <w:tcW w:w="929" w:type="dxa"/>
            <w:hideMark/>
          </w:tcPr>
          <w:p w:rsidR="00556757" w:rsidRDefault="00AD678B" w14:paraId="13ADAA52" w14:textId="77777777">
            <w:r>
              <w:t>Datum</w:t>
            </w:r>
          </w:p>
        </w:tc>
        <w:tc>
          <w:tcPr>
            <w:tcW w:w="6581" w:type="dxa"/>
            <w:hideMark/>
          </w:tcPr>
          <w:p w:rsidR="00556757" w:rsidRDefault="007E5E36" w14:paraId="086BD513" w14:textId="1B32B8AA">
            <w:pPr>
              <w:tabs>
                <w:tab w:val="center" w:pos="3290"/>
              </w:tabs>
            </w:pPr>
            <w:r>
              <w:t>23 mei 2025</w:t>
            </w:r>
            <w:r w:rsidR="00AD678B">
              <w:tab/>
            </w:r>
          </w:p>
        </w:tc>
      </w:tr>
      <w:tr w:rsidR="00B60D44" w:rsidTr="00556757" w14:paraId="07D6B8C2" w14:textId="77777777">
        <w:trPr>
          <w:trHeight w:val="369"/>
        </w:trPr>
        <w:tc>
          <w:tcPr>
            <w:tcW w:w="929" w:type="dxa"/>
            <w:hideMark/>
          </w:tcPr>
          <w:p w:rsidR="00556757" w:rsidRDefault="00AD678B" w14:paraId="62228798" w14:textId="77777777">
            <w:r>
              <w:t>Betreft</w:t>
            </w:r>
          </w:p>
        </w:tc>
        <w:tc>
          <w:tcPr>
            <w:tcW w:w="6581" w:type="dxa"/>
            <w:hideMark/>
          </w:tcPr>
          <w:p w:rsidR="00556757" w:rsidP="007661C9" w:rsidRDefault="00732B28" w14:paraId="61B8C126" w14:textId="777023EB">
            <w:r>
              <w:t>Beantwoording van schriftelijke v</w:t>
            </w:r>
            <w:r w:rsidRPr="002863D7">
              <w:rPr>
                <w:szCs w:val="18"/>
              </w:rPr>
              <w:t xml:space="preserve">ragen van het lid </w:t>
            </w:r>
            <w:proofErr w:type="spellStart"/>
            <w:r w:rsidRPr="002863D7">
              <w:rPr>
                <w:szCs w:val="18"/>
              </w:rPr>
              <w:t>Heite</w:t>
            </w:r>
            <w:proofErr w:type="spellEnd"/>
            <w:r w:rsidRPr="002863D7">
              <w:rPr>
                <w:szCs w:val="18"/>
              </w:rPr>
              <w:t xml:space="preserve"> (Nieuw Sociaal Contract) over het screenen van wetenschappers en masterstudenten door hoger onderwijsinstellingen omwille van de nationale veiligheid en wie dit moet bekostigen</w:t>
            </w:r>
          </w:p>
        </w:tc>
      </w:tr>
    </w:tbl>
    <w:p w:rsidR="00184B30" w:rsidP="00A60B58" w:rsidRDefault="00C26950" w14:paraId="15F772A5" w14:textId="2AF52CAE">
      <w:r>
        <w:t xml:space="preserve"> </w:t>
      </w:r>
    </w:p>
    <w:p w:rsidR="00732B28" w:rsidP="00A60B58" w:rsidRDefault="00732B28" w14:paraId="1D63CCE7" w14:textId="77777777"/>
    <w:p w:rsidRPr="00F11AB1" w:rsidR="00AA1A58" w:rsidP="00AA1A58" w:rsidRDefault="00AA1A58" w14:paraId="045757FA" w14:textId="77777777">
      <w:r w:rsidRPr="00F11AB1">
        <w:t xml:space="preserve">Hierbij stuur ik u de antwoorden op de vragen van het lid </w:t>
      </w:r>
      <w:proofErr w:type="spellStart"/>
      <w:r w:rsidRPr="00F11AB1">
        <w:t>Heite</w:t>
      </w:r>
      <w:proofErr w:type="spellEnd"/>
      <w:r w:rsidRPr="00F11AB1">
        <w:t xml:space="preserve"> (NSC) aan de ministers van Onderwijs, Cultuur en Wetenschap, van Justitie en Veiligheid, van Defensie en van Economische Zaken over het screenen van wetenschappers en masterstudenten door </w:t>
      </w:r>
      <w:proofErr w:type="spellStart"/>
      <w:r w:rsidRPr="00F11AB1">
        <w:t>hogeronderwijsinstellingen</w:t>
      </w:r>
      <w:proofErr w:type="spellEnd"/>
      <w:r w:rsidRPr="00F11AB1">
        <w:t xml:space="preserve"> omwille van de nationale </w:t>
      </w:r>
    </w:p>
    <w:p w:rsidRPr="00F11AB1" w:rsidR="00AA1A58" w:rsidP="00AA1A58" w:rsidRDefault="00AA1A58" w14:paraId="25D6C4D9" w14:textId="77777777">
      <w:r w:rsidRPr="00F11AB1">
        <w:t xml:space="preserve">veiligheid en wie dit moet bekostigen. Deze beantwoording stuur ik mede namens de minister van Justitie en Veiligheid, van Defensie en van Economische Zaken. </w:t>
      </w:r>
    </w:p>
    <w:p w:rsidRPr="00F11AB1" w:rsidR="00AA1A58" w:rsidP="00AA1A58" w:rsidRDefault="00AA1A58" w14:paraId="3B4A870F" w14:textId="77777777">
      <w:r w:rsidRPr="00F11AB1">
        <w:t>De vragen werden ingezonden op 10 april 2025 met kenmerk 2025Z07055.</w:t>
      </w:r>
    </w:p>
    <w:p w:rsidRPr="00F11AB1" w:rsidR="00AA1A58" w:rsidP="00AA1A58" w:rsidRDefault="00AA1A58" w14:paraId="352C1634" w14:textId="77777777"/>
    <w:p w:rsidRPr="00F11AB1" w:rsidR="00AA1A58" w:rsidP="00AA1A58" w:rsidRDefault="007E5E36" w14:paraId="775C94DD" w14:textId="1F2DE266">
      <w:pPr>
        <w:rPr>
          <w:szCs w:val="20"/>
        </w:rPr>
      </w:pPr>
      <w:r>
        <w:rPr>
          <w:szCs w:val="20"/>
        </w:rPr>
        <w:t>D</w:t>
      </w:r>
      <w:r w:rsidRPr="00F11AB1" w:rsidR="00AA1A58">
        <w:rPr>
          <w:szCs w:val="20"/>
        </w:rPr>
        <w:t>e minister van Onderwijs, Cultuur en Wetenschap,</w:t>
      </w:r>
    </w:p>
    <w:p w:rsidRPr="00F11AB1" w:rsidR="00AA1A58" w:rsidP="00AA1A58" w:rsidRDefault="00AA1A58" w14:paraId="35C7E988" w14:textId="77777777">
      <w:pPr>
        <w:rPr>
          <w:szCs w:val="20"/>
        </w:rPr>
      </w:pPr>
    </w:p>
    <w:p w:rsidRPr="00F11AB1" w:rsidR="00AA1A58" w:rsidP="00AA1A58" w:rsidRDefault="00AA1A58" w14:paraId="5156DB00" w14:textId="77777777">
      <w:pPr>
        <w:rPr>
          <w:szCs w:val="20"/>
        </w:rPr>
      </w:pPr>
    </w:p>
    <w:p w:rsidRPr="00F11AB1" w:rsidR="00AA1A58" w:rsidP="00AA1A58" w:rsidRDefault="00AA1A58" w14:paraId="0C1C6B9D" w14:textId="77777777">
      <w:pPr>
        <w:rPr>
          <w:szCs w:val="20"/>
        </w:rPr>
      </w:pPr>
    </w:p>
    <w:p w:rsidRPr="00F11AB1" w:rsidR="00AA1A58" w:rsidP="00AA1A58" w:rsidRDefault="00AA1A58" w14:paraId="39592CFE" w14:textId="77777777">
      <w:pPr>
        <w:pStyle w:val="standaard-tekst"/>
        <w:rPr>
          <w:sz w:val="18"/>
          <w:szCs w:val="18"/>
          <w:lang w:val="nl-NL" w:eastAsia="nl-NL"/>
        </w:rPr>
      </w:pPr>
      <w:r w:rsidRPr="00F11AB1">
        <w:rPr>
          <w:sz w:val="18"/>
          <w:szCs w:val="18"/>
          <w:lang w:val="nl-NL"/>
        </w:rPr>
        <w:t>Eppo Bruins</w:t>
      </w:r>
      <w:r w:rsidRPr="00F11AB1">
        <w:rPr>
          <w:noProof/>
          <w:sz w:val="18"/>
          <w:szCs w:val="18"/>
          <w:lang w:val="nl-NL" w:eastAsia="nl-NL"/>
        </w:rPr>
        <mc:AlternateContent>
          <mc:Choice Requires="wps">
            <w:drawing>
              <wp:anchor distT="45720" distB="45720" distL="114300" distR="114300" simplePos="0" relativeHeight="251659264" behindDoc="0" locked="0" layoutInCell="1" allowOverlap="1" wp14:editId="5818101B" wp14:anchorId="7756CD8A">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AA1A58" w:rsidP="00AA1A58" w:rsidRDefault="00AA1A58" w14:paraId="1D5D5E8B" w14:textId="77777777">
                            <w:pPr>
                              <w:spacing w:line="180" w:lineRule="atLeast"/>
                              <w:rPr>
                                <w:b/>
                                <w:sz w:val="13"/>
                                <w:szCs w:val="13"/>
                              </w:rPr>
                            </w:pPr>
                            <w:proofErr w:type="spellStart"/>
                            <w:r>
                              <w:rPr>
                                <w:b/>
                                <w:sz w:val="13"/>
                                <w:szCs w:val="13"/>
                              </w:rPr>
                              <w:t>Bestuursondersteuning</w:t>
                            </w:r>
                            <w:proofErr w:type="spellEnd"/>
                            <w:r>
                              <w:rPr>
                                <w:b/>
                                <w:sz w:val="13"/>
                                <w:szCs w:val="13"/>
                              </w:rPr>
                              <w:t xml:space="preserve"> en Advies</w:t>
                            </w:r>
                          </w:p>
                          <w:p w:rsidR="00AA1A58" w:rsidP="00AA1A58" w:rsidRDefault="00AA1A58" w14:paraId="2200CC9F" w14:textId="77777777">
                            <w:pPr>
                              <w:pStyle w:val="Huisstijl-Gegeven"/>
                              <w:spacing w:after="0"/>
                            </w:pPr>
                            <w:r>
                              <w:t xml:space="preserve">Rijnstraat 50 </w:t>
                            </w:r>
                          </w:p>
                          <w:p w:rsidR="00AA1A58" w:rsidP="00AA1A58" w:rsidRDefault="00AA1A58" w14:paraId="13B6A63D" w14:textId="77777777">
                            <w:pPr>
                              <w:pStyle w:val="Huisstijl-Gegeven"/>
                              <w:spacing w:after="0"/>
                            </w:pPr>
                            <w:r>
                              <w:t>Den Haag</w:t>
                            </w:r>
                          </w:p>
                          <w:p w:rsidRPr="00A65F87" w:rsidR="00AA1A58" w:rsidP="00AA1A58" w:rsidRDefault="00AA1A58" w14:paraId="611427A8" w14:textId="77777777">
                            <w:pPr>
                              <w:pStyle w:val="Huisstijl-Gegeven"/>
                              <w:spacing w:after="0"/>
                              <w:rPr>
                                <w:lang w:val="de-DE"/>
                              </w:rPr>
                            </w:pPr>
                            <w:r w:rsidRPr="00A65F87">
                              <w:rPr>
                                <w:lang w:val="de-DE"/>
                              </w:rPr>
                              <w:t>Postbus 16375</w:t>
                            </w:r>
                          </w:p>
                          <w:p w:rsidRPr="00A65F87" w:rsidR="00AA1A58" w:rsidP="00AA1A58" w:rsidRDefault="00AA1A58" w14:paraId="5D424C65" w14:textId="77777777">
                            <w:pPr>
                              <w:pStyle w:val="Huisstijl-Gegeven"/>
                              <w:spacing w:after="0"/>
                              <w:rPr>
                                <w:lang w:val="de-DE"/>
                              </w:rPr>
                            </w:pPr>
                            <w:r w:rsidRPr="00A65F87">
                              <w:rPr>
                                <w:lang w:val="de-DE"/>
                              </w:rPr>
                              <w:t>2500 BJ Den Haag</w:t>
                            </w:r>
                          </w:p>
                          <w:p w:rsidRPr="00A65F87" w:rsidR="00AA1A58" w:rsidP="00AA1A58" w:rsidRDefault="00AA1A58" w14:paraId="53799BE7" w14:textId="77777777">
                            <w:pPr>
                              <w:pStyle w:val="Huisstijl-Gegeven"/>
                              <w:spacing w:after="90"/>
                              <w:rPr>
                                <w:lang w:val="de-DE"/>
                              </w:rPr>
                            </w:pPr>
                            <w:r w:rsidRPr="00A65F87">
                              <w:rPr>
                                <w:lang w:val="de-DE"/>
                              </w:rPr>
                              <w:t>www.rijksoverheid.nl</w:t>
                            </w:r>
                          </w:p>
                          <w:p w:rsidRPr="00A65F87" w:rsidR="00AA1A58" w:rsidP="00AA1A58" w:rsidRDefault="00AA1A58" w14:paraId="7B5EC541" w14:textId="77777777">
                            <w:pPr>
                              <w:rPr>
                                <w:b/>
                                <w:sz w:val="13"/>
                                <w:szCs w:val="13"/>
                                <w:lang w:val="fr-FR"/>
                              </w:rPr>
                            </w:pPr>
                            <w:r w:rsidRPr="00A65F87">
                              <w:rPr>
                                <w:b/>
                                <w:sz w:val="13"/>
                                <w:szCs w:val="13"/>
                                <w:lang w:val="fr-FR"/>
                              </w:rPr>
                              <w:t>Contactpersoon</w:t>
                            </w:r>
                          </w:p>
                          <w:p w:rsidR="007E5E36" w:rsidP="00AA1A58" w:rsidRDefault="007E5E36" w14:paraId="2232E705" w14:textId="77777777">
                            <w:pPr>
                              <w:rPr>
                                <w:b/>
                                <w:sz w:val="13"/>
                                <w:szCs w:val="13"/>
                                <w:lang w:val="de-DE"/>
                              </w:rPr>
                            </w:pPr>
                          </w:p>
                          <w:p w:rsidRPr="00A65F87" w:rsidR="00AA1A58" w:rsidP="00AA1A58" w:rsidRDefault="00AA1A58" w14:paraId="3BEB815A" w14:textId="7C27E96D">
                            <w:pPr>
                              <w:rPr>
                                <w:b/>
                                <w:sz w:val="13"/>
                                <w:szCs w:val="13"/>
                                <w:lang w:val="de-DE"/>
                              </w:rPr>
                            </w:pPr>
                            <w:proofErr w:type="spellStart"/>
                            <w:r w:rsidRPr="00A65F87">
                              <w:rPr>
                                <w:b/>
                                <w:sz w:val="13"/>
                                <w:szCs w:val="13"/>
                                <w:lang w:val="de-DE"/>
                              </w:rPr>
                              <w:t>Onze</w:t>
                            </w:r>
                            <w:proofErr w:type="spellEnd"/>
                            <w:r w:rsidRPr="00A65F87">
                              <w:rPr>
                                <w:b/>
                                <w:sz w:val="13"/>
                                <w:szCs w:val="13"/>
                                <w:lang w:val="de-DE"/>
                              </w:rPr>
                              <w:t xml:space="preserve"> </w:t>
                            </w:r>
                            <w:proofErr w:type="spellStart"/>
                            <w:r w:rsidRPr="00A65F87">
                              <w:rPr>
                                <w:b/>
                                <w:sz w:val="13"/>
                                <w:szCs w:val="13"/>
                                <w:lang w:val="de-DE"/>
                              </w:rPr>
                              <w:t>referentie</w:t>
                            </w:r>
                            <w:proofErr w:type="spellEnd"/>
                          </w:p>
                          <w:p w:rsidR="00AA1A58" w:rsidP="00AA1A58" w:rsidRDefault="00AA1A58" w14:paraId="54CE3EEC" w14:textId="77777777">
                            <w:pPr>
                              <w:tabs>
                                <w:tab w:val="left" w:pos="5284"/>
                              </w:tabs>
                              <w:spacing w:line="360" w:lineRule="auto"/>
                              <w:rPr>
                                <w:sz w:val="13"/>
                                <w:szCs w:val="13"/>
                              </w:rPr>
                            </w:pPr>
                            <w:r w:rsidRPr="00D875B2">
                              <w:rPr>
                                <w:sz w:val="13"/>
                                <w:szCs w:val="13"/>
                              </w:rPr>
                              <w:t>52056634</w:t>
                            </w:r>
                          </w:p>
                          <w:p w:rsidR="00AA1A58" w:rsidP="00AA1A58" w:rsidRDefault="00AA1A58" w14:paraId="0750CCCA" w14:textId="77777777">
                            <w:pPr>
                              <w:tabs>
                                <w:tab w:val="left" w:pos="5284"/>
                              </w:tabs>
                              <w:spacing w:line="360" w:lineRule="auto"/>
                              <w:rPr>
                                <w:sz w:val="13"/>
                                <w:szCs w:val="13"/>
                              </w:rPr>
                            </w:pPr>
                          </w:p>
                          <w:p w:rsidR="00AA1A58" w:rsidP="00AA1A58" w:rsidRDefault="00AA1A58" w14:paraId="41CD07D2" w14:textId="77777777">
                            <w:pPr>
                              <w:rPr>
                                <w:b/>
                                <w:sz w:val="13"/>
                                <w:szCs w:val="13"/>
                              </w:rPr>
                            </w:pPr>
                            <w:r w:rsidRPr="00CA6288">
                              <w:rPr>
                                <w:b/>
                                <w:sz w:val="13"/>
                                <w:szCs w:val="13"/>
                              </w:rPr>
                              <w:t>Bijlagen</w:t>
                            </w:r>
                          </w:p>
                          <w:p w:rsidRPr="00D875B2" w:rsidR="00AA1A58" w:rsidP="00AA1A58" w:rsidRDefault="00AA1A58" w14:paraId="71B1E418" w14:textId="77777777">
                            <w:pPr>
                              <w:tabs>
                                <w:tab w:val="left" w:pos="5284"/>
                              </w:tabs>
                              <w:spacing w:line="240" w:lineRule="auto"/>
                              <w:rPr>
                                <w:sz w:val="13"/>
                                <w:szCs w:val="13"/>
                              </w:rPr>
                            </w:pPr>
                          </w:p>
                          <w:p w:rsidRPr="00D875B2" w:rsidR="00AA1A58" w:rsidP="00AA1A58" w:rsidRDefault="00AA1A58" w14:paraId="508860A2" w14:textId="77777777">
                            <w:pPr>
                              <w:tabs>
                                <w:tab w:val="left" w:pos="5284"/>
                              </w:tabs>
                              <w:spacing w:line="240" w:lineRule="auto"/>
                              <w:rPr>
                                <w:sz w:val="13"/>
                                <w:szCs w:val="13"/>
                              </w:rPr>
                            </w:pPr>
                          </w:p>
                          <w:p w:rsidRPr="00D875B2" w:rsidR="00AA1A58" w:rsidP="00AA1A58" w:rsidRDefault="00AA1A58" w14:paraId="1AF000B1"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6CD8A">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AA1A58" w:rsidP="00AA1A58" w:rsidRDefault="00AA1A58" w14:paraId="1D5D5E8B" w14:textId="77777777">
                      <w:pPr>
                        <w:spacing w:line="180" w:lineRule="atLeast"/>
                        <w:rPr>
                          <w:b/>
                          <w:sz w:val="13"/>
                          <w:szCs w:val="13"/>
                        </w:rPr>
                      </w:pPr>
                      <w:proofErr w:type="spellStart"/>
                      <w:r>
                        <w:rPr>
                          <w:b/>
                          <w:sz w:val="13"/>
                          <w:szCs w:val="13"/>
                        </w:rPr>
                        <w:t>Bestuursondersteuning</w:t>
                      </w:r>
                      <w:proofErr w:type="spellEnd"/>
                      <w:r>
                        <w:rPr>
                          <w:b/>
                          <w:sz w:val="13"/>
                          <w:szCs w:val="13"/>
                        </w:rPr>
                        <w:t xml:space="preserve"> en Advies</w:t>
                      </w:r>
                    </w:p>
                    <w:p w:rsidR="00AA1A58" w:rsidP="00AA1A58" w:rsidRDefault="00AA1A58" w14:paraId="2200CC9F" w14:textId="77777777">
                      <w:pPr>
                        <w:pStyle w:val="Huisstijl-Gegeven"/>
                        <w:spacing w:after="0"/>
                      </w:pPr>
                      <w:r>
                        <w:t xml:space="preserve">Rijnstraat 50 </w:t>
                      </w:r>
                    </w:p>
                    <w:p w:rsidR="00AA1A58" w:rsidP="00AA1A58" w:rsidRDefault="00AA1A58" w14:paraId="13B6A63D" w14:textId="77777777">
                      <w:pPr>
                        <w:pStyle w:val="Huisstijl-Gegeven"/>
                        <w:spacing w:after="0"/>
                      </w:pPr>
                      <w:r>
                        <w:t>Den Haag</w:t>
                      </w:r>
                    </w:p>
                    <w:p w:rsidRPr="00A65F87" w:rsidR="00AA1A58" w:rsidP="00AA1A58" w:rsidRDefault="00AA1A58" w14:paraId="611427A8" w14:textId="77777777">
                      <w:pPr>
                        <w:pStyle w:val="Huisstijl-Gegeven"/>
                        <w:spacing w:after="0"/>
                        <w:rPr>
                          <w:lang w:val="de-DE"/>
                        </w:rPr>
                      </w:pPr>
                      <w:r w:rsidRPr="00A65F87">
                        <w:rPr>
                          <w:lang w:val="de-DE"/>
                        </w:rPr>
                        <w:t>Postbus 16375</w:t>
                      </w:r>
                    </w:p>
                    <w:p w:rsidRPr="00A65F87" w:rsidR="00AA1A58" w:rsidP="00AA1A58" w:rsidRDefault="00AA1A58" w14:paraId="5D424C65" w14:textId="77777777">
                      <w:pPr>
                        <w:pStyle w:val="Huisstijl-Gegeven"/>
                        <w:spacing w:after="0"/>
                        <w:rPr>
                          <w:lang w:val="de-DE"/>
                        </w:rPr>
                      </w:pPr>
                      <w:r w:rsidRPr="00A65F87">
                        <w:rPr>
                          <w:lang w:val="de-DE"/>
                        </w:rPr>
                        <w:t>2500 BJ Den Haag</w:t>
                      </w:r>
                    </w:p>
                    <w:p w:rsidRPr="00A65F87" w:rsidR="00AA1A58" w:rsidP="00AA1A58" w:rsidRDefault="00AA1A58" w14:paraId="53799BE7" w14:textId="77777777">
                      <w:pPr>
                        <w:pStyle w:val="Huisstijl-Gegeven"/>
                        <w:spacing w:after="90"/>
                        <w:rPr>
                          <w:lang w:val="de-DE"/>
                        </w:rPr>
                      </w:pPr>
                      <w:r w:rsidRPr="00A65F87">
                        <w:rPr>
                          <w:lang w:val="de-DE"/>
                        </w:rPr>
                        <w:t>www.rijksoverheid.nl</w:t>
                      </w:r>
                    </w:p>
                    <w:p w:rsidRPr="00A65F87" w:rsidR="00AA1A58" w:rsidP="00AA1A58" w:rsidRDefault="00AA1A58" w14:paraId="7B5EC541" w14:textId="77777777">
                      <w:pPr>
                        <w:rPr>
                          <w:b/>
                          <w:sz w:val="13"/>
                          <w:szCs w:val="13"/>
                          <w:lang w:val="fr-FR"/>
                        </w:rPr>
                      </w:pPr>
                      <w:r w:rsidRPr="00A65F87">
                        <w:rPr>
                          <w:b/>
                          <w:sz w:val="13"/>
                          <w:szCs w:val="13"/>
                          <w:lang w:val="fr-FR"/>
                        </w:rPr>
                        <w:t>Contactpersoon</w:t>
                      </w:r>
                    </w:p>
                    <w:p w:rsidR="007E5E36" w:rsidP="00AA1A58" w:rsidRDefault="007E5E36" w14:paraId="2232E705" w14:textId="77777777">
                      <w:pPr>
                        <w:rPr>
                          <w:b/>
                          <w:sz w:val="13"/>
                          <w:szCs w:val="13"/>
                          <w:lang w:val="de-DE"/>
                        </w:rPr>
                      </w:pPr>
                    </w:p>
                    <w:p w:rsidRPr="00A65F87" w:rsidR="00AA1A58" w:rsidP="00AA1A58" w:rsidRDefault="00AA1A58" w14:paraId="3BEB815A" w14:textId="7C27E96D">
                      <w:pPr>
                        <w:rPr>
                          <w:b/>
                          <w:sz w:val="13"/>
                          <w:szCs w:val="13"/>
                          <w:lang w:val="de-DE"/>
                        </w:rPr>
                      </w:pPr>
                      <w:proofErr w:type="spellStart"/>
                      <w:r w:rsidRPr="00A65F87">
                        <w:rPr>
                          <w:b/>
                          <w:sz w:val="13"/>
                          <w:szCs w:val="13"/>
                          <w:lang w:val="de-DE"/>
                        </w:rPr>
                        <w:t>Onze</w:t>
                      </w:r>
                      <w:proofErr w:type="spellEnd"/>
                      <w:r w:rsidRPr="00A65F87">
                        <w:rPr>
                          <w:b/>
                          <w:sz w:val="13"/>
                          <w:szCs w:val="13"/>
                          <w:lang w:val="de-DE"/>
                        </w:rPr>
                        <w:t xml:space="preserve"> </w:t>
                      </w:r>
                      <w:proofErr w:type="spellStart"/>
                      <w:r w:rsidRPr="00A65F87">
                        <w:rPr>
                          <w:b/>
                          <w:sz w:val="13"/>
                          <w:szCs w:val="13"/>
                          <w:lang w:val="de-DE"/>
                        </w:rPr>
                        <w:t>referentie</w:t>
                      </w:r>
                      <w:proofErr w:type="spellEnd"/>
                    </w:p>
                    <w:p w:rsidR="00AA1A58" w:rsidP="00AA1A58" w:rsidRDefault="00AA1A58" w14:paraId="54CE3EEC" w14:textId="77777777">
                      <w:pPr>
                        <w:tabs>
                          <w:tab w:val="left" w:pos="5284"/>
                        </w:tabs>
                        <w:spacing w:line="360" w:lineRule="auto"/>
                        <w:rPr>
                          <w:sz w:val="13"/>
                          <w:szCs w:val="13"/>
                        </w:rPr>
                      </w:pPr>
                      <w:r w:rsidRPr="00D875B2">
                        <w:rPr>
                          <w:sz w:val="13"/>
                          <w:szCs w:val="13"/>
                        </w:rPr>
                        <w:t>52056634</w:t>
                      </w:r>
                    </w:p>
                    <w:p w:rsidR="00AA1A58" w:rsidP="00AA1A58" w:rsidRDefault="00AA1A58" w14:paraId="0750CCCA" w14:textId="77777777">
                      <w:pPr>
                        <w:tabs>
                          <w:tab w:val="left" w:pos="5284"/>
                        </w:tabs>
                        <w:spacing w:line="360" w:lineRule="auto"/>
                        <w:rPr>
                          <w:sz w:val="13"/>
                          <w:szCs w:val="13"/>
                        </w:rPr>
                      </w:pPr>
                    </w:p>
                    <w:p w:rsidR="00AA1A58" w:rsidP="00AA1A58" w:rsidRDefault="00AA1A58" w14:paraId="41CD07D2" w14:textId="77777777">
                      <w:pPr>
                        <w:rPr>
                          <w:b/>
                          <w:sz w:val="13"/>
                          <w:szCs w:val="13"/>
                        </w:rPr>
                      </w:pPr>
                      <w:r w:rsidRPr="00CA6288">
                        <w:rPr>
                          <w:b/>
                          <w:sz w:val="13"/>
                          <w:szCs w:val="13"/>
                        </w:rPr>
                        <w:t>Bijlagen</w:t>
                      </w:r>
                    </w:p>
                    <w:p w:rsidRPr="00D875B2" w:rsidR="00AA1A58" w:rsidP="00AA1A58" w:rsidRDefault="00AA1A58" w14:paraId="71B1E418" w14:textId="77777777">
                      <w:pPr>
                        <w:tabs>
                          <w:tab w:val="left" w:pos="5284"/>
                        </w:tabs>
                        <w:spacing w:line="240" w:lineRule="auto"/>
                        <w:rPr>
                          <w:sz w:val="13"/>
                          <w:szCs w:val="13"/>
                        </w:rPr>
                      </w:pPr>
                    </w:p>
                    <w:p w:rsidRPr="00D875B2" w:rsidR="00AA1A58" w:rsidP="00AA1A58" w:rsidRDefault="00AA1A58" w14:paraId="508860A2" w14:textId="77777777">
                      <w:pPr>
                        <w:tabs>
                          <w:tab w:val="left" w:pos="5284"/>
                        </w:tabs>
                        <w:spacing w:line="240" w:lineRule="auto"/>
                        <w:rPr>
                          <w:sz w:val="13"/>
                          <w:szCs w:val="13"/>
                        </w:rPr>
                      </w:pPr>
                    </w:p>
                    <w:p w:rsidRPr="00D875B2" w:rsidR="00AA1A58" w:rsidP="00AA1A58" w:rsidRDefault="00AA1A58" w14:paraId="1AF000B1" w14:textId="77777777">
                      <w:pPr>
                        <w:tabs>
                          <w:tab w:val="left" w:pos="5284"/>
                        </w:tabs>
                        <w:spacing w:line="240" w:lineRule="auto"/>
                        <w:rPr>
                          <w:sz w:val="13"/>
                          <w:szCs w:val="13"/>
                        </w:rPr>
                      </w:pPr>
                    </w:p>
                  </w:txbxContent>
                </v:textbox>
                <w10:wrap type="square" anchory="page"/>
              </v:shape>
            </w:pict>
          </mc:Fallback>
        </mc:AlternateContent>
      </w:r>
      <w:r w:rsidRPr="00F11AB1">
        <w:rPr>
          <w:sz w:val="18"/>
          <w:szCs w:val="18"/>
          <w:lang w:val="nl-NL"/>
        </w:rPr>
        <w:br w:type="column"/>
      </w:r>
      <w:r w:rsidRPr="00F11AB1">
        <w:rPr>
          <w:sz w:val="18"/>
          <w:szCs w:val="18"/>
          <w:lang w:val="nl-NL"/>
        </w:rPr>
        <w:lastRenderedPageBreak/>
        <w:t>(ingezonden 10 april 2025)</w:t>
      </w:r>
      <w:r w:rsidRPr="00F11AB1">
        <w:rPr>
          <w:sz w:val="18"/>
          <w:szCs w:val="18"/>
          <w:lang w:val="nl-NL" w:eastAsia="nl-NL"/>
        </w:rPr>
        <w:br/>
      </w:r>
    </w:p>
    <w:p w:rsidRPr="00F11AB1" w:rsidR="00AA1A58" w:rsidP="00AA1A58" w:rsidRDefault="00AA1A58" w14:paraId="2D1FE6A3" w14:textId="77777777">
      <w:pPr>
        <w:rPr>
          <w:szCs w:val="18"/>
        </w:rPr>
      </w:pPr>
      <w:r w:rsidRPr="00F11AB1">
        <w:rPr>
          <w:szCs w:val="18"/>
        </w:rPr>
        <w:t xml:space="preserve">Vragen van het lid </w:t>
      </w:r>
      <w:proofErr w:type="spellStart"/>
      <w:r w:rsidRPr="00F11AB1">
        <w:rPr>
          <w:szCs w:val="18"/>
        </w:rPr>
        <w:t>Heite</w:t>
      </w:r>
      <w:proofErr w:type="spellEnd"/>
      <w:r w:rsidRPr="00F11AB1">
        <w:rPr>
          <w:szCs w:val="18"/>
        </w:rPr>
        <w:t xml:space="preserve"> (Nieuw Sociaal Contract) aan de ministers van Onderwijs, Cultuur en Wetenschap, van Justitie en Veiligheid, van Defensie en van Economische Zaken over het screenen van wetenschappers en masterstudenten door hoger onderwijsinstellingen omwille van de nationale veiligheid en wie dit moet bekostigen</w:t>
      </w:r>
      <w:r w:rsidRPr="00F11AB1">
        <w:rPr>
          <w:szCs w:val="18"/>
        </w:rPr>
        <w:br/>
        <w:t> </w:t>
      </w:r>
      <w:r w:rsidRPr="00F11AB1">
        <w:rPr>
          <w:szCs w:val="18"/>
        </w:rPr>
        <w:br/>
      </w:r>
    </w:p>
    <w:p w:rsidRPr="00F11AB1" w:rsidR="00AA1A58" w:rsidP="00AA1A58" w:rsidRDefault="00AA1A58" w14:paraId="3BDFD74D" w14:textId="77777777">
      <w:pPr>
        <w:rPr>
          <w:szCs w:val="18"/>
        </w:rPr>
      </w:pPr>
      <w:r w:rsidRPr="00F11AB1">
        <w:rPr>
          <w:szCs w:val="18"/>
        </w:rPr>
        <w:t>1.  Bent u bekend met het artikel 'Screeningswet gaat universiteiten tientallen miljoenen kosten'? 1)</w:t>
      </w:r>
      <w:r w:rsidRPr="00F11AB1">
        <w:rPr>
          <w:szCs w:val="18"/>
        </w:rPr>
        <w:br/>
      </w:r>
    </w:p>
    <w:p w:rsidRPr="00F11AB1" w:rsidR="00AA1A58" w:rsidP="00AA1A58" w:rsidRDefault="00AA1A58" w14:paraId="155387E2" w14:textId="77777777">
      <w:pPr>
        <w:rPr>
          <w:szCs w:val="18"/>
        </w:rPr>
      </w:pPr>
      <w:r w:rsidRPr="00F11AB1">
        <w:rPr>
          <w:szCs w:val="18"/>
        </w:rPr>
        <w:t>Ja.</w:t>
      </w:r>
    </w:p>
    <w:p w:rsidRPr="00F11AB1" w:rsidR="00AA1A58" w:rsidP="00AA1A58" w:rsidRDefault="00AA1A58" w14:paraId="40909396" w14:textId="77777777">
      <w:pPr>
        <w:rPr>
          <w:szCs w:val="18"/>
        </w:rPr>
      </w:pPr>
    </w:p>
    <w:p w:rsidRPr="00F11AB1" w:rsidR="00AA1A58" w:rsidP="00AA1A58" w:rsidRDefault="00AA1A58" w14:paraId="057ABAF6" w14:textId="77777777">
      <w:pPr>
        <w:rPr>
          <w:b/>
          <w:bCs/>
          <w:szCs w:val="18"/>
        </w:rPr>
      </w:pPr>
      <w:r w:rsidRPr="00F11AB1">
        <w:rPr>
          <w:szCs w:val="18"/>
        </w:rPr>
        <w:t>2.  Klopt het dat het wetsvoorstel screening kennisveiligheid als voornaamste doel heeft het verminderen van risico's voor de nationale veiligheid?</w:t>
      </w:r>
    </w:p>
    <w:p w:rsidRPr="00F11AB1" w:rsidR="00AA1A58" w:rsidP="00AA1A58" w:rsidRDefault="00AA1A58" w14:paraId="50631E32" w14:textId="77777777">
      <w:pPr>
        <w:rPr>
          <w:szCs w:val="18"/>
        </w:rPr>
      </w:pPr>
    </w:p>
    <w:p w:rsidRPr="00F11AB1" w:rsidR="00AA1A58" w:rsidP="00AA1A58" w:rsidRDefault="00AA1A58" w14:paraId="058A522A" w14:textId="77777777">
      <w:pPr>
        <w:rPr>
          <w:szCs w:val="18"/>
        </w:rPr>
      </w:pPr>
      <w:r w:rsidRPr="00F11AB1">
        <w:rPr>
          <w:szCs w:val="18"/>
        </w:rPr>
        <w:t xml:space="preserve">Ja, dit klopt. De aanpak kennisveiligheid maakt onderdeel uit van de </w:t>
      </w:r>
      <w:proofErr w:type="spellStart"/>
      <w:r w:rsidRPr="00F11AB1">
        <w:rPr>
          <w:szCs w:val="18"/>
        </w:rPr>
        <w:t>Rijksbrede</w:t>
      </w:r>
      <w:proofErr w:type="spellEnd"/>
      <w:r w:rsidRPr="00F11AB1">
        <w:rPr>
          <w:szCs w:val="18"/>
        </w:rPr>
        <w:t xml:space="preserve"> Veiligheidsstrategie voor het Koninkrijk der Nederlanden en de brede aanpak tegen statelijke dreigingen.</w:t>
      </w:r>
      <w:r w:rsidRPr="00F11AB1">
        <w:rPr>
          <w:rStyle w:val="Voetnootmarkering"/>
          <w:szCs w:val="18"/>
        </w:rPr>
        <w:footnoteReference w:id="1"/>
      </w:r>
      <w:r w:rsidRPr="00F11AB1">
        <w:rPr>
          <w:szCs w:val="18"/>
        </w:rPr>
        <w:t xml:space="preserve"> </w:t>
      </w:r>
      <w:r w:rsidRPr="00F11AB1">
        <w:rPr>
          <w:rStyle w:val="Voetnootmarkering"/>
          <w:szCs w:val="18"/>
        </w:rPr>
        <w:footnoteReference w:id="2"/>
      </w:r>
      <w:r w:rsidRPr="00F11AB1">
        <w:rPr>
          <w:szCs w:val="18"/>
        </w:rPr>
        <w:t xml:space="preserve"> Doel van het wetsvoorstel is het voorkomen van ongewenste kennis- en technologieoverdracht via onderzoekers, studenten en technisch ondersteunend personeel, die toegang krijgen tot sensitieve technologie aan Nederlandse kennisinstellingen. De screening is het sluitstuk van het kennisveiligheidsbeleid en onderdeel van een breder pakket aan beleidsmaatregelen op nationaal niveau waarmee risico’s voor de nationale veiligheid worden verminderd en de weerbaarheid van kennisinstellingen en Nederland wordt vergroot. </w:t>
      </w:r>
    </w:p>
    <w:p w:rsidRPr="00F11AB1" w:rsidR="00AA1A58" w:rsidP="00AA1A58" w:rsidRDefault="00AA1A58" w14:paraId="267EBB40" w14:textId="77777777">
      <w:pPr>
        <w:rPr>
          <w:szCs w:val="18"/>
        </w:rPr>
      </w:pPr>
    </w:p>
    <w:p w:rsidRPr="00F11AB1" w:rsidR="00AA1A58" w:rsidP="00AA1A58" w:rsidRDefault="00AA1A58" w14:paraId="66E23D3F" w14:textId="77777777">
      <w:pPr>
        <w:rPr>
          <w:szCs w:val="18"/>
        </w:rPr>
      </w:pPr>
      <w:r w:rsidRPr="00F11AB1">
        <w:rPr>
          <w:szCs w:val="18"/>
        </w:rPr>
        <w:t>3.  Erkent u dat kennisveiligheid inderdaad een gezamenlijk nationaal belang dient en dat dit weerspiegeld moet worden in de wijze waarop de verantwoordelijkheden en de financiering hiervan maatschappelijk worden geregeld?</w:t>
      </w:r>
    </w:p>
    <w:p w:rsidRPr="00F11AB1" w:rsidR="00AA1A58" w:rsidP="00AA1A58" w:rsidRDefault="00AA1A58" w14:paraId="1054802B" w14:textId="77777777">
      <w:pPr>
        <w:rPr>
          <w:szCs w:val="18"/>
        </w:rPr>
      </w:pPr>
    </w:p>
    <w:p w:rsidRPr="00F11AB1" w:rsidR="00AA1A58" w:rsidP="00AA1A58" w:rsidRDefault="00AA1A58" w14:paraId="14C5A2C7" w14:textId="77777777">
      <w:pPr>
        <w:rPr>
          <w:szCs w:val="18"/>
        </w:rPr>
      </w:pPr>
      <w:r w:rsidRPr="00F11AB1">
        <w:rPr>
          <w:szCs w:val="18"/>
        </w:rPr>
        <w:t xml:space="preserve">Ja, met de ontwikkeling van het kennisveiligheidsbeleid wordt een bijdrage geleverd aan de nationale veiligheid. Het kabinet zet met een </w:t>
      </w:r>
      <w:proofErr w:type="spellStart"/>
      <w:r w:rsidRPr="00F11AB1">
        <w:rPr>
          <w:szCs w:val="18"/>
        </w:rPr>
        <w:t>overheidsbrede</w:t>
      </w:r>
      <w:proofErr w:type="spellEnd"/>
      <w:r w:rsidRPr="00F11AB1">
        <w:rPr>
          <w:szCs w:val="18"/>
        </w:rPr>
        <w:t xml:space="preserve"> en </w:t>
      </w:r>
      <w:proofErr w:type="spellStart"/>
      <w:r w:rsidRPr="00F11AB1">
        <w:rPr>
          <w:szCs w:val="18"/>
        </w:rPr>
        <w:t>maatschappijbrede</w:t>
      </w:r>
      <w:proofErr w:type="spellEnd"/>
      <w:r w:rsidRPr="00F11AB1">
        <w:rPr>
          <w:szCs w:val="18"/>
        </w:rPr>
        <w:t xml:space="preserve"> aanpak in op de bescherming van de nationale veiligheid. Deze gezamenlijke verantwoordelijkheid is terug te zien in de verdeling van de financiële lasten voor de beleidsontwikkeling omtrent kennisveiligheid. Deze verdeling wordt </w:t>
      </w:r>
      <w:r w:rsidRPr="00F11AB1">
        <w:rPr>
          <w:i/>
          <w:iCs/>
          <w:szCs w:val="18"/>
        </w:rPr>
        <w:t>binnen</w:t>
      </w:r>
      <w:r w:rsidRPr="00F11AB1">
        <w:rPr>
          <w:szCs w:val="18"/>
        </w:rPr>
        <w:t xml:space="preserve"> de Rijksoverheid gehanteerd en </w:t>
      </w:r>
      <w:r w:rsidRPr="00F11AB1">
        <w:rPr>
          <w:i/>
          <w:iCs/>
          <w:szCs w:val="18"/>
        </w:rPr>
        <w:t>tussen</w:t>
      </w:r>
      <w:r w:rsidRPr="00F11AB1">
        <w:rPr>
          <w:szCs w:val="18"/>
        </w:rPr>
        <w:t xml:space="preserve"> de Rijksoverheid en de kennissector. De uitvoeringskosten van de wet screening kennisveiligheid worden bijvoorbeeld gedeeltelijk betaald met middelen die eerder zijn toebedeeld onder de noemer Justitie en Veiligheid. Deze middelen zijn al overgeboekt naar OCW. Dit is een voorbeeld waarbij binnen de Rijksoverheid financiële invulling gegeven wordt aan de gezamenlijke verantwoordelijkheid. </w:t>
      </w:r>
    </w:p>
    <w:p w:rsidRPr="00F11AB1" w:rsidR="00AA1A58" w:rsidP="00AA1A58" w:rsidRDefault="00AA1A58" w14:paraId="7D0265C2" w14:textId="77777777">
      <w:pPr>
        <w:rPr>
          <w:szCs w:val="18"/>
        </w:rPr>
      </w:pPr>
    </w:p>
    <w:p w:rsidRPr="00F11AB1" w:rsidR="00AA1A58" w:rsidP="00AA1A58" w:rsidRDefault="00AA1A58" w14:paraId="6006CFE4" w14:textId="77777777">
      <w:pPr>
        <w:rPr>
          <w:szCs w:val="18"/>
        </w:rPr>
      </w:pPr>
    </w:p>
    <w:p w:rsidRPr="00F11AB1" w:rsidR="00AA1A58" w:rsidP="00AA1A58" w:rsidRDefault="00AA1A58" w14:paraId="006246F5" w14:textId="77777777">
      <w:pPr>
        <w:rPr>
          <w:szCs w:val="18"/>
        </w:rPr>
      </w:pPr>
      <w:r w:rsidRPr="00F11AB1">
        <w:rPr>
          <w:szCs w:val="18"/>
        </w:rPr>
        <w:t xml:space="preserve">In de aanpak kennisveiligheid slaan de rijksoverheid en de kennissector de handen ineen om de nationale veiligheid adequaat te beschermen. In de ontwikkeling van het beleid is deze gedeelde verantwoordelijkheid ook zichtbaar. </w:t>
      </w:r>
      <w:r w:rsidRPr="00F11AB1">
        <w:rPr>
          <w:szCs w:val="18"/>
        </w:rPr>
        <w:lastRenderedPageBreak/>
        <w:t xml:space="preserve">De verschillende beleidsinstrumenten zijn interdepartementaal ontwikkeld. Denk hierbij aan de Leidraad Kennisveiligheid die samen met de verschillende overheidspartijen en kennissector is opgesteld en op dit moment wordt geactualiseerd. Het </w:t>
      </w:r>
      <w:bookmarkStart w:name="_Hlk198278533" w:id="0"/>
      <w:r w:rsidRPr="00F11AB1">
        <w:rPr>
          <w:szCs w:val="18"/>
        </w:rPr>
        <w:t xml:space="preserve">Loket Kennisveiligheid is een </w:t>
      </w:r>
      <w:proofErr w:type="spellStart"/>
      <w:r w:rsidRPr="00F11AB1">
        <w:rPr>
          <w:szCs w:val="18"/>
        </w:rPr>
        <w:t>Rijksbreed</w:t>
      </w:r>
      <w:proofErr w:type="spellEnd"/>
      <w:r w:rsidRPr="00F11AB1">
        <w:rPr>
          <w:szCs w:val="18"/>
        </w:rPr>
        <w:t xml:space="preserve"> loket. Verschillende departementen en diensten dragen bij aan het leveren van relevante input voor het Loket, hier is capaciteit voor vrijgemaakt vanuit o.a. OCW</w:t>
      </w:r>
      <w:r>
        <w:rPr>
          <w:szCs w:val="18"/>
        </w:rPr>
        <w:t xml:space="preserve"> en</w:t>
      </w:r>
      <w:r w:rsidRPr="00F11AB1">
        <w:rPr>
          <w:szCs w:val="18"/>
        </w:rPr>
        <w:t xml:space="preserve"> EZ</w:t>
      </w:r>
      <w:bookmarkEnd w:id="0"/>
      <w:r w:rsidRPr="00F11AB1">
        <w:rPr>
          <w:szCs w:val="18"/>
        </w:rPr>
        <w:t xml:space="preserve">. In 2023 is vanuit het Loket de </w:t>
      </w:r>
      <w:proofErr w:type="spellStart"/>
      <w:r w:rsidRPr="00F11AB1">
        <w:rPr>
          <w:szCs w:val="18"/>
        </w:rPr>
        <w:t>learning</w:t>
      </w:r>
      <w:proofErr w:type="spellEnd"/>
      <w:r w:rsidRPr="00F11AB1">
        <w:rPr>
          <w:szCs w:val="18"/>
        </w:rPr>
        <w:t xml:space="preserve"> community gelanceerd. Via de </w:t>
      </w:r>
      <w:proofErr w:type="spellStart"/>
      <w:r w:rsidRPr="00F11AB1">
        <w:rPr>
          <w:szCs w:val="18"/>
        </w:rPr>
        <w:t>learning</w:t>
      </w:r>
      <w:proofErr w:type="spellEnd"/>
      <w:r w:rsidRPr="00F11AB1">
        <w:rPr>
          <w:szCs w:val="18"/>
        </w:rPr>
        <w:t xml:space="preserve"> community informeert het Loket de kennisinstellingen actief over bijvoorbeeld buitenlandse regelgeving die ertoe kan leiden dat gedeeld intellectueel eigendom wordt toegeëigend door een staat, en op welke punten de kennisinstellingen daarbij kunnen letten. Om ervoor te zorgen dat het beleid goed aansluit bij de praktijk van kennisinstellingen, betrek ik kennisinstellingen nauw bij de beleidsontwikkeling. Dat doe ik onder andere door middel van dialoogsessies die sinds 2022 worden gehouden met bestuurders van kennisinstellingen.</w:t>
      </w:r>
    </w:p>
    <w:p w:rsidRPr="00F11AB1" w:rsidR="00AA1A58" w:rsidP="00AA1A58" w:rsidRDefault="00AA1A58" w14:paraId="5548D269" w14:textId="77777777">
      <w:pPr>
        <w:rPr>
          <w:szCs w:val="18"/>
        </w:rPr>
      </w:pPr>
    </w:p>
    <w:p w:rsidRPr="00F11AB1" w:rsidR="00AA1A58" w:rsidP="00AA1A58" w:rsidRDefault="00AA1A58" w14:paraId="65BCE2D5" w14:textId="77777777">
      <w:pPr>
        <w:rPr>
          <w:b/>
          <w:bCs/>
          <w:szCs w:val="18"/>
        </w:rPr>
      </w:pPr>
      <w:r w:rsidRPr="00F11AB1">
        <w:rPr>
          <w:szCs w:val="18"/>
        </w:rPr>
        <w:t>4.  Erkent u dat kennisveiligheid een gezamenlijke verantwoordelijkheid is die niet uitsluitend bij het ministerie van Onderwijs, Cultuur en Wetenschap belegd mag worden?</w:t>
      </w:r>
    </w:p>
    <w:p w:rsidRPr="00F11AB1" w:rsidR="00AA1A58" w:rsidP="00AA1A58" w:rsidRDefault="00AA1A58" w14:paraId="1A56E1B1" w14:textId="77777777">
      <w:pPr>
        <w:rPr>
          <w:szCs w:val="18"/>
        </w:rPr>
      </w:pPr>
    </w:p>
    <w:p w:rsidRPr="00F11AB1" w:rsidR="00AA1A58" w:rsidP="00AA1A58" w:rsidRDefault="00AA1A58" w14:paraId="121D14C0" w14:textId="77777777">
      <w:pPr>
        <w:rPr>
          <w:szCs w:val="18"/>
        </w:rPr>
      </w:pPr>
      <w:r w:rsidRPr="00F11AB1">
        <w:rPr>
          <w:szCs w:val="18"/>
        </w:rPr>
        <w:t>Ja. Er is sprake van een kabinetsbrede verantwoordelijkheid vanwege het belang van het beschermen van nationale veiligheid die bovendien samen met de instellingen moet worden ingevuld. Voor de aanpak kennisveiligheid wordt daarom samengewerkt binnen de overheid, met onder andere Justitie en Veiligheid, Economische Zaken, Buitenlandse Zaken, Binnenlandse Zaken en Defensie, en met hogescholen, universiteiten en andere kennisinstellingen, zoals TO2. Instellingen en overheid werken via het loket Kennisveiligheid aan een gezamenlijke kennispositie over de mogelijke kennisveiligheidsrisico’s die kunnen voortkomen uit internationale samenwerking.</w:t>
      </w:r>
    </w:p>
    <w:p w:rsidRPr="00F11AB1" w:rsidR="00AA1A58" w:rsidP="00AA1A58" w:rsidRDefault="00AA1A58" w14:paraId="00B1CE3D" w14:textId="77777777">
      <w:pPr>
        <w:rPr>
          <w:szCs w:val="18"/>
        </w:rPr>
      </w:pPr>
    </w:p>
    <w:p w:rsidRPr="00F11AB1" w:rsidR="00AA1A58" w:rsidP="00AA1A58" w:rsidRDefault="00AA1A58" w14:paraId="4041AE63" w14:textId="77777777">
      <w:pPr>
        <w:rPr>
          <w:b/>
          <w:bCs/>
          <w:szCs w:val="18"/>
        </w:rPr>
      </w:pPr>
      <w:r w:rsidRPr="00F11AB1">
        <w:rPr>
          <w:szCs w:val="18"/>
        </w:rPr>
        <w:t>5.  Klopt het dat het bewaken van de nationale veiligheid nergens in de Wet op het hoger onderwijs en wetenschappelijk onderzoek, noch in enige andere wet, als wettelijke taak van hoger onderwijsinstellingen is vastgelegd?</w:t>
      </w:r>
      <w:r w:rsidRPr="00F11AB1">
        <w:rPr>
          <w:szCs w:val="18"/>
        </w:rPr>
        <w:br/>
      </w:r>
    </w:p>
    <w:p w:rsidRPr="00F11AB1" w:rsidR="00AA1A58" w:rsidP="00AA1A58" w:rsidRDefault="00AA1A58" w14:paraId="32CBD699" w14:textId="77777777">
      <w:pPr>
        <w:rPr>
          <w:szCs w:val="18"/>
        </w:rPr>
      </w:pPr>
      <w:r w:rsidRPr="00F11AB1">
        <w:rPr>
          <w:szCs w:val="18"/>
        </w:rPr>
        <w:t>Dat klopt. De kennissector heeft zich, ondanks het ontbreken van een wettelijke taak, desondanks al jaren geleden gecommitteerd aan de aanpak kennisveiligheid. De voortrekkersrol wordt herkend in het buitenland. Het gezamenlijke belang is het beschermen van de kennissector. Door te voorkomen dat onze hoogwaardige kennis en technologie weglekt dragen we bij aan onze nationale veiligheid.</w:t>
      </w:r>
    </w:p>
    <w:p w:rsidRPr="00F11AB1" w:rsidR="00AA1A58" w:rsidP="00AA1A58" w:rsidRDefault="00AA1A58" w14:paraId="50F46739" w14:textId="77777777">
      <w:pPr>
        <w:rPr>
          <w:b/>
          <w:bCs/>
          <w:szCs w:val="18"/>
        </w:rPr>
      </w:pPr>
    </w:p>
    <w:p w:rsidRPr="00F11AB1" w:rsidR="00AA1A58" w:rsidP="00AA1A58" w:rsidRDefault="00AA1A58" w14:paraId="4B28E606" w14:textId="77777777">
      <w:pPr>
        <w:rPr>
          <w:b/>
          <w:bCs/>
          <w:szCs w:val="18"/>
        </w:rPr>
      </w:pPr>
      <w:r w:rsidRPr="00F11AB1">
        <w:rPr>
          <w:szCs w:val="18"/>
        </w:rPr>
        <w:t>6.  Bent u het ermee eens dat het bewaken van de nationale veiligheid een wezensvreemde taak is voor een hoger onderwijsinstelling?</w:t>
      </w:r>
    </w:p>
    <w:p w:rsidRPr="00F11AB1" w:rsidR="00AA1A58" w:rsidP="00AA1A58" w:rsidRDefault="00AA1A58" w14:paraId="7B0D58BB" w14:textId="77777777">
      <w:pPr>
        <w:rPr>
          <w:szCs w:val="18"/>
        </w:rPr>
      </w:pPr>
    </w:p>
    <w:p w:rsidRPr="00F11AB1" w:rsidR="00AA1A58" w:rsidP="00AA1A58" w:rsidRDefault="00AA1A58" w14:paraId="4A11F4FF" w14:textId="77777777">
      <w:pPr>
        <w:rPr>
          <w:szCs w:val="18"/>
        </w:rPr>
      </w:pPr>
      <w:r w:rsidRPr="00F11AB1">
        <w:rPr>
          <w:szCs w:val="18"/>
        </w:rPr>
        <w:t>Het is niet een kerntaak, maar kan gezien de maatschappelijke en economische waarde van kennis niet los ervan gezien worden. Er is een gezamenlijke verantwoordelijkheid bij kennisveiligheid. Kennisinstellingen hebben de sleutel tot succes van Nederlands onderzoek en wetenschap door hun kennis over technologieën, openheid en internationale samenwerking. Tegelijkertijd weten we dat internationale actoren de hier ontwikkelde kennis en technologieën voor hun eigen doelen willen inzetten.</w:t>
      </w:r>
      <w:r w:rsidRPr="00F11AB1">
        <w:rPr>
          <w:rStyle w:val="Voetnootmarkering"/>
          <w:szCs w:val="18"/>
        </w:rPr>
        <w:footnoteReference w:id="3"/>
      </w:r>
      <w:r w:rsidRPr="00F11AB1">
        <w:rPr>
          <w:szCs w:val="18"/>
        </w:rPr>
        <w:t xml:space="preserve"> </w:t>
      </w:r>
      <w:r w:rsidRPr="00F11AB1">
        <w:rPr>
          <w:rStyle w:val="Voetnootmarkering"/>
          <w:szCs w:val="18"/>
        </w:rPr>
        <w:footnoteReference w:id="4"/>
      </w:r>
      <w:r w:rsidRPr="00F11AB1">
        <w:rPr>
          <w:szCs w:val="18"/>
        </w:rPr>
        <w:t xml:space="preserve"> Daarom werken de rijksoverheid en </w:t>
      </w:r>
      <w:r w:rsidRPr="00F11AB1">
        <w:rPr>
          <w:szCs w:val="18"/>
        </w:rPr>
        <w:lastRenderedPageBreak/>
        <w:t>kennisinstellingen nauw samen, om de nationale veiligheid, weerbaarheid</w:t>
      </w:r>
      <w:r w:rsidRPr="00F11AB1">
        <w:rPr>
          <w:rStyle w:val="Voetnootmarkering"/>
          <w:szCs w:val="18"/>
        </w:rPr>
        <w:footnoteReference w:id="5"/>
      </w:r>
      <w:r w:rsidRPr="00F11AB1">
        <w:rPr>
          <w:szCs w:val="18"/>
        </w:rPr>
        <w:t xml:space="preserve">, en de wetenschappelijke integriteit, academische vrijheid en ontwikkeling van technologie te beschermen. </w:t>
      </w:r>
    </w:p>
    <w:p w:rsidRPr="00F11AB1" w:rsidR="00AA1A58" w:rsidP="00AA1A58" w:rsidRDefault="00AA1A58" w14:paraId="2DF0A63E" w14:textId="77777777">
      <w:pPr>
        <w:rPr>
          <w:szCs w:val="18"/>
        </w:rPr>
      </w:pPr>
    </w:p>
    <w:p w:rsidRPr="00F11AB1" w:rsidR="00AA1A58" w:rsidP="00AA1A58" w:rsidRDefault="00AA1A58" w14:paraId="04265691" w14:textId="77777777">
      <w:pPr>
        <w:rPr>
          <w:b/>
          <w:bCs/>
          <w:szCs w:val="18"/>
        </w:rPr>
      </w:pPr>
      <w:r w:rsidRPr="00F11AB1">
        <w:rPr>
          <w:szCs w:val="18"/>
        </w:rPr>
        <w:t>7.  Erkent u dat het wetsvoorstel screening kennisveiligheid hoger onderwijsinstellingen primair een verplichting oplegt in het belang van de nationale veiligheid, en niet in het eigenbelang van de instellingen?</w:t>
      </w:r>
    </w:p>
    <w:p w:rsidRPr="00F11AB1" w:rsidR="00AA1A58" w:rsidP="00AA1A58" w:rsidRDefault="00AA1A58" w14:paraId="4DD3BB70" w14:textId="77777777">
      <w:pPr>
        <w:rPr>
          <w:szCs w:val="18"/>
        </w:rPr>
      </w:pPr>
    </w:p>
    <w:p w:rsidRPr="00F11AB1" w:rsidR="00AA1A58" w:rsidP="00AA1A58" w:rsidRDefault="00AA1A58" w14:paraId="4ECA8B75" w14:textId="77777777">
      <w:pPr>
        <w:rPr>
          <w:szCs w:val="18"/>
        </w:rPr>
      </w:pPr>
      <w:r w:rsidRPr="00F11AB1">
        <w:rPr>
          <w:szCs w:val="18"/>
        </w:rPr>
        <w:t xml:space="preserve">Nee, nationale veiligheid is ook in het belang van de instellingen. Het wetsvoorstel dient twee belangen waartussen het balanceert: een open en veilige wetenschap, én de nationale veiligheid. Om de Nederlandse toppositie in de wetenschap te behouden, is het van groot belang dat het internationaal uitwisselen van informatie veilig gebeurt en mogelijk blijft. Daarom is de kennissector hier al jaren </w:t>
      </w:r>
      <w:proofErr w:type="spellStart"/>
      <w:r w:rsidRPr="00F11AB1">
        <w:rPr>
          <w:szCs w:val="18"/>
        </w:rPr>
        <w:t>pro-actief</w:t>
      </w:r>
      <w:proofErr w:type="spellEnd"/>
      <w:r w:rsidRPr="00F11AB1">
        <w:rPr>
          <w:szCs w:val="18"/>
        </w:rPr>
        <w:t xml:space="preserve"> mee bezig en zet dit kabinet in op de ontwikkeling van de screening kennisveiligheid. Hierbij is en blijft het motto “open waar mogelijk en beschermen waar nodig” voorop staan.</w:t>
      </w:r>
    </w:p>
    <w:p w:rsidRPr="00F11AB1" w:rsidR="00AA1A58" w:rsidP="00AA1A58" w:rsidRDefault="00AA1A58" w14:paraId="4B54E431" w14:textId="77777777">
      <w:pPr>
        <w:rPr>
          <w:szCs w:val="18"/>
        </w:rPr>
      </w:pPr>
    </w:p>
    <w:p w:rsidRPr="00F11AB1" w:rsidR="00AA1A58" w:rsidP="00AA1A58" w:rsidRDefault="00AA1A58" w14:paraId="12C2F9BB" w14:textId="77777777">
      <w:pPr>
        <w:rPr>
          <w:szCs w:val="18"/>
        </w:rPr>
      </w:pPr>
      <w:r w:rsidRPr="00F11AB1">
        <w:rPr>
          <w:szCs w:val="18"/>
        </w:rPr>
        <w:t xml:space="preserve">Bovendien is er een inhoudelijke bijdrage die </w:t>
      </w:r>
      <w:proofErr w:type="spellStart"/>
      <w:r w:rsidRPr="00F11AB1">
        <w:rPr>
          <w:szCs w:val="18"/>
        </w:rPr>
        <w:t>hogeronderwijsinstellingen</w:t>
      </w:r>
      <w:proofErr w:type="spellEnd"/>
      <w:r w:rsidRPr="00F11AB1">
        <w:rPr>
          <w:szCs w:val="18"/>
        </w:rPr>
        <w:t xml:space="preserve"> kunnen leveren. Defensie zet nadrukkelijk in op het verbreden van het kennislandschap, zie ook vraag 17. Daarmee worden </w:t>
      </w:r>
      <w:proofErr w:type="spellStart"/>
      <w:r w:rsidRPr="00F11AB1">
        <w:rPr>
          <w:szCs w:val="18"/>
        </w:rPr>
        <w:t>hogeronderwijsinstellingen</w:t>
      </w:r>
      <w:proofErr w:type="spellEnd"/>
      <w:r w:rsidRPr="00F11AB1">
        <w:rPr>
          <w:szCs w:val="18"/>
        </w:rPr>
        <w:t xml:space="preserve"> in staat gesteld om een bijdrage te leveren aan de maatschappelijke weerbaarheid.   </w:t>
      </w:r>
    </w:p>
    <w:p w:rsidRPr="00F11AB1" w:rsidR="00AA1A58" w:rsidP="00AA1A58" w:rsidRDefault="00AA1A58" w14:paraId="5CF32AD0" w14:textId="77777777">
      <w:pPr>
        <w:rPr>
          <w:szCs w:val="18"/>
        </w:rPr>
      </w:pPr>
    </w:p>
    <w:p w:rsidRPr="00F11AB1" w:rsidR="00AA1A58" w:rsidP="00AA1A58" w:rsidRDefault="00AA1A58" w14:paraId="77BE4A05" w14:textId="77777777">
      <w:pPr>
        <w:rPr>
          <w:b/>
          <w:bCs/>
          <w:szCs w:val="18"/>
        </w:rPr>
      </w:pPr>
      <w:r w:rsidRPr="00F11AB1">
        <w:rPr>
          <w:szCs w:val="18"/>
        </w:rPr>
        <w:t>8.  Erkent u dat het feit dat de screening ook in het directe belang van de instellingen zelf kan zijn hier niets aan verandert, en dat deze onverschilligheid relevant is voor de vraag bij wie de financiële lasten van deze nationale opgave moeten worden gelegd?</w:t>
      </w:r>
    </w:p>
    <w:p w:rsidRPr="00F11AB1" w:rsidR="00AA1A58" w:rsidP="00AA1A58" w:rsidRDefault="00AA1A58" w14:paraId="5A2AA790" w14:textId="77777777">
      <w:pPr>
        <w:rPr>
          <w:szCs w:val="18"/>
        </w:rPr>
      </w:pPr>
    </w:p>
    <w:p w:rsidRPr="00F11AB1" w:rsidR="00AA1A58" w:rsidP="00AA1A58" w:rsidRDefault="00AA1A58" w14:paraId="316B21FF" w14:textId="77777777">
      <w:pPr>
        <w:rPr>
          <w:szCs w:val="18"/>
        </w:rPr>
      </w:pPr>
      <w:r w:rsidRPr="00F11AB1">
        <w:rPr>
          <w:szCs w:val="18"/>
        </w:rPr>
        <w:t xml:space="preserve">Om de nationale veiligheid adequaat te beschermen hanteert het kabinet een </w:t>
      </w:r>
      <w:proofErr w:type="spellStart"/>
      <w:r w:rsidRPr="00F11AB1">
        <w:rPr>
          <w:szCs w:val="18"/>
        </w:rPr>
        <w:t>overheidsbrede</w:t>
      </w:r>
      <w:proofErr w:type="spellEnd"/>
      <w:r w:rsidRPr="00F11AB1">
        <w:rPr>
          <w:szCs w:val="18"/>
        </w:rPr>
        <w:t xml:space="preserve"> en </w:t>
      </w:r>
      <w:proofErr w:type="spellStart"/>
      <w:r w:rsidRPr="00F11AB1">
        <w:rPr>
          <w:szCs w:val="18"/>
        </w:rPr>
        <w:t>maatschappijbrede</w:t>
      </w:r>
      <w:proofErr w:type="spellEnd"/>
      <w:r w:rsidRPr="00F11AB1">
        <w:rPr>
          <w:szCs w:val="18"/>
        </w:rPr>
        <w:t xml:space="preserve"> aanpak. Er ligt een maatschappelijke opgave om weerbaarder te worden. Hieraan dragen naast de rijksoverheid, ook andere publieke alsmede private partners, maatschappelijke organisaties en burgers bij. Ook voor de kennissector geldt dat er een brede aanpak gehanteerd wordt. Kennisinstellingen hebben reeds een verantwoordelijkheid om te zorgen voor fysieke en digitale beschermingsmaatregelen. Ik erken dat de invoering van de screeningsplicht voor instellingen een intensivering kan betekenen. Deze investering zorgt ervoor dat de randvoorwaarden om veiliger te kunnen werken op orde zijn. </w:t>
      </w:r>
    </w:p>
    <w:p w:rsidRPr="00F11AB1" w:rsidR="00AA1A58" w:rsidP="00AA1A58" w:rsidRDefault="00AA1A58" w14:paraId="7603EF94" w14:textId="77777777">
      <w:pPr>
        <w:rPr>
          <w:szCs w:val="18"/>
        </w:rPr>
      </w:pPr>
    </w:p>
    <w:p w:rsidRPr="00F11AB1" w:rsidR="00AA1A58" w:rsidP="00AA1A58" w:rsidRDefault="00AA1A58" w14:paraId="100AE699" w14:textId="77777777">
      <w:pPr>
        <w:rPr>
          <w:szCs w:val="18"/>
        </w:rPr>
      </w:pPr>
      <w:r w:rsidRPr="00F11AB1">
        <w:rPr>
          <w:szCs w:val="18"/>
        </w:rPr>
        <w:t>9.  Welk ministerie is volgens u eindverantwoordelijk voor het bewaken van kennisveiligheid in het kader van de nationale veiligheid, en bent u het ermee eens dat er minstens een gedeelde verantwoordelijkheid bestaat tussen de betrokken ministeries?</w:t>
      </w:r>
    </w:p>
    <w:p w:rsidRPr="00F11AB1" w:rsidR="00AA1A58" w:rsidP="00AA1A58" w:rsidRDefault="00AA1A58" w14:paraId="0D3D295E" w14:textId="77777777">
      <w:pPr>
        <w:rPr>
          <w:b/>
          <w:bCs/>
          <w:szCs w:val="18"/>
        </w:rPr>
      </w:pPr>
    </w:p>
    <w:p w:rsidRPr="00F11AB1" w:rsidR="00AA1A58" w:rsidP="00AA1A58" w:rsidRDefault="00AA1A58" w14:paraId="7E68ADF2" w14:textId="77777777">
      <w:pPr>
        <w:rPr>
          <w:szCs w:val="18"/>
        </w:rPr>
      </w:pPr>
      <w:r w:rsidRPr="00F11AB1">
        <w:rPr>
          <w:szCs w:val="18"/>
        </w:rPr>
        <w:t xml:space="preserve">Als minister van Onderwijs, Cultuur en Wetenschap coördineer ik het kennisveiligheidsbeleid. Ik ben het ermee eens dat er een gedeelde verantwoordelijkheid bestaat. Zoals eerder aangegeven is de aanpak kennisveiligheid gebaseerd op interdepartementale samenwerking, en is dit niet alleen belegd bij mijn ministerie. Ik werk samen met onder andere Justitie en Veiligheid, Economische Zaken, Buitenlandse Zaken, Binnenlandse Zaken en </w:t>
      </w:r>
      <w:r w:rsidRPr="00F11AB1">
        <w:rPr>
          <w:szCs w:val="18"/>
        </w:rPr>
        <w:lastRenderedPageBreak/>
        <w:t>Defensie. Samen met de instellingen en de andere betrokken ministers werk ik aan een gebalanceerde aanpak. Naast de belangen van de nationale veiligheid, benadruk ik daarbij het belang van een vrije open kennissector. </w:t>
      </w:r>
    </w:p>
    <w:p w:rsidRPr="00F11AB1" w:rsidR="00AA1A58" w:rsidP="00AA1A58" w:rsidRDefault="00AA1A58" w14:paraId="10E622F7" w14:textId="77777777">
      <w:pPr>
        <w:rPr>
          <w:szCs w:val="18"/>
        </w:rPr>
      </w:pPr>
    </w:p>
    <w:p w:rsidRPr="00F11AB1" w:rsidR="00AA1A58" w:rsidP="00AA1A58" w:rsidRDefault="00AA1A58" w14:paraId="67D80F8E" w14:textId="77777777">
      <w:pPr>
        <w:rPr>
          <w:b/>
          <w:bCs/>
          <w:szCs w:val="18"/>
        </w:rPr>
      </w:pPr>
      <w:r w:rsidRPr="00F11AB1">
        <w:rPr>
          <w:szCs w:val="18"/>
        </w:rPr>
        <w:t>10.  Acht u het doelmatig om publieke middelen, die bestemd zijn voor het bekostigen van hoger onderwijs en wetenschappelijk onderzoek, in te zetten voor doeleinden op het gebied van nationale veiligheid?</w:t>
      </w:r>
    </w:p>
    <w:p w:rsidRPr="00F11AB1" w:rsidR="00AA1A58" w:rsidP="00AA1A58" w:rsidRDefault="00AA1A58" w14:paraId="66D9B2C5" w14:textId="77777777">
      <w:pPr>
        <w:rPr>
          <w:szCs w:val="18"/>
        </w:rPr>
      </w:pPr>
    </w:p>
    <w:p w:rsidRPr="00F11AB1" w:rsidR="00AA1A58" w:rsidP="00AA1A58" w:rsidRDefault="00AA1A58" w14:paraId="48AC16E4" w14:textId="77777777">
      <w:pPr>
        <w:rPr>
          <w:szCs w:val="18"/>
        </w:rPr>
      </w:pPr>
      <w:r w:rsidRPr="00F11AB1">
        <w:rPr>
          <w:szCs w:val="18"/>
        </w:rPr>
        <w:t xml:space="preserve">Voor het borgen van doelmatige en doeltreffende besteding van middelen, is risicomanagement van groot belang. Risico’s, en bij uitstek veiligheidsrisico’s, kunnen namelijk een negatief effect hebben op het doel dat wordt beoogd. Daarom is het mitigeren van risico’s een doelmatige besteding. </w:t>
      </w:r>
    </w:p>
    <w:p w:rsidRPr="00F11AB1" w:rsidR="00AA1A58" w:rsidP="00AA1A58" w:rsidRDefault="00AA1A58" w14:paraId="0CF7152E" w14:textId="77777777">
      <w:pPr>
        <w:rPr>
          <w:szCs w:val="18"/>
        </w:rPr>
      </w:pPr>
    </w:p>
    <w:p w:rsidRPr="00F11AB1" w:rsidR="00AA1A58" w:rsidP="00AA1A58" w:rsidRDefault="00AA1A58" w14:paraId="7DF42BD9" w14:textId="77777777">
      <w:pPr>
        <w:rPr>
          <w:szCs w:val="18"/>
        </w:rPr>
      </w:pPr>
      <w:r w:rsidRPr="00F11AB1">
        <w:rPr>
          <w:szCs w:val="18"/>
        </w:rPr>
        <w:t>11.  Acht u het rechtmatig om publieke middelen, die bestemd zijn voor het bekostigen van hoger onderwijs en wetenschappelijk onderzoek, in te zetten voor nationale veiligheidsdoeleinden?</w:t>
      </w:r>
      <w:r w:rsidRPr="00F11AB1">
        <w:rPr>
          <w:szCs w:val="18"/>
        </w:rPr>
        <w:br/>
      </w:r>
    </w:p>
    <w:p w:rsidRPr="00F11AB1" w:rsidR="00AA1A58" w:rsidP="00AA1A58" w:rsidRDefault="00AA1A58" w14:paraId="1B430F22" w14:textId="77777777">
      <w:pPr>
        <w:rPr>
          <w:szCs w:val="18"/>
        </w:rPr>
      </w:pPr>
      <w:r w:rsidRPr="00F11AB1">
        <w:rPr>
          <w:szCs w:val="18"/>
        </w:rPr>
        <w:t xml:space="preserve">Ja, hogescholen en universiteiten dragen verantwoordelijkheid voor het op orde hebben van beveiliging en het mitigeren van deze risico’s. Zoals aangegeven in vraag 3 wordt de financiering zowel </w:t>
      </w:r>
      <w:r w:rsidRPr="009C3C8D">
        <w:rPr>
          <w:szCs w:val="18"/>
        </w:rPr>
        <w:t>binnen</w:t>
      </w:r>
      <w:r w:rsidRPr="00F11AB1">
        <w:rPr>
          <w:szCs w:val="18"/>
        </w:rPr>
        <w:t xml:space="preserve"> de Rijksoverheid als tussen de Rijksoverheid en de kennissector verdeeld. De bekostiging die </w:t>
      </w:r>
      <w:proofErr w:type="spellStart"/>
      <w:r w:rsidRPr="00F11AB1">
        <w:rPr>
          <w:szCs w:val="18"/>
        </w:rPr>
        <w:t>hogeronderwijsinstellingen</w:t>
      </w:r>
      <w:proofErr w:type="spellEnd"/>
      <w:r w:rsidRPr="00F11AB1">
        <w:rPr>
          <w:szCs w:val="18"/>
        </w:rPr>
        <w:t xml:space="preserve"> ontvangen is bedoeld voor alle taken die zij moeten uitvoeren. Dit omvat zowel de hoofdtaken uit de Wet op het hoger onderwijs en wetenschappelijk onderzoek (het verzorgen van onderwijs en onderzoek)</w:t>
      </w:r>
      <w:r w:rsidRPr="00F11AB1">
        <w:rPr>
          <w:rStyle w:val="Voetnootmarkering"/>
          <w:szCs w:val="18"/>
        </w:rPr>
        <w:footnoteReference w:id="6"/>
      </w:r>
      <w:r w:rsidRPr="00F11AB1">
        <w:rPr>
          <w:szCs w:val="18"/>
        </w:rPr>
        <w:t>, als het verzorgen van randvoorwaarden zoals infrastructuur en het naleven van andere wet- en regelgeving en het toepassen van risicomanagement om een veilige leer- en werkomgeving te bieden voor onderwijs en onderzoek. Het is voor een hogeschool of universiteit daarom niet onrechtmatig om uitgaven te doen die het doel hebben om veiligheidsrisico’s te mitigeren. Voor iedere wet geldt overigens dat</w:t>
      </w:r>
      <w:r w:rsidRPr="00F11AB1">
        <w:rPr>
          <w:sz w:val="20"/>
          <w:szCs w:val="20"/>
        </w:rPr>
        <w:t xml:space="preserve"> </w:t>
      </w:r>
      <w:r w:rsidRPr="00F11AB1">
        <w:rPr>
          <w:szCs w:val="18"/>
        </w:rPr>
        <w:t xml:space="preserve">er voldoende juridische grondslag moet zijn om de bekostiging die </w:t>
      </w:r>
      <w:proofErr w:type="spellStart"/>
      <w:r w:rsidRPr="00F11AB1">
        <w:rPr>
          <w:szCs w:val="18"/>
        </w:rPr>
        <w:t>hogeronderwijsinstellingen</w:t>
      </w:r>
      <w:proofErr w:type="spellEnd"/>
      <w:r w:rsidRPr="00F11AB1">
        <w:rPr>
          <w:szCs w:val="18"/>
        </w:rPr>
        <w:t xml:space="preserve"> ontvangen in te zetten voor de activiteiten zoals omschreven in die wet. Vanzelfsprekend zal daar ook bij het wetsvoorstel screening kennisveiligheid voor worden gezorgd.</w:t>
      </w:r>
    </w:p>
    <w:p w:rsidRPr="00F11AB1" w:rsidR="00AA1A58" w:rsidP="00AA1A58" w:rsidRDefault="00AA1A58" w14:paraId="76A84305" w14:textId="77777777">
      <w:pPr>
        <w:rPr>
          <w:szCs w:val="18"/>
        </w:rPr>
      </w:pPr>
    </w:p>
    <w:p w:rsidRPr="00F11AB1" w:rsidR="00AA1A58" w:rsidP="00AA1A58" w:rsidRDefault="00AA1A58" w14:paraId="30201572" w14:textId="77777777">
      <w:pPr>
        <w:rPr>
          <w:szCs w:val="18"/>
        </w:rPr>
      </w:pPr>
      <w:r w:rsidRPr="00F11AB1">
        <w:rPr>
          <w:szCs w:val="18"/>
        </w:rPr>
        <w:t>12.  Klopt het dat het bewaken van de nationale veiligheid de verantwoordelijkheid is van het ministerie van Justitie en Veiligheid en het ministerie van Defensie, en dat de financiële middelen die zij tot hun beschikking hebben, onder andere voor dit doel aan hen worden verstrekt?</w:t>
      </w:r>
      <w:r w:rsidRPr="00F11AB1">
        <w:rPr>
          <w:szCs w:val="18"/>
        </w:rPr>
        <w:br/>
      </w:r>
    </w:p>
    <w:p w:rsidRPr="00F11AB1" w:rsidR="00AA1A58" w:rsidP="00AA1A58" w:rsidRDefault="00AA1A58" w14:paraId="59E38F5A" w14:textId="77777777">
      <w:pPr>
        <w:rPr>
          <w:szCs w:val="18"/>
        </w:rPr>
      </w:pPr>
      <w:r w:rsidRPr="00F11AB1">
        <w:rPr>
          <w:szCs w:val="18"/>
        </w:rPr>
        <w:t xml:space="preserve">Zoals toegelicht in het regeerprogramma zet het kabinet met een </w:t>
      </w:r>
      <w:proofErr w:type="spellStart"/>
      <w:r w:rsidRPr="00F11AB1">
        <w:rPr>
          <w:szCs w:val="18"/>
        </w:rPr>
        <w:t>overheidsbrede</w:t>
      </w:r>
      <w:proofErr w:type="spellEnd"/>
      <w:r w:rsidRPr="00F11AB1">
        <w:rPr>
          <w:szCs w:val="18"/>
        </w:rPr>
        <w:t xml:space="preserve"> en </w:t>
      </w:r>
      <w:proofErr w:type="spellStart"/>
      <w:r w:rsidRPr="00F11AB1">
        <w:rPr>
          <w:szCs w:val="18"/>
        </w:rPr>
        <w:t>maatschappijbrede</w:t>
      </w:r>
      <w:proofErr w:type="spellEnd"/>
      <w:r w:rsidRPr="00F11AB1">
        <w:rPr>
          <w:szCs w:val="18"/>
        </w:rPr>
        <w:t xml:space="preserve"> aanpak in op de bescherming van de nationale veiligheid. Het klopt dat de verantwoordelijkheid primair bij de minister van Justitie en Veiligheid ligt. Zoals aangegeven hebben hogescholen en universiteiten ook in de bescherming van de nationale veiligheidsbelangen een rol, in het bijzonder waar het gaat om het mitigeren van kennisveiligheidsrisico’s. Deze gezamenlijke verantwoordelijkheid is terug te zien in de verdeling van de financiële lasten voor de beleidsontwikkeling omtrent kennisveiligheid. De uitvoeringskosten van de wet screening kennisveiligheid worden bijvoorbeeld gedeeltelijk betaald met middelen die eerder zijn toebedeeld onder de noemer Justitie en Veiligheid. Deze middelen </w:t>
      </w:r>
      <w:r w:rsidRPr="00F11AB1">
        <w:rPr>
          <w:szCs w:val="18"/>
        </w:rPr>
        <w:lastRenderedPageBreak/>
        <w:t xml:space="preserve">zijn al overgeboekt naar OCW. Op deze manier wordt bijvoorbeeld invulling gegeven aan de gezamenlijke verantwoordelijkheid.  </w:t>
      </w:r>
    </w:p>
    <w:p w:rsidRPr="00F11AB1" w:rsidR="00AA1A58" w:rsidP="00AA1A58" w:rsidRDefault="00AA1A58" w14:paraId="09FF60D7" w14:textId="77777777">
      <w:pPr>
        <w:rPr>
          <w:szCs w:val="18"/>
        </w:rPr>
      </w:pPr>
    </w:p>
    <w:p w:rsidRPr="00F11AB1" w:rsidR="00AA1A58" w:rsidP="00AA1A58" w:rsidRDefault="00AA1A58" w14:paraId="2532D639" w14:textId="77777777">
      <w:pPr>
        <w:rPr>
          <w:b/>
          <w:bCs/>
          <w:szCs w:val="18"/>
        </w:rPr>
      </w:pPr>
      <w:r w:rsidRPr="00F11AB1">
        <w:rPr>
          <w:szCs w:val="18"/>
        </w:rPr>
        <w:t>13.  Zo ja, bent u het ermee eens dat als hoger onderwijsinstellingen financiële middelen nodig hebben om een maatschappelijke opdracht in het kader van de nationale veiligheid uit te voeren, het in de rede ligt dat deze middelen ook door deze ministeries aan hen worden verstrekt?</w:t>
      </w:r>
      <w:r w:rsidRPr="00F11AB1">
        <w:rPr>
          <w:szCs w:val="18"/>
        </w:rPr>
        <w:br/>
      </w:r>
    </w:p>
    <w:p w:rsidRPr="00F11AB1" w:rsidR="00AA1A58" w:rsidP="00AA1A58" w:rsidRDefault="00AA1A58" w14:paraId="2A511270" w14:textId="77777777">
      <w:pPr>
        <w:rPr>
          <w:szCs w:val="18"/>
        </w:rPr>
      </w:pPr>
      <w:r w:rsidRPr="00F11AB1">
        <w:rPr>
          <w:szCs w:val="18"/>
        </w:rPr>
        <w:t xml:space="preserve">De bekostiging die </w:t>
      </w:r>
      <w:proofErr w:type="spellStart"/>
      <w:r w:rsidRPr="00F11AB1">
        <w:rPr>
          <w:szCs w:val="18"/>
        </w:rPr>
        <w:t>hogeronderwijsinstellingen</w:t>
      </w:r>
      <w:proofErr w:type="spellEnd"/>
      <w:r w:rsidRPr="00F11AB1">
        <w:rPr>
          <w:szCs w:val="18"/>
        </w:rPr>
        <w:t xml:space="preserve"> ontvangen is bedoeld voor alle taken die zij moeten uitvoeren. Dit omvat zowel de hoofdtaken uit de Wet op het hoger onderwijs en wetenschappelijk onderzoek, als het verzorgen van randvoorwaarden zoals huisvesting en het naleven van andere wet- en regelgeving en het toepassen van risicomanagement om een veilige leer- en werkomgeving te bieden voor onderwijs en onderzoek. Dit is niet anders dan dat </w:t>
      </w:r>
      <w:proofErr w:type="spellStart"/>
      <w:r w:rsidRPr="00F11AB1">
        <w:rPr>
          <w:szCs w:val="18"/>
        </w:rPr>
        <w:t>hogeronderwijsinstellingen</w:t>
      </w:r>
      <w:proofErr w:type="spellEnd"/>
      <w:r w:rsidRPr="00F11AB1">
        <w:rPr>
          <w:szCs w:val="18"/>
        </w:rPr>
        <w:t xml:space="preserve"> brandveiligheidseisen, de Arbowet, of de Algemene verordening gegevensbescherming moeten naleven zonder dat hier een specifieke bijdrage voor gegeven wordt. </w:t>
      </w:r>
    </w:p>
    <w:p w:rsidRPr="00F11AB1" w:rsidR="00AA1A58" w:rsidP="00AA1A58" w:rsidRDefault="00AA1A58" w14:paraId="033D2257" w14:textId="77777777">
      <w:pPr>
        <w:rPr>
          <w:szCs w:val="18"/>
        </w:rPr>
      </w:pPr>
    </w:p>
    <w:p w:rsidRPr="00F11AB1" w:rsidR="00AA1A58" w:rsidP="00AA1A58" w:rsidRDefault="00AA1A58" w14:paraId="5B5B1A4D" w14:textId="77777777">
      <w:pPr>
        <w:rPr>
          <w:b/>
          <w:bCs/>
          <w:szCs w:val="18"/>
        </w:rPr>
      </w:pPr>
      <w:r w:rsidRPr="00F11AB1">
        <w:rPr>
          <w:szCs w:val="18"/>
        </w:rPr>
        <w:t>14.  Kent u, naast Frankrijk en het Verenigd Koninkrijk, nog andere landen die een dergelijke screeningsplicht hanteren?</w:t>
      </w:r>
    </w:p>
    <w:p w:rsidRPr="00F11AB1" w:rsidR="00AA1A58" w:rsidP="00AA1A58" w:rsidRDefault="00AA1A58" w14:paraId="510CECBE" w14:textId="77777777">
      <w:pPr>
        <w:rPr>
          <w:szCs w:val="18"/>
        </w:rPr>
      </w:pPr>
    </w:p>
    <w:p w:rsidRPr="00F11AB1" w:rsidR="00AA1A58" w:rsidP="00AA1A58" w:rsidRDefault="00AA1A58" w14:paraId="77E30DA9" w14:textId="77777777">
      <w:pPr>
        <w:rPr>
          <w:szCs w:val="18"/>
        </w:rPr>
      </w:pPr>
      <w:bookmarkStart w:name="_Hlk195800153" w:id="1"/>
      <w:r w:rsidRPr="00F11AB1">
        <w:rPr>
          <w:szCs w:val="18"/>
        </w:rPr>
        <w:t xml:space="preserve">Ja, er zijn ook andere landen bezig met screening. In Australië en Japan wordt bijvoorbeeld een vergelijkbaar screeningsinstrument ingezet. Ook zijn er landen, waaronder Canada en de Verenigde Staten, waar screening plaatsvindt op de financieringsstromen van onderzoek en de achtergrond van onderzoekers.  </w:t>
      </w:r>
    </w:p>
    <w:bookmarkEnd w:id="1"/>
    <w:p w:rsidRPr="00F11AB1" w:rsidR="00AA1A58" w:rsidP="00AA1A58" w:rsidRDefault="00AA1A58" w14:paraId="5C900806" w14:textId="77777777">
      <w:pPr>
        <w:rPr>
          <w:szCs w:val="18"/>
        </w:rPr>
      </w:pPr>
    </w:p>
    <w:p w:rsidRPr="00F11AB1" w:rsidR="00AA1A58" w:rsidP="00AA1A58" w:rsidRDefault="00AA1A58" w14:paraId="1C90C34C" w14:textId="77777777">
      <w:pPr>
        <w:rPr>
          <w:b/>
          <w:bCs/>
          <w:szCs w:val="18"/>
        </w:rPr>
      </w:pPr>
      <w:r w:rsidRPr="00F11AB1">
        <w:rPr>
          <w:szCs w:val="18"/>
        </w:rPr>
        <w:t>15. Zo nee, bent u het ermee eens dat het wetsvoorstel screening kennisveiligheid in de eerste plaats een nationale politieke keuze is, die om een forse legitimering vraagt als de rekening hiervoor enkel bij kennisinstellingen komt te liggen?</w:t>
      </w:r>
    </w:p>
    <w:p w:rsidRPr="00F11AB1" w:rsidR="00AA1A58" w:rsidP="00AA1A58" w:rsidRDefault="00AA1A58" w14:paraId="78A0EA69" w14:textId="77777777">
      <w:pPr>
        <w:rPr>
          <w:szCs w:val="18"/>
        </w:rPr>
      </w:pPr>
    </w:p>
    <w:p w:rsidRPr="00F11AB1" w:rsidR="00AA1A58" w:rsidP="00AA1A58" w:rsidRDefault="00AA1A58" w14:paraId="504DBA00" w14:textId="77777777">
      <w:pPr>
        <w:rPr>
          <w:szCs w:val="18"/>
        </w:rPr>
      </w:pPr>
      <w:r w:rsidRPr="00F11AB1">
        <w:rPr>
          <w:szCs w:val="18"/>
        </w:rPr>
        <w:t xml:space="preserve">De rekening hiervoor ligt niet enkel bij kennisinstellingen, zie ook vraag 3 en 11. Individuele landen nemen beleidsmaatregelen passend bij hun nationale context. Nederland zet in op een internationaal gelijk speelveld. Dit betekent dat ik mij in internationaal verband blijf inzetten voor de ontwikkeling van kennisveiligheidsbeleid, waaronder maatregelen gericht op risico’s omtrent het toelaten van individuen tot sensitieve technologie. In alle gevallen vraagt wetgeving om een forse legitimering, ongeacht waar de rekening ligt. Deze legitimering geldt uiteraard ook voor dit wetsvoorstel. </w:t>
      </w:r>
    </w:p>
    <w:p w:rsidRPr="00F11AB1" w:rsidR="00AA1A58" w:rsidP="00AA1A58" w:rsidRDefault="00AA1A58" w14:paraId="50E57594" w14:textId="77777777">
      <w:pPr>
        <w:rPr>
          <w:szCs w:val="18"/>
        </w:rPr>
      </w:pPr>
    </w:p>
    <w:p w:rsidRPr="00F11AB1" w:rsidR="00AA1A58" w:rsidP="00AA1A58" w:rsidRDefault="00AA1A58" w14:paraId="0DDC97F8" w14:textId="77777777">
      <w:pPr>
        <w:rPr>
          <w:b/>
          <w:bCs/>
          <w:szCs w:val="18"/>
        </w:rPr>
      </w:pPr>
      <w:r w:rsidRPr="00F11AB1">
        <w:rPr>
          <w:szCs w:val="18"/>
        </w:rPr>
        <w:t>16.  Deelt u de opvatting dat naast hoger onderwijsinstellingen ook andere organisaties, zoals ASML, een net zo grote verantwoordelijkheid hebben voor kennisveiligheid in het kader van de nationale veiligheid en weerbaarheid? Zo ja, wat gaat u doen om ervoor te zorgen dat dit ook bij deze organisaties geborgd wordt?</w:t>
      </w:r>
      <w:r w:rsidRPr="00F11AB1">
        <w:rPr>
          <w:szCs w:val="18"/>
        </w:rPr>
        <w:br/>
      </w:r>
    </w:p>
    <w:p w:rsidRPr="00F11AB1" w:rsidR="00AA1A58" w:rsidP="00AA1A58" w:rsidRDefault="00AA1A58" w14:paraId="62BEB978" w14:textId="77777777">
      <w:pPr>
        <w:rPr>
          <w:b/>
          <w:bCs/>
          <w:szCs w:val="18"/>
        </w:rPr>
      </w:pPr>
      <w:r w:rsidRPr="00F11AB1">
        <w:rPr>
          <w:szCs w:val="18"/>
        </w:rPr>
        <w:t xml:space="preserve">Zeker. Kennisontwikkeling beperkt zich niet tot universiteiten en hogescholen. Het bedrijfsleven speelt ook een belangrijke rol in de ketens van kennisontwikkeling en innovatie. Ongewenste kennis- en technologieoverdracht doet zich daar net zo goed voor. Daarom werk ik ook nauw samen met de minister van Economische Zaken en de minister van Justitie en Veiligheid in de aanpak economische veiligheid. Economische veiligheid richt zich onder meer op ongewenste kennis- </w:t>
      </w:r>
      <w:r w:rsidRPr="00F11AB1">
        <w:rPr>
          <w:szCs w:val="18"/>
        </w:rPr>
        <w:lastRenderedPageBreak/>
        <w:t>en technologieoverdracht bij het bedrijfsleven. Onderdeel van deze aanpak is het ondersteunen van het bedrijfsleven om adequaat om te gaan met economische veiligheidsrisico’s, een belangrijk instrument in dit kader is het Ondernemersloket Economische Veiligheid. Uw Kamer zal voor de zomer een brief over de voortgang van de kabinetsbrede aanpak op gebied van economische veiligheid ontvangen.</w:t>
      </w:r>
      <w:r w:rsidRPr="00F11AB1">
        <w:rPr>
          <w:b/>
          <w:bCs/>
          <w:szCs w:val="18"/>
        </w:rPr>
        <w:t xml:space="preserve"> </w:t>
      </w:r>
    </w:p>
    <w:p w:rsidRPr="00F11AB1" w:rsidR="00AA1A58" w:rsidP="00AA1A58" w:rsidRDefault="00AA1A58" w14:paraId="49DE0929" w14:textId="77777777">
      <w:pPr>
        <w:rPr>
          <w:szCs w:val="18"/>
        </w:rPr>
      </w:pPr>
    </w:p>
    <w:p w:rsidRPr="00F11AB1" w:rsidR="00AA1A58" w:rsidP="00AA1A58" w:rsidRDefault="00AA1A58" w14:paraId="66123831" w14:textId="77777777">
      <w:pPr>
        <w:rPr>
          <w:szCs w:val="18"/>
        </w:rPr>
      </w:pPr>
      <w:r w:rsidRPr="00F11AB1">
        <w:rPr>
          <w:szCs w:val="18"/>
        </w:rPr>
        <w:t>17.  Bent u het eens dat kennisveiligheid een noodzakelijke voorwaarde is voor verdere samenwerking tussen defensie en het hoger onderwijs? Zo ja, welke rol ziet u voor uzelf in het realiseren van deze samenwerking, gezien de urgente en grote defensieopgave waarvoor ons land staat?</w:t>
      </w:r>
      <w:r w:rsidRPr="00F11AB1">
        <w:rPr>
          <w:szCs w:val="18"/>
        </w:rPr>
        <w:br/>
      </w:r>
    </w:p>
    <w:p w:rsidRPr="00F11AB1" w:rsidR="00AA1A58" w:rsidP="00AA1A58" w:rsidRDefault="00AA1A58" w14:paraId="6402A8E2" w14:textId="77777777">
      <w:pPr>
        <w:rPr>
          <w:szCs w:val="18"/>
        </w:rPr>
      </w:pPr>
      <w:r w:rsidRPr="00F11AB1">
        <w:rPr>
          <w:szCs w:val="18"/>
        </w:rPr>
        <w:t>Ja. Kennisveiligheid is een voorwaarde in de samenwerking tussen publieke kennisinstellingen en Defensie. In de Defensie Strategie voor Industrie en Innovatie 2025-2029 (D-SII) van Defensie wordt hier expliciet aandacht aan besteed.</w:t>
      </w:r>
      <w:r w:rsidRPr="00F11AB1">
        <w:rPr>
          <w:rStyle w:val="Voetnootmarkering"/>
          <w:szCs w:val="18"/>
        </w:rPr>
        <w:footnoteReference w:id="7"/>
      </w:r>
      <w:r w:rsidRPr="00F11AB1">
        <w:rPr>
          <w:szCs w:val="18"/>
        </w:rPr>
        <w:t xml:space="preserve"> Ik herken de urgentie en de omvang van de defensieopgave, en vind het belangrijk dat ook kennisinstellingen daar aan bij kunnen dragen. Defensie sluit aan bij de Nationale Aanpak Kennisveiligheid om ongewenste kennis- en technologieoverdracht te voorkomen en draagt actief bij aan de kennisontwikkeling op dit punt. Uitwisseling van informatie op het thema kennisveiligheid vindt plaats binnen reguliere overleggen tussen Defensie en OCW, daarnaast vindt uitwisseling van kennis en expertise op werkniveau plaats en wordt overleg tussen koepelverenigingen, instellingen en organisaties zoals NWO door beide departementen veelal gezamenlijk aangelopen.</w:t>
      </w:r>
    </w:p>
    <w:p w:rsidRPr="00F11AB1" w:rsidR="00AA1A58" w:rsidP="00AA1A58" w:rsidRDefault="00AA1A58" w14:paraId="5515D452" w14:textId="77777777">
      <w:pPr>
        <w:rPr>
          <w:szCs w:val="18"/>
        </w:rPr>
      </w:pPr>
    </w:p>
    <w:p w:rsidRPr="00F11AB1" w:rsidR="00AA1A58" w:rsidP="00AA1A58" w:rsidRDefault="00AA1A58" w14:paraId="417F2F0C" w14:textId="77777777">
      <w:pPr>
        <w:pStyle w:val="Default"/>
        <w:rPr>
          <w:rFonts w:ascii="Verdana" w:hAnsi="Verdana" w:cs="Times New Roman"/>
          <w:color w:val="auto"/>
          <w:sz w:val="18"/>
          <w:szCs w:val="18"/>
          <w:lang w:eastAsia="nl-NL"/>
        </w:rPr>
      </w:pPr>
      <w:r w:rsidRPr="00F11AB1">
        <w:rPr>
          <w:rFonts w:ascii="Verdana" w:hAnsi="Verdana" w:cs="Times New Roman"/>
          <w:color w:val="auto"/>
          <w:sz w:val="18"/>
          <w:szCs w:val="18"/>
          <w:lang w:eastAsia="nl-NL"/>
        </w:rPr>
        <w:t>In de D-SII en de Strategische Actieagenda Industrie, Innovatie en Kennis (STRAIIK-D)</w:t>
      </w:r>
      <w:r w:rsidRPr="00F11AB1">
        <w:rPr>
          <w:rFonts w:ascii="Verdana" w:hAnsi="Verdana" w:cs="Times New Roman"/>
          <w:color w:val="auto"/>
          <w:sz w:val="18"/>
          <w:vertAlign w:val="superscript"/>
          <w:lang w:eastAsia="nl-NL"/>
        </w:rPr>
        <w:footnoteReference w:id="8"/>
      </w:r>
      <w:r w:rsidRPr="00F11AB1">
        <w:rPr>
          <w:rFonts w:ascii="Verdana" w:hAnsi="Verdana" w:cs="Times New Roman"/>
          <w:color w:val="auto"/>
          <w:sz w:val="18"/>
          <w:szCs w:val="18"/>
          <w:lang w:eastAsia="nl-NL"/>
        </w:rPr>
        <w:t xml:space="preserve"> wordt beschreven hoe Defensie blijft bouwen aan haar kennisbasis. Defensie stelt 35 miljoen beschikbaar tussen 2025-2029 om onderzoek te programmeren via NWO. Ook draagt Defensie nu al bij aan interdepartementale calls binnen de Nationale Wetenschapsagenda, waaronder de call die betrekking heeft op kennisveiligheid. In aanvulling op de initiatieven die Defensie zelf neemt ten aanzien van kennisveiligheid en de samenwerking met kennisinstellingen ben ik met het kennisveld in gesprek om de aansluiting tussen beide werelden zo goed mogelijk te maken.</w:t>
      </w:r>
    </w:p>
    <w:p w:rsidRPr="00F11AB1" w:rsidR="00AA1A58" w:rsidP="00AA1A58" w:rsidRDefault="00AA1A58" w14:paraId="473CB05B" w14:textId="77777777">
      <w:pPr>
        <w:rPr>
          <w:szCs w:val="18"/>
        </w:rPr>
      </w:pPr>
    </w:p>
    <w:p w:rsidRPr="00F11AB1" w:rsidR="00AA1A58" w:rsidP="00AA1A58" w:rsidRDefault="00AA1A58" w14:paraId="7E467A75" w14:textId="77777777">
      <w:pPr>
        <w:rPr>
          <w:szCs w:val="18"/>
        </w:rPr>
      </w:pPr>
      <w:r w:rsidRPr="00F11AB1">
        <w:rPr>
          <w:szCs w:val="18"/>
        </w:rPr>
        <w:t>18.  Bent u bereid om gezamenlijk verantwoordelijkheid te dragen voor kennisveiligheid en om de financiële lasten hiervoor evenwichtiger en op een meer principiële wijze te verdelen?</w:t>
      </w:r>
    </w:p>
    <w:p w:rsidRPr="00F11AB1" w:rsidR="00AA1A58" w:rsidP="00AA1A58" w:rsidRDefault="00AA1A58" w14:paraId="70D4CDD1" w14:textId="77777777">
      <w:pPr>
        <w:rPr>
          <w:szCs w:val="18"/>
        </w:rPr>
      </w:pPr>
    </w:p>
    <w:p w:rsidRPr="00F11AB1" w:rsidR="00AA1A58" w:rsidP="00AA1A58" w:rsidRDefault="00AA1A58" w14:paraId="2EE8B9BF" w14:textId="77777777">
      <w:pPr>
        <w:rPr>
          <w:szCs w:val="18"/>
        </w:rPr>
      </w:pPr>
      <w:r w:rsidRPr="00F11AB1">
        <w:rPr>
          <w:szCs w:val="18"/>
        </w:rPr>
        <w:t xml:space="preserve">Ja. Bij deze gezamenlijke verantwoordelijkheid past een gezamenlijke financiering. Zo zijn de uitvoeringskosten van de wet screening kennisveiligheid voor een deel betaald met middelen die eerder zijn toebedeeld onder de noemer Justitie en Veiligheid. Die zijn  al overgeboekt naar OCW. Het dossier kennisveiligheid blijft ook in de toekomst een gezamenlijke inspanning vragen van de betrokken departementen. </w:t>
      </w:r>
    </w:p>
    <w:p w:rsidRPr="00F11AB1" w:rsidR="00AA1A58" w:rsidP="00AA1A58" w:rsidRDefault="00AA1A58" w14:paraId="312AA0BD" w14:textId="77777777">
      <w:pPr>
        <w:rPr>
          <w:szCs w:val="18"/>
        </w:rPr>
      </w:pPr>
    </w:p>
    <w:p w:rsidRPr="00F11AB1" w:rsidR="00AA1A58" w:rsidP="00AA1A58" w:rsidRDefault="00AA1A58" w14:paraId="4B655005" w14:textId="77777777">
      <w:pPr>
        <w:rPr>
          <w:szCs w:val="18"/>
        </w:rPr>
      </w:pPr>
      <w:r w:rsidRPr="00F11AB1">
        <w:rPr>
          <w:szCs w:val="18"/>
        </w:rPr>
        <w:t xml:space="preserve">19.  Zijn er Europese financieringsmogelijkheden, bijvoorbeeld onder de European </w:t>
      </w:r>
      <w:proofErr w:type="spellStart"/>
      <w:r w:rsidRPr="00F11AB1">
        <w:rPr>
          <w:szCs w:val="18"/>
        </w:rPr>
        <w:t>Economic</w:t>
      </w:r>
      <w:proofErr w:type="spellEnd"/>
      <w:r w:rsidRPr="00F11AB1">
        <w:rPr>
          <w:szCs w:val="18"/>
        </w:rPr>
        <w:t xml:space="preserve"> Security </w:t>
      </w:r>
      <w:proofErr w:type="spellStart"/>
      <w:r w:rsidRPr="00F11AB1">
        <w:rPr>
          <w:szCs w:val="18"/>
        </w:rPr>
        <w:t>Strategy</w:t>
      </w:r>
      <w:proofErr w:type="spellEnd"/>
      <w:r w:rsidRPr="00F11AB1">
        <w:rPr>
          <w:szCs w:val="18"/>
        </w:rPr>
        <w:t xml:space="preserve"> of het onderzoeksprogramma Horizon Europe, die universiteiten kunnen ondersteunen bij het uitvoeren van </w:t>
      </w:r>
      <w:r w:rsidRPr="00F11AB1">
        <w:rPr>
          <w:szCs w:val="18"/>
        </w:rPr>
        <w:lastRenderedPageBreak/>
        <w:t>screeningsverplichtingen op het gebied van kennisveiligheid, zodat onderwijs- en onderzoeksbudgetten niet extra belast hoeven te worden?</w:t>
      </w:r>
      <w:r w:rsidRPr="00F11AB1">
        <w:rPr>
          <w:szCs w:val="18"/>
        </w:rPr>
        <w:br/>
      </w:r>
    </w:p>
    <w:p w:rsidRPr="00F11AB1" w:rsidR="00AA1A58" w:rsidP="00AA1A58" w:rsidRDefault="00AA1A58" w14:paraId="08BBB619" w14:textId="77777777">
      <w:pPr>
        <w:rPr>
          <w:szCs w:val="18"/>
        </w:rPr>
      </w:pPr>
      <w:r w:rsidRPr="00F11AB1">
        <w:rPr>
          <w:szCs w:val="18"/>
        </w:rPr>
        <w:t xml:space="preserve">Er zijn momenteel geen Europese financieringsmogelijkheden beschikbaar voor het uitvoeren van de screeningsverplichtingen. De Economische Veiligheidsstrategie van de EU kondigde een aantal beleidsvoorstellen aan die bijdragen aan de economische weerbaarheid en veiligheid van de EU, waaronder de Raadsaanbeveling ter verbetering van de </w:t>
      </w:r>
      <w:proofErr w:type="spellStart"/>
      <w:r w:rsidRPr="00F11AB1">
        <w:rPr>
          <w:szCs w:val="18"/>
        </w:rPr>
        <w:t>onderzoeksveiligheid</w:t>
      </w:r>
      <w:proofErr w:type="spellEnd"/>
      <w:r w:rsidRPr="00F11AB1">
        <w:rPr>
          <w:szCs w:val="18"/>
        </w:rPr>
        <w:t xml:space="preserve"> die 23 mei 2024 is aangenomen door de Raad. Er zijn geen fondsen gekoppeld aan de strategie of de Raadsaanbeveling. Horizon Europe financiert onderzoeks- en innovatieprojecten. Er zijn in de regeling voorwaarden opgenomen om de kennisveiligheid te borgen, maar het programma biedt geen ruimte voor de financiering van kennisveiligheidsmaatregelen, waaronder nationale screeningsverplichtingen.</w:t>
      </w:r>
    </w:p>
    <w:p w:rsidRPr="00AA1A58" w:rsidR="00AA1A58" w:rsidP="00AA1A58" w:rsidRDefault="00AA1A58" w14:paraId="24458E3D" w14:textId="77777777">
      <w:pPr>
        <w:rPr>
          <w:sz w:val="16"/>
          <w:szCs w:val="16"/>
        </w:rPr>
      </w:pPr>
    </w:p>
    <w:p w:rsidRPr="00AA1A58" w:rsidR="00D57D9F" w:rsidP="00AA1A58" w:rsidRDefault="00AA1A58" w14:paraId="244A2D6A" w14:textId="1B6E73A2">
      <w:pPr>
        <w:pStyle w:val="standaard-tekst"/>
        <w:rPr>
          <w:sz w:val="16"/>
          <w:szCs w:val="16"/>
          <w:lang w:val="nl-NL"/>
        </w:rPr>
      </w:pPr>
      <w:r w:rsidRPr="00AA1A58">
        <w:rPr>
          <w:sz w:val="18"/>
          <w:szCs w:val="16"/>
          <w:lang w:val="nl-NL"/>
        </w:rPr>
        <w:t>1) NRC, d.d. 7 april 2025, 'Screeningswet gaat universiteiten tientallen miljoenen kosten'</w:t>
      </w:r>
    </w:p>
    <w:sectPr w:rsidRPr="00AA1A58" w:rsidR="00D57D9F"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6045" w14:textId="77777777" w:rsidR="005F0738" w:rsidRDefault="00AD678B">
      <w:r>
        <w:separator/>
      </w:r>
    </w:p>
    <w:p w14:paraId="40F1E9CB" w14:textId="77777777" w:rsidR="005F0738" w:rsidRDefault="005F0738"/>
  </w:endnote>
  <w:endnote w:type="continuationSeparator" w:id="0">
    <w:p w14:paraId="53E3301A" w14:textId="77777777" w:rsidR="005F0738" w:rsidRDefault="00AD678B">
      <w:r>
        <w:continuationSeparator/>
      </w:r>
    </w:p>
    <w:p w14:paraId="4DB94649"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79F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60D44" w14:paraId="13FA53F9" w14:textId="77777777" w:rsidTr="004C7E1D">
      <w:trPr>
        <w:trHeight w:hRule="exact" w:val="357"/>
      </w:trPr>
      <w:tc>
        <w:tcPr>
          <w:tcW w:w="7603" w:type="dxa"/>
          <w:shd w:val="clear" w:color="auto" w:fill="auto"/>
        </w:tcPr>
        <w:p w14:paraId="5EFF231E" w14:textId="77777777" w:rsidR="002F71BB" w:rsidRPr="004C7E1D" w:rsidRDefault="002F71BB" w:rsidP="004C7E1D">
          <w:pPr>
            <w:spacing w:line="180" w:lineRule="exact"/>
            <w:rPr>
              <w:sz w:val="13"/>
              <w:szCs w:val="13"/>
            </w:rPr>
          </w:pPr>
        </w:p>
      </w:tc>
      <w:tc>
        <w:tcPr>
          <w:tcW w:w="2172" w:type="dxa"/>
          <w:shd w:val="clear" w:color="auto" w:fill="auto"/>
        </w:tcPr>
        <w:p w14:paraId="7CF311AF" w14:textId="76331569" w:rsidR="002F71BB" w:rsidRPr="004C7E1D" w:rsidRDefault="00AD678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5402E">
            <w:rPr>
              <w:szCs w:val="13"/>
            </w:rPr>
            <w:t>8</w:t>
          </w:r>
          <w:r w:rsidRPr="004C7E1D">
            <w:rPr>
              <w:szCs w:val="13"/>
            </w:rPr>
            <w:fldChar w:fldCharType="end"/>
          </w:r>
        </w:p>
      </w:tc>
    </w:tr>
  </w:tbl>
  <w:p w14:paraId="0574326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60D44" w14:paraId="229917D6" w14:textId="77777777" w:rsidTr="004C7E1D">
      <w:trPr>
        <w:trHeight w:hRule="exact" w:val="357"/>
      </w:trPr>
      <w:tc>
        <w:tcPr>
          <w:tcW w:w="7709" w:type="dxa"/>
          <w:shd w:val="clear" w:color="auto" w:fill="auto"/>
        </w:tcPr>
        <w:p w14:paraId="62272C58" w14:textId="77777777" w:rsidR="00D17084" w:rsidRPr="004C7E1D" w:rsidRDefault="00D17084" w:rsidP="004C7E1D">
          <w:pPr>
            <w:spacing w:line="180" w:lineRule="exact"/>
            <w:rPr>
              <w:sz w:val="13"/>
              <w:szCs w:val="13"/>
            </w:rPr>
          </w:pPr>
        </w:p>
      </w:tc>
      <w:tc>
        <w:tcPr>
          <w:tcW w:w="2060" w:type="dxa"/>
          <w:shd w:val="clear" w:color="auto" w:fill="auto"/>
        </w:tcPr>
        <w:p w14:paraId="13DD0F1A" w14:textId="7284855C" w:rsidR="00D17084" w:rsidRPr="004C7E1D" w:rsidRDefault="00AD678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5402E">
            <w:rPr>
              <w:szCs w:val="13"/>
            </w:rPr>
            <w:t>8</w:t>
          </w:r>
          <w:r w:rsidRPr="004C7E1D">
            <w:rPr>
              <w:szCs w:val="13"/>
            </w:rPr>
            <w:fldChar w:fldCharType="end"/>
          </w:r>
        </w:p>
      </w:tc>
    </w:tr>
  </w:tbl>
  <w:p w14:paraId="663439D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CDD7" w14:textId="77777777" w:rsidR="005F0738" w:rsidRDefault="00AD678B">
      <w:r>
        <w:separator/>
      </w:r>
    </w:p>
    <w:p w14:paraId="427B8DDE" w14:textId="77777777" w:rsidR="005F0738" w:rsidRDefault="005F0738"/>
  </w:footnote>
  <w:footnote w:type="continuationSeparator" w:id="0">
    <w:p w14:paraId="6FB1709D" w14:textId="77777777" w:rsidR="005F0738" w:rsidRDefault="00AD678B">
      <w:r>
        <w:continuationSeparator/>
      </w:r>
    </w:p>
    <w:p w14:paraId="053A3A3D" w14:textId="77777777" w:rsidR="005F0738" w:rsidRDefault="005F0738"/>
  </w:footnote>
  <w:footnote w:id="1">
    <w:p w14:paraId="2E2EC815"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Kamerstukken II 2022/23, 30 821, nr. 178, bijlage.</w:t>
      </w:r>
    </w:p>
  </w:footnote>
  <w:footnote w:id="2">
    <w:p w14:paraId="53BE9329"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Kamerbrief II 2022/23, 30 821, nr. 175</w:t>
      </w:r>
    </w:p>
  </w:footnote>
  <w:footnote w:id="3">
    <w:p w14:paraId="51207B50"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w:t>
      </w:r>
      <w:hyperlink r:id="rId1" w:history="1">
        <w:r w:rsidRPr="001C209E">
          <w:rPr>
            <w:rStyle w:val="Hyperlink"/>
            <w:sz w:val="16"/>
            <w:szCs w:val="16"/>
          </w:rPr>
          <w:t>Jaarverslag 2024 | Jaarverslag | AIVD</w:t>
        </w:r>
      </w:hyperlink>
    </w:p>
  </w:footnote>
  <w:footnote w:id="4">
    <w:p w14:paraId="662789B9"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Kamerbrief II 2022/23, 30 821, nr. 175</w:t>
      </w:r>
    </w:p>
  </w:footnote>
  <w:footnote w:id="5">
    <w:p w14:paraId="15DB59FF" w14:textId="77777777" w:rsidR="00AA1A58" w:rsidRDefault="00AA1A58" w:rsidP="00AA1A58">
      <w:pPr>
        <w:pStyle w:val="Voetnoottekst"/>
      </w:pPr>
      <w:r w:rsidRPr="00094885">
        <w:rPr>
          <w:rStyle w:val="Voetnootmarkering"/>
          <w:sz w:val="16"/>
          <w:szCs w:val="16"/>
        </w:rPr>
        <w:footnoteRef/>
      </w:r>
      <w:r w:rsidRPr="00094885">
        <w:rPr>
          <w:sz w:val="16"/>
          <w:szCs w:val="16"/>
        </w:rPr>
        <w:t xml:space="preserve"> Kamerbrief I 2024/2025 30 821, nr. 249</w:t>
      </w:r>
    </w:p>
  </w:footnote>
  <w:footnote w:id="6">
    <w:p w14:paraId="1B1852AC"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Zie artikel 1.9, eerste lid, van de Wet op het hoger onderwijs en wetenschappelijk onderzoek.</w:t>
      </w:r>
    </w:p>
  </w:footnote>
  <w:footnote w:id="7">
    <w:p w14:paraId="0F284B75"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Kamertukken II 2025/24, 31 125, nr. 134, bijlage  </w:t>
      </w:r>
    </w:p>
  </w:footnote>
  <w:footnote w:id="8">
    <w:p w14:paraId="17E3791C" w14:textId="77777777" w:rsidR="00AA1A58" w:rsidRPr="001C209E" w:rsidRDefault="00AA1A58" w:rsidP="00AA1A58">
      <w:pPr>
        <w:pStyle w:val="Voetnoottekst"/>
        <w:rPr>
          <w:sz w:val="16"/>
          <w:szCs w:val="16"/>
        </w:rPr>
      </w:pPr>
      <w:r w:rsidRPr="001C209E">
        <w:rPr>
          <w:rStyle w:val="Voetnootmarkering"/>
          <w:sz w:val="16"/>
          <w:szCs w:val="16"/>
        </w:rPr>
        <w:footnoteRef/>
      </w:r>
      <w:r w:rsidRPr="001C209E">
        <w:rPr>
          <w:sz w:val="16"/>
          <w:szCs w:val="16"/>
        </w:rPr>
        <w:t xml:space="preserve"> Ministerie van Defensie. (2025). </w:t>
      </w:r>
      <w:hyperlink r:id="rId2" w:history="1">
        <w:r w:rsidRPr="001C209E">
          <w:rPr>
            <w:rStyle w:val="Hyperlink"/>
            <w:i/>
            <w:iCs/>
            <w:sz w:val="16"/>
            <w:szCs w:val="16"/>
          </w:rPr>
          <w:t>STRAIIK-D</w:t>
        </w:r>
      </w:hyperlink>
      <w:r w:rsidRPr="001C209E">
        <w:rPr>
          <w:i/>
          <w:iCs/>
          <w:sz w:val="16"/>
          <w:szCs w:val="16"/>
        </w:rPr>
        <w:t>:</w:t>
      </w:r>
      <w:r w:rsidRPr="001C209E">
        <w:rPr>
          <w:sz w:val="16"/>
          <w:szCs w:val="16"/>
        </w:rPr>
        <w:t xml:space="preserve"> </w:t>
      </w:r>
      <w:r w:rsidRPr="001C209E">
        <w:rPr>
          <w:i/>
          <w:iCs/>
          <w:sz w:val="16"/>
          <w:szCs w:val="16"/>
        </w:rPr>
        <w:t>Strategische Actieagenda Industrie, Innovatie en Kennis – Defensie</w:t>
      </w:r>
      <w:r w:rsidRPr="001C209E">
        <w:rPr>
          <w:sz w:val="16"/>
          <w:szCs w:val="16"/>
        </w:rPr>
        <w:t xml:space="preserve">. Geraadpleegd op 17 april 2025, van </w:t>
      </w:r>
      <w:hyperlink r:id="rId3" w:history="1">
        <w:r w:rsidRPr="001C209E">
          <w:rPr>
            <w:rStyle w:val="Hyperlink"/>
            <w:sz w:val="16"/>
            <w:szCs w:val="16"/>
          </w:rPr>
          <w:t>https://open.overheid.nl/documenten/55981421-9238-4053-8c37-a228d6dc2f2e/file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60D44" w14:paraId="4FC693DD" w14:textId="77777777" w:rsidTr="006D2D53">
      <w:trPr>
        <w:trHeight w:hRule="exact" w:val="400"/>
      </w:trPr>
      <w:tc>
        <w:tcPr>
          <w:tcW w:w="7518" w:type="dxa"/>
          <w:shd w:val="clear" w:color="auto" w:fill="auto"/>
        </w:tcPr>
        <w:p w14:paraId="6F0C8E93" w14:textId="77777777" w:rsidR="00527BD4" w:rsidRPr="00275984" w:rsidRDefault="00527BD4" w:rsidP="00BF4427">
          <w:pPr>
            <w:pStyle w:val="Huisstijl-Rubricering"/>
          </w:pPr>
        </w:p>
      </w:tc>
    </w:tr>
  </w:tbl>
  <w:p w14:paraId="102365D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60D44" w14:paraId="59634979" w14:textId="77777777" w:rsidTr="003B528D">
      <w:tc>
        <w:tcPr>
          <w:tcW w:w="2160" w:type="dxa"/>
          <w:shd w:val="clear" w:color="auto" w:fill="auto"/>
        </w:tcPr>
        <w:p w14:paraId="3907D4A9" w14:textId="77777777" w:rsidR="00FF7D29" w:rsidRPr="002F71BB" w:rsidRDefault="00AD678B" w:rsidP="006C2093">
          <w:pPr>
            <w:rPr>
              <w:b/>
              <w:sz w:val="13"/>
              <w:szCs w:val="13"/>
            </w:rPr>
          </w:pPr>
          <w:r w:rsidRPr="0052042A">
            <w:rPr>
              <w:b/>
              <w:sz w:val="13"/>
              <w:szCs w:val="13"/>
            </w:rPr>
            <w:t>Onze referentie</w:t>
          </w:r>
        </w:p>
        <w:p w14:paraId="7C761728" w14:textId="77777777" w:rsidR="002F71BB" w:rsidRPr="000407BB" w:rsidRDefault="00AD678B" w:rsidP="008F6AD7">
          <w:pPr>
            <w:spacing w:after="90" w:line="180" w:lineRule="exact"/>
            <w:rPr>
              <w:sz w:val="13"/>
              <w:szCs w:val="13"/>
            </w:rPr>
          </w:pPr>
          <w:r>
            <w:rPr>
              <w:sz w:val="13"/>
              <w:szCs w:val="13"/>
            </w:rPr>
            <w:t>52056634</w:t>
          </w:r>
          <w:r w:rsidR="008F6AD7" w:rsidRPr="000407BB">
            <w:rPr>
              <w:sz w:val="13"/>
              <w:szCs w:val="13"/>
            </w:rPr>
            <w:t xml:space="preserve"> </w:t>
          </w:r>
        </w:p>
      </w:tc>
    </w:tr>
    <w:tr w:rsidR="00B60D44" w14:paraId="03AFCAF4" w14:textId="77777777" w:rsidTr="002F71BB">
      <w:trPr>
        <w:trHeight w:val="259"/>
      </w:trPr>
      <w:tc>
        <w:tcPr>
          <w:tcW w:w="2160" w:type="dxa"/>
          <w:shd w:val="clear" w:color="auto" w:fill="auto"/>
        </w:tcPr>
        <w:p w14:paraId="51068F2E" w14:textId="77777777" w:rsidR="00E35CF4" w:rsidRPr="002F71BB" w:rsidRDefault="00E35CF4" w:rsidP="0049501A">
          <w:pPr>
            <w:spacing w:line="180" w:lineRule="exact"/>
            <w:rPr>
              <w:i/>
              <w:sz w:val="13"/>
              <w:szCs w:val="13"/>
            </w:rPr>
          </w:pPr>
        </w:p>
      </w:tc>
    </w:tr>
  </w:tbl>
  <w:p w14:paraId="0A09B4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60D44" w14:paraId="6D537907" w14:textId="77777777" w:rsidTr="001377D4">
      <w:trPr>
        <w:trHeight w:val="2636"/>
      </w:trPr>
      <w:tc>
        <w:tcPr>
          <w:tcW w:w="737" w:type="dxa"/>
          <w:shd w:val="clear" w:color="auto" w:fill="auto"/>
        </w:tcPr>
        <w:p w14:paraId="288F129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3C91E8C" w14:textId="77777777" w:rsidR="00704845" w:rsidRDefault="00AD678B" w:rsidP="0047126E">
          <w:pPr>
            <w:framePr w:w="3873" w:h="2625" w:hRule="exact" w:wrap="around" w:vAnchor="page" w:hAnchor="page" w:x="6323" w:y="1"/>
          </w:pPr>
          <w:r>
            <w:rPr>
              <w:noProof/>
              <w:lang w:val="en-US" w:eastAsia="en-US"/>
            </w:rPr>
            <w:drawing>
              <wp:inline distT="0" distB="0" distL="0" distR="0" wp14:anchorId="2478C21E" wp14:editId="47BBBC7C">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A5A5B8" w14:textId="77777777" w:rsidR="00483ECA" w:rsidRDefault="00483ECA" w:rsidP="00D037A9"/>
        <w:p w14:paraId="5ED35AE9" w14:textId="77777777" w:rsidR="005F2FA9" w:rsidRDefault="005F2FA9" w:rsidP="00082403"/>
      </w:tc>
    </w:tr>
  </w:tbl>
  <w:p w14:paraId="3657005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60D44" w14:paraId="15B612EB" w14:textId="77777777" w:rsidTr="0008539E">
      <w:trPr>
        <w:trHeight w:hRule="exact" w:val="572"/>
      </w:trPr>
      <w:tc>
        <w:tcPr>
          <w:tcW w:w="7520" w:type="dxa"/>
          <w:shd w:val="clear" w:color="auto" w:fill="auto"/>
        </w:tcPr>
        <w:p w14:paraId="42B43084" w14:textId="77777777" w:rsidR="00527BD4" w:rsidRPr="00963440" w:rsidRDefault="00AD678B" w:rsidP="003B6D32">
          <w:pPr>
            <w:pStyle w:val="Huisstijl-Adres"/>
            <w:spacing w:after="0"/>
          </w:pPr>
          <w:r w:rsidRPr="009E3B07">
            <w:t>&gt;Retouradres </w:t>
          </w:r>
          <w:r>
            <w:t>Postbus 16375 2500 BJ Den Haag</w:t>
          </w:r>
          <w:r w:rsidRPr="009E3B07">
            <w:t xml:space="preserve"> </w:t>
          </w:r>
        </w:p>
      </w:tc>
    </w:tr>
    <w:tr w:rsidR="00B60D44" w14:paraId="008098A0" w14:textId="77777777" w:rsidTr="00E776C6">
      <w:trPr>
        <w:cantSplit/>
        <w:trHeight w:hRule="exact" w:val="238"/>
      </w:trPr>
      <w:tc>
        <w:tcPr>
          <w:tcW w:w="7520" w:type="dxa"/>
          <w:shd w:val="clear" w:color="auto" w:fill="auto"/>
        </w:tcPr>
        <w:p w14:paraId="0500887B" w14:textId="77777777" w:rsidR="00093ABC" w:rsidRPr="00963440" w:rsidRDefault="00093ABC" w:rsidP="00963440"/>
      </w:tc>
    </w:tr>
    <w:tr w:rsidR="00B60D44" w14:paraId="256E20F7" w14:textId="77777777" w:rsidTr="00E776C6">
      <w:trPr>
        <w:cantSplit/>
        <w:trHeight w:hRule="exact" w:val="1520"/>
      </w:trPr>
      <w:tc>
        <w:tcPr>
          <w:tcW w:w="7520" w:type="dxa"/>
          <w:shd w:val="clear" w:color="auto" w:fill="auto"/>
        </w:tcPr>
        <w:p w14:paraId="606BDF9B" w14:textId="77777777" w:rsidR="00A604D3" w:rsidRPr="00963440" w:rsidRDefault="00A604D3" w:rsidP="003B6D32"/>
      </w:tc>
    </w:tr>
    <w:tr w:rsidR="00B60D44" w14:paraId="5F2FA315" w14:textId="77777777" w:rsidTr="00E776C6">
      <w:trPr>
        <w:trHeight w:hRule="exact" w:val="1077"/>
      </w:trPr>
      <w:tc>
        <w:tcPr>
          <w:tcW w:w="7520" w:type="dxa"/>
          <w:shd w:val="clear" w:color="auto" w:fill="auto"/>
        </w:tcPr>
        <w:p w14:paraId="0CF37901" w14:textId="77777777" w:rsidR="00596D5A" w:rsidRDefault="00596D5A" w:rsidP="00892BA5">
          <w:pPr>
            <w:tabs>
              <w:tab w:val="left" w:pos="740"/>
            </w:tabs>
            <w:autoSpaceDE w:val="0"/>
            <w:autoSpaceDN w:val="0"/>
            <w:adjustRightInd w:val="0"/>
            <w:rPr>
              <w:rFonts w:cs="Verdana"/>
              <w:szCs w:val="18"/>
            </w:rPr>
          </w:pPr>
        </w:p>
        <w:p w14:paraId="7375C399" w14:textId="77777777" w:rsidR="00596D5A" w:rsidRDefault="00596D5A" w:rsidP="00596D5A">
          <w:pPr>
            <w:rPr>
              <w:rFonts w:cs="Verdana"/>
              <w:szCs w:val="18"/>
            </w:rPr>
          </w:pPr>
        </w:p>
        <w:p w14:paraId="07DDB32E" w14:textId="77777777" w:rsidR="00892BA5" w:rsidRPr="00596D5A" w:rsidRDefault="00AD678B" w:rsidP="00596D5A">
          <w:pPr>
            <w:tabs>
              <w:tab w:val="left" w:pos="4965"/>
            </w:tabs>
            <w:rPr>
              <w:rFonts w:cs="Verdana"/>
              <w:szCs w:val="18"/>
            </w:rPr>
          </w:pPr>
          <w:r>
            <w:rPr>
              <w:rFonts w:cs="Verdana"/>
              <w:szCs w:val="18"/>
            </w:rPr>
            <w:tab/>
          </w:r>
        </w:p>
      </w:tc>
    </w:tr>
  </w:tbl>
  <w:p w14:paraId="41903F62" w14:textId="77777777" w:rsidR="006F273B" w:rsidRDefault="006F273B" w:rsidP="00BC4AE3">
    <w:pPr>
      <w:pStyle w:val="Koptekst"/>
    </w:pPr>
  </w:p>
  <w:p w14:paraId="55DC7BE0" w14:textId="77777777" w:rsidR="00153BD0" w:rsidRDefault="00153BD0" w:rsidP="00BC4AE3">
    <w:pPr>
      <w:pStyle w:val="Koptekst"/>
    </w:pPr>
  </w:p>
  <w:p w14:paraId="06892216" w14:textId="77777777" w:rsidR="0044605E" w:rsidRDefault="0044605E" w:rsidP="00BC4AE3">
    <w:pPr>
      <w:pStyle w:val="Koptekst"/>
    </w:pPr>
  </w:p>
  <w:p w14:paraId="55ED5412" w14:textId="77777777" w:rsidR="0044605E" w:rsidRDefault="0044605E" w:rsidP="00BC4AE3">
    <w:pPr>
      <w:pStyle w:val="Koptekst"/>
    </w:pPr>
  </w:p>
  <w:p w14:paraId="0CBF2B9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902A2E">
      <w:start w:val="1"/>
      <w:numFmt w:val="bullet"/>
      <w:pStyle w:val="Lijstopsomteken"/>
      <w:lvlText w:val="•"/>
      <w:lvlJc w:val="left"/>
      <w:pPr>
        <w:tabs>
          <w:tab w:val="num" w:pos="227"/>
        </w:tabs>
        <w:ind w:left="227" w:hanging="227"/>
      </w:pPr>
      <w:rPr>
        <w:rFonts w:ascii="Verdana" w:hAnsi="Verdana" w:hint="default"/>
        <w:sz w:val="18"/>
        <w:szCs w:val="18"/>
      </w:rPr>
    </w:lvl>
    <w:lvl w:ilvl="1" w:tplc="A2200F12" w:tentative="1">
      <w:start w:val="1"/>
      <w:numFmt w:val="bullet"/>
      <w:lvlText w:val="o"/>
      <w:lvlJc w:val="left"/>
      <w:pPr>
        <w:tabs>
          <w:tab w:val="num" w:pos="1440"/>
        </w:tabs>
        <w:ind w:left="1440" w:hanging="360"/>
      </w:pPr>
      <w:rPr>
        <w:rFonts w:ascii="Courier New" w:hAnsi="Courier New" w:cs="Courier New" w:hint="default"/>
      </w:rPr>
    </w:lvl>
    <w:lvl w:ilvl="2" w:tplc="69401424" w:tentative="1">
      <w:start w:val="1"/>
      <w:numFmt w:val="bullet"/>
      <w:lvlText w:val=""/>
      <w:lvlJc w:val="left"/>
      <w:pPr>
        <w:tabs>
          <w:tab w:val="num" w:pos="2160"/>
        </w:tabs>
        <w:ind w:left="2160" w:hanging="360"/>
      </w:pPr>
      <w:rPr>
        <w:rFonts w:ascii="Wingdings" w:hAnsi="Wingdings" w:hint="default"/>
      </w:rPr>
    </w:lvl>
    <w:lvl w:ilvl="3" w:tplc="127ED406" w:tentative="1">
      <w:start w:val="1"/>
      <w:numFmt w:val="bullet"/>
      <w:lvlText w:val=""/>
      <w:lvlJc w:val="left"/>
      <w:pPr>
        <w:tabs>
          <w:tab w:val="num" w:pos="2880"/>
        </w:tabs>
        <w:ind w:left="2880" w:hanging="360"/>
      </w:pPr>
      <w:rPr>
        <w:rFonts w:ascii="Symbol" w:hAnsi="Symbol" w:hint="default"/>
      </w:rPr>
    </w:lvl>
    <w:lvl w:ilvl="4" w:tplc="8B7C9022" w:tentative="1">
      <w:start w:val="1"/>
      <w:numFmt w:val="bullet"/>
      <w:lvlText w:val="o"/>
      <w:lvlJc w:val="left"/>
      <w:pPr>
        <w:tabs>
          <w:tab w:val="num" w:pos="3600"/>
        </w:tabs>
        <w:ind w:left="3600" w:hanging="360"/>
      </w:pPr>
      <w:rPr>
        <w:rFonts w:ascii="Courier New" w:hAnsi="Courier New" w:cs="Courier New" w:hint="default"/>
      </w:rPr>
    </w:lvl>
    <w:lvl w:ilvl="5" w:tplc="E5DA6BB8" w:tentative="1">
      <w:start w:val="1"/>
      <w:numFmt w:val="bullet"/>
      <w:lvlText w:val=""/>
      <w:lvlJc w:val="left"/>
      <w:pPr>
        <w:tabs>
          <w:tab w:val="num" w:pos="4320"/>
        </w:tabs>
        <w:ind w:left="4320" w:hanging="360"/>
      </w:pPr>
      <w:rPr>
        <w:rFonts w:ascii="Wingdings" w:hAnsi="Wingdings" w:hint="default"/>
      </w:rPr>
    </w:lvl>
    <w:lvl w:ilvl="6" w:tplc="CCC41E04" w:tentative="1">
      <w:start w:val="1"/>
      <w:numFmt w:val="bullet"/>
      <w:lvlText w:val=""/>
      <w:lvlJc w:val="left"/>
      <w:pPr>
        <w:tabs>
          <w:tab w:val="num" w:pos="5040"/>
        </w:tabs>
        <w:ind w:left="5040" w:hanging="360"/>
      </w:pPr>
      <w:rPr>
        <w:rFonts w:ascii="Symbol" w:hAnsi="Symbol" w:hint="default"/>
      </w:rPr>
    </w:lvl>
    <w:lvl w:ilvl="7" w:tplc="0636B14E" w:tentative="1">
      <w:start w:val="1"/>
      <w:numFmt w:val="bullet"/>
      <w:lvlText w:val="o"/>
      <w:lvlJc w:val="left"/>
      <w:pPr>
        <w:tabs>
          <w:tab w:val="num" w:pos="5760"/>
        </w:tabs>
        <w:ind w:left="5760" w:hanging="360"/>
      </w:pPr>
      <w:rPr>
        <w:rFonts w:ascii="Courier New" w:hAnsi="Courier New" w:cs="Courier New" w:hint="default"/>
      </w:rPr>
    </w:lvl>
    <w:lvl w:ilvl="8" w:tplc="A51A72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16EFBE0">
      <w:start w:val="1"/>
      <w:numFmt w:val="bullet"/>
      <w:pStyle w:val="Lijstopsomteken2"/>
      <w:lvlText w:val="–"/>
      <w:lvlJc w:val="left"/>
      <w:pPr>
        <w:tabs>
          <w:tab w:val="num" w:pos="227"/>
        </w:tabs>
        <w:ind w:left="227" w:firstLine="0"/>
      </w:pPr>
      <w:rPr>
        <w:rFonts w:ascii="Verdana" w:hAnsi="Verdana" w:hint="default"/>
      </w:rPr>
    </w:lvl>
    <w:lvl w:ilvl="1" w:tplc="551A5460" w:tentative="1">
      <w:start w:val="1"/>
      <w:numFmt w:val="bullet"/>
      <w:lvlText w:val="o"/>
      <w:lvlJc w:val="left"/>
      <w:pPr>
        <w:tabs>
          <w:tab w:val="num" w:pos="1440"/>
        </w:tabs>
        <w:ind w:left="1440" w:hanging="360"/>
      </w:pPr>
      <w:rPr>
        <w:rFonts w:ascii="Courier New" w:hAnsi="Courier New" w:cs="Courier New" w:hint="default"/>
      </w:rPr>
    </w:lvl>
    <w:lvl w:ilvl="2" w:tplc="60A61904" w:tentative="1">
      <w:start w:val="1"/>
      <w:numFmt w:val="bullet"/>
      <w:lvlText w:val=""/>
      <w:lvlJc w:val="left"/>
      <w:pPr>
        <w:tabs>
          <w:tab w:val="num" w:pos="2160"/>
        </w:tabs>
        <w:ind w:left="2160" w:hanging="360"/>
      </w:pPr>
      <w:rPr>
        <w:rFonts w:ascii="Wingdings" w:hAnsi="Wingdings" w:hint="default"/>
      </w:rPr>
    </w:lvl>
    <w:lvl w:ilvl="3" w:tplc="28AA6B5E" w:tentative="1">
      <w:start w:val="1"/>
      <w:numFmt w:val="bullet"/>
      <w:lvlText w:val=""/>
      <w:lvlJc w:val="left"/>
      <w:pPr>
        <w:tabs>
          <w:tab w:val="num" w:pos="2880"/>
        </w:tabs>
        <w:ind w:left="2880" w:hanging="360"/>
      </w:pPr>
      <w:rPr>
        <w:rFonts w:ascii="Symbol" w:hAnsi="Symbol" w:hint="default"/>
      </w:rPr>
    </w:lvl>
    <w:lvl w:ilvl="4" w:tplc="596E3416" w:tentative="1">
      <w:start w:val="1"/>
      <w:numFmt w:val="bullet"/>
      <w:lvlText w:val="o"/>
      <w:lvlJc w:val="left"/>
      <w:pPr>
        <w:tabs>
          <w:tab w:val="num" w:pos="3600"/>
        </w:tabs>
        <w:ind w:left="3600" w:hanging="360"/>
      </w:pPr>
      <w:rPr>
        <w:rFonts w:ascii="Courier New" w:hAnsi="Courier New" w:cs="Courier New" w:hint="default"/>
      </w:rPr>
    </w:lvl>
    <w:lvl w:ilvl="5" w:tplc="823839A4" w:tentative="1">
      <w:start w:val="1"/>
      <w:numFmt w:val="bullet"/>
      <w:lvlText w:val=""/>
      <w:lvlJc w:val="left"/>
      <w:pPr>
        <w:tabs>
          <w:tab w:val="num" w:pos="4320"/>
        </w:tabs>
        <w:ind w:left="4320" w:hanging="360"/>
      </w:pPr>
      <w:rPr>
        <w:rFonts w:ascii="Wingdings" w:hAnsi="Wingdings" w:hint="default"/>
      </w:rPr>
    </w:lvl>
    <w:lvl w:ilvl="6" w:tplc="AEE0340C" w:tentative="1">
      <w:start w:val="1"/>
      <w:numFmt w:val="bullet"/>
      <w:lvlText w:val=""/>
      <w:lvlJc w:val="left"/>
      <w:pPr>
        <w:tabs>
          <w:tab w:val="num" w:pos="5040"/>
        </w:tabs>
        <w:ind w:left="5040" w:hanging="360"/>
      </w:pPr>
      <w:rPr>
        <w:rFonts w:ascii="Symbol" w:hAnsi="Symbol" w:hint="default"/>
      </w:rPr>
    </w:lvl>
    <w:lvl w:ilvl="7" w:tplc="00F06238" w:tentative="1">
      <w:start w:val="1"/>
      <w:numFmt w:val="bullet"/>
      <w:lvlText w:val="o"/>
      <w:lvlJc w:val="left"/>
      <w:pPr>
        <w:tabs>
          <w:tab w:val="num" w:pos="5760"/>
        </w:tabs>
        <w:ind w:left="5760" w:hanging="360"/>
      </w:pPr>
      <w:rPr>
        <w:rFonts w:ascii="Courier New" w:hAnsi="Courier New" w:cs="Courier New" w:hint="default"/>
      </w:rPr>
    </w:lvl>
    <w:lvl w:ilvl="8" w:tplc="530EB4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2669476">
    <w:abstractNumId w:val="10"/>
  </w:num>
  <w:num w:numId="2" w16cid:durableId="1635408675">
    <w:abstractNumId w:val="7"/>
  </w:num>
  <w:num w:numId="3" w16cid:durableId="1456095286">
    <w:abstractNumId w:val="6"/>
  </w:num>
  <w:num w:numId="4" w16cid:durableId="1837958110">
    <w:abstractNumId w:val="5"/>
  </w:num>
  <w:num w:numId="5" w16cid:durableId="1363285986">
    <w:abstractNumId w:val="4"/>
  </w:num>
  <w:num w:numId="6" w16cid:durableId="1011449493">
    <w:abstractNumId w:val="8"/>
  </w:num>
  <w:num w:numId="7" w16cid:durableId="279343076">
    <w:abstractNumId w:val="3"/>
  </w:num>
  <w:num w:numId="8" w16cid:durableId="2026863326">
    <w:abstractNumId w:val="2"/>
  </w:num>
  <w:num w:numId="9" w16cid:durableId="2127772212">
    <w:abstractNumId w:val="1"/>
  </w:num>
  <w:num w:numId="10" w16cid:durableId="471753917">
    <w:abstractNumId w:val="0"/>
  </w:num>
  <w:num w:numId="11" w16cid:durableId="371004124">
    <w:abstractNumId w:val="9"/>
  </w:num>
  <w:num w:numId="12" w16cid:durableId="593629054">
    <w:abstractNumId w:val="11"/>
  </w:num>
  <w:num w:numId="13" w16cid:durableId="1459690474">
    <w:abstractNumId w:val="13"/>
  </w:num>
  <w:num w:numId="14" w16cid:durableId="14732117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5D0B"/>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77C"/>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F54"/>
    <w:rsid w:val="00307B3C"/>
    <w:rsid w:val="00310EF2"/>
    <w:rsid w:val="003115A6"/>
    <w:rsid w:val="00312597"/>
    <w:rsid w:val="00322836"/>
    <w:rsid w:val="0033293F"/>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97625"/>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506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4302"/>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2B28"/>
    <w:rsid w:val="00735D88"/>
    <w:rsid w:val="0073720D"/>
    <w:rsid w:val="00737507"/>
    <w:rsid w:val="00740712"/>
    <w:rsid w:val="00741309"/>
    <w:rsid w:val="00742AB9"/>
    <w:rsid w:val="00751A6A"/>
    <w:rsid w:val="00754FBF"/>
    <w:rsid w:val="007615AC"/>
    <w:rsid w:val="00764585"/>
    <w:rsid w:val="007661C9"/>
    <w:rsid w:val="007676FA"/>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5E36"/>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47CD"/>
    <w:rsid w:val="0085402E"/>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5435"/>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67EF4"/>
    <w:rsid w:val="00A715F8"/>
    <w:rsid w:val="00A741BA"/>
    <w:rsid w:val="00A773CC"/>
    <w:rsid w:val="00A77F6F"/>
    <w:rsid w:val="00A831FD"/>
    <w:rsid w:val="00A83352"/>
    <w:rsid w:val="00A850A2"/>
    <w:rsid w:val="00A91FA3"/>
    <w:rsid w:val="00A927D3"/>
    <w:rsid w:val="00A9429A"/>
    <w:rsid w:val="00AA1A58"/>
    <w:rsid w:val="00AA70B0"/>
    <w:rsid w:val="00AA7FC9"/>
    <w:rsid w:val="00AB237D"/>
    <w:rsid w:val="00AB50E6"/>
    <w:rsid w:val="00AB5933"/>
    <w:rsid w:val="00AD34B3"/>
    <w:rsid w:val="00AD5B44"/>
    <w:rsid w:val="00AD678B"/>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5F8B"/>
    <w:rsid w:val="00B26CCF"/>
    <w:rsid w:val="00B30FC2"/>
    <w:rsid w:val="00B31BA0"/>
    <w:rsid w:val="00B331A2"/>
    <w:rsid w:val="00B33CF2"/>
    <w:rsid w:val="00B350A2"/>
    <w:rsid w:val="00B37113"/>
    <w:rsid w:val="00B425F0"/>
    <w:rsid w:val="00B42DFA"/>
    <w:rsid w:val="00B50571"/>
    <w:rsid w:val="00B531DD"/>
    <w:rsid w:val="00B55014"/>
    <w:rsid w:val="00B60D4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3515"/>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47D17"/>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6CB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10FB"/>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41A"/>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95889"/>
  <w15:docId w15:val="{62A0AC76-51D2-4B5D-AFC5-AEEBE7E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AD678B"/>
    <w:rPr>
      <w:sz w:val="16"/>
      <w:szCs w:val="16"/>
    </w:rPr>
  </w:style>
  <w:style w:type="paragraph" w:styleId="Tekstopmerking">
    <w:name w:val="annotation text"/>
    <w:basedOn w:val="Standaard"/>
    <w:link w:val="TekstopmerkingChar"/>
    <w:uiPriority w:val="99"/>
    <w:unhideWhenUsed/>
    <w:rsid w:val="00AD678B"/>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AD678B"/>
    <w:rPr>
      <w:rFonts w:asciiTheme="minorHAnsi" w:eastAsiaTheme="minorHAnsi" w:hAnsiTheme="minorHAnsi" w:cstheme="minorBidi"/>
      <w:lang w:val="nl-NL"/>
    </w:rPr>
  </w:style>
  <w:style w:type="paragraph" w:styleId="Voetnoottekst">
    <w:name w:val="footnote text"/>
    <w:basedOn w:val="Standaard"/>
    <w:link w:val="VoetnoottekstChar"/>
    <w:rsid w:val="00AD678B"/>
    <w:pPr>
      <w:spacing w:line="240" w:lineRule="auto"/>
    </w:pPr>
    <w:rPr>
      <w:sz w:val="20"/>
      <w:szCs w:val="20"/>
    </w:rPr>
  </w:style>
  <w:style w:type="character" w:customStyle="1" w:styleId="VoetnoottekstChar">
    <w:name w:val="Voetnoottekst Char"/>
    <w:basedOn w:val="Standaardalinea-lettertype"/>
    <w:link w:val="Voetnoottekst"/>
    <w:rsid w:val="00AD678B"/>
    <w:rPr>
      <w:rFonts w:ascii="Verdana" w:hAnsi="Verdana"/>
      <w:lang w:val="nl-NL" w:eastAsia="nl-NL"/>
    </w:rPr>
  </w:style>
  <w:style w:type="character" w:styleId="Voetnootmarkering">
    <w:name w:val="footnote reference"/>
    <w:basedOn w:val="Standaardalinea-lettertype"/>
    <w:rsid w:val="00AD678B"/>
    <w:rPr>
      <w:vertAlign w:val="superscript"/>
    </w:rPr>
  </w:style>
  <w:style w:type="paragraph" w:customStyle="1" w:styleId="Default">
    <w:name w:val="Default"/>
    <w:rsid w:val="008447CD"/>
    <w:pPr>
      <w:autoSpaceDE w:val="0"/>
      <w:autoSpaceDN w:val="0"/>
      <w:adjustRightInd w:val="0"/>
    </w:pPr>
    <w:rPr>
      <w:rFonts w:ascii="Calibri" w:hAnsi="Calibri" w:cs="Calibri"/>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5981421-9238-4053-8c37-a228d6dc2f2e/file" TargetMode="External"/><Relationship Id="rId2" Type="http://schemas.openxmlformats.org/officeDocument/2006/relationships/hyperlink" Target="https://open.overheid.nl/documenten/55981421-9238-4053-8c37-a228d6dc2f2e/file" TargetMode="External"/><Relationship Id="rId1" Type="http://schemas.openxmlformats.org/officeDocument/2006/relationships/hyperlink" Target="https://www.aivd.nl/onderwerpen/jaarverslagen/documenten/jaarverslagen/2025/04/24/jaarverslag-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3068</ap:Words>
  <ap:Characters>16875</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2025-05-23T12:10:00.0000000Z</dcterms:created>
  <dcterms:modified xsi:type="dcterms:W3CDTF">2025-05-23T12:10:00.0000000Z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O201PHI</vt:lpwstr>
  </property>
  <property fmtid="{D5CDD505-2E9C-101B-9397-08002B2CF9AE}" pid="3" name="Author">
    <vt:lpwstr>O201PHI</vt:lpwstr>
  </property>
  <property fmtid="{D5CDD505-2E9C-101B-9397-08002B2CF9AE}" pid="4" name="cs_objectid">
    <vt:lpwstr>52056634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
  </property>
  <property fmtid="{D5CDD505-2E9C-101B-9397-08002B2CF9AE}" pid="8" name="ocw_directie">
    <vt:lpwstr>BOA/BA</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O201PHI</vt:lpwstr>
  </property>
</Properties>
</file>