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F7C" w:rsidR="0060790A" w:rsidP="00190F7C" w:rsidRDefault="0060790A" w14:paraId="1FA49416" w14:textId="24DEB312">
      <w:pPr>
        <w:ind w:left="1416" w:hanging="1416"/>
        <w:rPr>
          <w:rFonts w:ascii="Times New Roman" w:hAnsi="Times New Roman" w:cs="Times New Roman"/>
          <w:sz w:val="24"/>
          <w:szCs w:val="24"/>
        </w:rPr>
      </w:pPr>
      <w:r w:rsidRPr="00190F7C">
        <w:rPr>
          <w:rFonts w:ascii="Times New Roman" w:hAnsi="Times New Roman" w:cs="Times New Roman"/>
          <w:b/>
          <w:sz w:val="24"/>
          <w:szCs w:val="24"/>
        </w:rPr>
        <w:t>36</w:t>
      </w:r>
      <w:r w:rsidRPr="00190F7C" w:rsidR="00190F7C">
        <w:rPr>
          <w:rFonts w:ascii="Times New Roman" w:hAnsi="Times New Roman" w:cs="Times New Roman"/>
          <w:b/>
          <w:sz w:val="24"/>
          <w:szCs w:val="24"/>
        </w:rPr>
        <w:t xml:space="preserve"> </w:t>
      </w:r>
      <w:r w:rsidRPr="00190F7C">
        <w:rPr>
          <w:rFonts w:ascii="Times New Roman" w:hAnsi="Times New Roman" w:cs="Times New Roman"/>
          <w:b/>
          <w:sz w:val="24"/>
          <w:szCs w:val="24"/>
        </w:rPr>
        <w:t>731</w:t>
      </w:r>
      <w:r w:rsidRPr="00190F7C">
        <w:rPr>
          <w:rFonts w:ascii="Times New Roman" w:hAnsi="Times New Roman" w:cs="Times New Roman"/>
          <w:b/>
          <w:sz w:val="24"/>
          <w:szCs w:val="24"/>
        </w:rPr>
        <w:tab/>
      </w:r>
      <w:r w:rsidRPr="00190F7C" w:rsidR="00190F7C">
        <w:rPr>
          <w:rFonts w:ascii="Times New Roman" w:hAnsi="Times New Roman" w:cs="Times New Roman"/>
          <w:b/>
          <w:bCs/>
          <w:sz w:val="24"/>
          <w:szCs w:val="24"/>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p w:rsidRPr="00190F7C" w:rsidR="0060790A" w:rsidP="00190F7C" w:rsidRDefault="0060790A" w14:paraId="07D1CA71" w14:textId="11235926">
      <w:pPr>
        <w:spacing w:after="0"/>
        <w:rPr>
          <w:rFonts w:ascii="Times New Roman" w:hAnsi="Times New Roman" w:cs="Times New Roman"/>
          <w:b/>
          <w:sz w:val="24"/>
          <w:szCs w:val="24"/>
        </w:rPr>
      </w:pPr>
      <w:r w:rsidRPr="00190F7C">
        <w:rPr>
          <w:rFonts w:ascii="Times New Roman" w:hAnsi="Times New Roman" w:cs="Times New Roman"/>
          <w:b/>
          <w:sz w:val="24"/>
          <w:szCs w:val="24"/>
        </w:rPr>
        <w:t>Nr.</w:t>
      </w:r>
      <w:r w:rsidRPr="00190F7C" w:rsidR="00190F7C">
        <w:rPr>
          <w:rFonts w:ascii="Times New Roman" w:hAnsi="Times New Roman" w:cs="Times New Roman"/>
          <w:b/>
          <w:sz w:val="24"/>
          <w:szCs w:val="24"/>
        </w:rPr>
        <w:t xml:space="preserve"> 5</w:t>
      </w:r>
      <w:r w:rsidRPr="00190F7C">
        <w:rPr>
          <w:rFonts w:ascii="Times New Roman" w:hAnsi="Times New Roman" w:cs="Times New Roman"/>
          <w:b/>
          <w:sz w:val="24"/>
          <w:szCs w:val="24"/>
        </w:rPr>
        <w:tab/>
      </w:r>
      <w:r w:rsidRPr="00190F7C">
        <w:rPr>
          <w:rFonts w:ascii="Times New Roman" w:hAnsi="Times New Roman" w:cs="Times New Roman"/>
          <w:b/>
          <w:sz w:val="24"/>
          <w:szCs w:val="24"/>
        </w:rPr>
        <w:tab/>
        <w:t>Verslag</w:t>
      </w:r>
    </w:p>
    <w:p w:rsidRPr="00190F7C" w:rsidR="0060790A" w:rsidP="00190F7C" w:rsidRDefault="0060790A" w14:paraId="164FF83E" w14:textId="075C3AA2">
      <w:pPr>
        <w:spacing w:after="0"/>
        <w:rPr>
          <w:rFonts w:ascii="Times New Roman" w:hAnsi="Times New Roman" w:cs="Times New Roman"/>
          <w:sz w:val="24"/>
          <w:szCs w:val="24"/>
        </w:rPr>
      </w:pPr>
      <w:r w:rsidRPr="00190F7C">
        <w:rPr>
          <w:rFonts w:ascii="Times New Roman" w:hAnsi="Times New Roman" w:cs="Times New Roman"/>
          <w:b/>
          <w:sz w:val="24"/>
          <w:szCs w:val="24"/>
        </w:rPr>
        <w:tab/>
      </w:r>
      <w:r w:rsidRPr="00190F7C">
        <w:rPr>
          <w:rFonts w:ascii="Times New Roman" w:hAnsi="Times New Roman" w:cs="Times New Roman"/>
          <w:b/>
          <w:sz w:val="24"/>
          <w:szCs w:val="24"/>
        </w:rPr>
        <w:tab/>
      </w:r>
      <w:r w:rsidRPr="00190F7C">
        <w:rPr>
          <w:rFonts w:ascii="Times New Roman" w:hAnsi="Times New Roman" w:cs="Times New Roman"/>
          <w:sz w:val="24"/>
          <w:szCs w:val="24"/>
        </w:rPr>
        <w:t xml:space="preserve">Vastgesteld </w:t>
      </w:r>
      <w:r w:rsidRPr="00190F7C" w:rsidR="00190F7C">
        <w:rPr>
          <w:rFonts w:ascii="Times New Roman" w:hAnsi="Times New Roman" w:cs="Times New Roman"/>
          <w:sz w:val="24"/>
          <w:szCs w:val="24"/>
        </w:rPr>
        <w:t>23 mei 2025</w:t>
      </w:r>
      <w:r w:rsidRPr="00190F7C" w:rsidR="00190F7C">
        <w:rPr>
          <w:rFonts w:ascii="Times New Roman" w:hAnsi="Times New Roman" w:cs="Times New Roman"/>
          <w:sz w:val="24"/>
          <w:szCs w:val="24"/>
        </w:rPr>
        <w:br/>
      </w:r>
    </w:p>
    <w:p w:rsidRPr="00190F7C" w:rsidR="0060790A" w:rsidP="0060790A" w:rsidRDefault="0060790A" w14:paraId="14F315ED" w14:textId="77777777">
      <w:pPr>
        <w:ind w:left="1416"/>
        <w:rPr>
          <w:rFonts w:ascii="Times New Roman" w:hAnsi="Times New Roman" w:cs="Times New Roman"/>
          <w:sz w:val="24"/>
          <w:szCs w:val="24"/>
        </w:rPr>
      </w:pPr>
      <w:r w:rsidRPr="00190F7C">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190F7C" w:rsidR="0060790A" w:rsidP="0060790A" w:rsidRDefault="0060790A" w14:paraId="4C9CEFCD" w14:textId="77777777">
      <w:pPr>
        <w:pStyle w:val="Default"/>
        <w:rPr>
          <w:rFonts w:ascii="Times New Roman" w:hAnsi="Times New Roman" w:cs="Times New Roman"/>
          <w:b/>
          <w:color w:val="auto"/>
        </w:rPr>
      </w:pPr>
    </w:p>
    <w:p w:rsidRPr="00190F7C" w:rsidR="0060790A" w:rsidP="0060790A" w:rsidRDefault="0060790A" w14:paraId="3BA868FC" w14:textId="77777777">
      <w:pPr>
        <w:pStyle w:val="Default"/>
        <w:ind w:left="708" w:firstLine="708"/>
        <w:rPr>
          <w:rFonts w:ascii="Times New Roman" w:hAnsi="Times New Roman" w:cs="Times New Roman"/>
          <w:b/>
          <w:color w:val="auto"/>
        </w:rPr>
      </w:pPr>
      <w:r w:rsidRPr="00190F7C">
        <w:rPr>
          <w:rFonts w:ascii="Times New Roman" w:hAnsi="Times New Roman" w:cs="Times New Roman"/>
          <w:b/>
          <w:color w:val="auto"/>
        </w:rPr>
        <w:t>INHOUDSOPGAVE</w:t>
      </w:r>
    </w:p>
    <w:p w:rsidRPr="00190F7C" w:rsidR="0060790A" w:rsidP="0060790A" w:rsidRDefault="0060790A" w14:paraId="73F55803" w14:textId="77777777">
      <w:pPr>
        <w:pStyle w:val="Default"/>
        <w:ind w:left="708" w:firstLine="708"/>
        <w:rPr>
          <w:rFonts w:ascii="Times New Roman" w:hAnsi="Times New Roman" w:cs="Times New Roman"/>
          <w:b/>
          <w:color w:val="auto"/>
        </w:rPr>
      </w:pPr>
    </w:p>
    <w:p w:rsidRPr="00190F7C" w:rsidR="0060790A" w:rsidP="0060790A" w:rsidRDefault="0060790A" w14:paraId="2734EBFC" w14:textId="539DCA3A">
      <w:pPr>
        <w:pStyle w:val="Geenafstand"/>
        <w:ind w:left="1416"/>
        <w:rPr>
          <w:rFonts w:ascii="Times New Roman" w:hAnsi="Times New Roman" w:cs="Times New Roman"/>
          <w:bCs/>
          <w:i/>
          <w:iCs/>
          <w:sz w:val="24"/>
          <w:szCs w:val="24"/>
          <w:lang w:eastAsia="nl-NL"/>
        </w:rPr>
      </w:pPr>
      <w:r w:rsidRPr="00190F7C">
        <w:rPr>
          <w:rFonts w:ascii="Times New Roman" w:hAnsi="Times New Roman" w:cs="Times New Roman"/>
          <w:b/>
          <w:sz w:val="24"/>
          <w:szCs w:val="24"/>
          <w:lang w:eastAsia="nl-NL"/>
        </w:rPr>
        <w:t>ALGEMEEN</w:t>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F0405E">
        <w:rPr>
          <w:rFonts w:ascii="Times New Roman" w:hAnsi="Times New Roman" w:cs="Times New Roman"/>
          <w:b/>
          <w:sz w:val="24"/>
          <w:szCs w:val="24"/>
          <w:lang w:eastAsia="nl-NL"/>
        </w:rPr>
        <w:tab/>
      </w:r>
      <w:r w:rsidRPr="00190F7C" w:rsidR="003836E1">
        <w:rPr>
          <w:rFonts w:ascii="Times New Roman" w:hAnsi="Times New Roman" w:cs="Times New Roman"/>
          <w:bCs/>
          <w:sz w:val="24"/>
          <w:szCs w:val="24"/>
          <w:lang w:eastAsia="nl-NL"/>
        </w:rPr>
        <w:t>1</w:t>
      </w:r>
      <w:r w:rsidRPr="00190F7C">
        <w:rPr>
          <w:rFonts w:ascii="Times New Roman" w:hAnsi="Times New Roman" w:cs="Times New Roman"/>
          <w:b/>
          <w:sz w:val="24"/>
          <w:szCs w:val="24"/>
          <w:lang w:eastAsia="nl-NL"/>
        </w:rPr>
        <w:br/>
      </w:r>
      <w:r w:rsidRPr="00190F7C">
        <w:rPr>
          <w:rFonts w:ascii="Times New Roman" w:hAnsi="Times New Roman" w:cs="Times New Roman"/>
          <w:b/>
          <w:sz w:val="24"/>
          <w:szCs w:val="24"/>
          <w:lang w:eastAsia="nl-NL"/>
        </w:rPr>
        <w:br/>
        <w:t>1. Inleiding</w:t>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3836E1">
        <w:rPr>
          <w:rFonts w:ascii="Times New Roman" w:hAnsi="Times New Roman" w:cs="Times New Roman"/>
          <w:bCs/>
          <w:sz w:val="24"/>
          <w:szCs w:val="24"/>
          <w:lang w:eastAsia="nl-NL"/>
        </w:rPr>
        <w:t>1</w:t>
      </w:r>
      <w:r w:rsidRPr="00190F7C">
        <w:rPr>
          <w:rFonts w:ascii="Times New Roman" w:hAnsi="Times New Roman" w:cs="Times New Roman"/>
          <w:b/>
          <w:sz w:val="24"/>
          <w:szCs w:val="24"/>
          <w:lang w:eastAsia="nl-NL"/>
        </w:rPr>
        <w:br/>
      </w:r>
      <w:r w:rsidRPr="00190F7C">
        <w:rPr>
          <w:rFonts w:ascii="Times New Roman" w:hAnsi="Times New Roman" w:cs="Times New Roman"/>
          <w:b/>
          <w:sz w:val="24"/>
          <w:szCs w:val="24"/>
          <w:lang w:eastAsia="nl-NL"/>
        </w:rPr>
        <w:br/>
        <w:t>2. Context van het wetsvoorstel</w:t>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Cs/>
          <w:sz w:val="24"/>
          <w:szCs w:val="24"/>
          <w:lang w:eastAsia="nl-NL"/>
        </w:rPr>
        <w:t>3</w:t>
      </w:r>
      <w:r w:rsidRPr="00190F7C">
        <w:rPr>
          <w:rFonts w:ascii="Times New Roman" w:hAnsi="Times New Roman" w:cs="Times New Roman"/>
          <w:b/>
          <w:sz w:val="24"/>
          <w:szCs w:val="24"/>
          <w:lang w:eastAsia="nl-NL"/>
        </w:rPr>
        <w:br/>
      </w:r>
      <w:r w:rsidRPr="00190F7C">
        <w:rPr>
          <w:rFonts w:ascii="Times New Roman" w:hAnsi="Times New Roman" w:cs="Times New Roman"/>
          <w:bCs/>
          <w:i/>
          <w:iCs/>
          <w:sz w:val="24"/>
          <w:szCs w:val="24"/>
          <w:lang w:eastAsia="nl-NL"/>
        </w:rPr>
        <w:t>2.1 Aanleiding en doelstelling van de richtlijn</w:t>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sz w:val="24"/>
          <w:szCs w:val="24"/>
          <w:lang w:eastAsia="nl-NL"/>
        </w:rPr>
        <w:t>3</w:t>
      </w:r>
    </w:p>
    <w:p w:rsidRPr="00190F7C" w:rsidR="00737660" w:rsidP="004C1DBB" w:rsidRDefault="0060790A" w14:paraId="7BD00551" w14:textId="0571D842">
      <w:pPr>
        <w:pStyle w:val="Geenafstand"/>
        <w:ind w:left="1416"/>
        <w:rPr>
          <w:rFonts w:ascii="Times New Roman" w:hAnsi="Times New Roman" w:cs="Times New Roman"/>
          <w:bCs/>
          <w:i/>
          <w:iCs/>
          <w:sz w:val="24"/>
          <w:szCs w:val="24"/>
          <w:lang w:eastAsia="nl-NL"/>
        </w:rPr>
      </w:pPr>
      <w:r w:rsidRPr="00190F7C">
        <w:rPr>
          <w:rFonts w:ascii="Times New Roman" w:hAnsi="Times New Roman" w:cs="Times New Roman"/>
          <w:bCs/>
          <w:i/>
          <w:iCs/>
          <w:sz w:val="24"/>
          <w:szCs w:val="24"/>
          <w:lang w:eastAsia="nl-NL"/>
        </w:rPr>
        <w:t>2.2 Inhoud van de richtlijn</w:t>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sz w:val="24"/>
          <w:szCs w:val="24"/>
          <w:lang w:eastAsia="nl-NL"/>
        </w:rPr>
        <w:t>4</w:t>
      </w:r>
      <w:r w:rsidRPr="00190F7C">
        <w:rPr>
          <w:rFonts w:ascii="Times New Roman" w:hAnsi="Times New Roman" w:cs="Times New Roman"/>
          <w:bCs/>
          <w:i/>
          <w:iCs/>
          <w:sz w:val="24"/>
          <w:szCs w:val="24"/>
          <w:lang w:eastAsia="nl-NL"/>
        </w:rPr>
        <w:br/>
        <w:t xml:space="preserve">2.3 Anti-SLAPP aanbevelingen van de Europese Unie (EU) en van de </w:t>
      </w:r>
      <w:r w:rsidRPr="00190F7C" w:rsidR="004C1DBB">
        <w:rPr>
          <w:rFonts w:ascii="Times New Roman" w:hAnsi="Times New Roman" w:cs="Times New Roman"/>
          <w:bCs/>
          <w:i/>
          <w:iCs/>
          <w:sz w:val="24"/>
          <w:szCs w:val="24"/>
          <w:lang w:eastAsia="nl-NL"/>
        </w:rPr>
        <w:t xml:space="preserve">    </w:t>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sz w:val="24"/>
          <w:szCs w:val="24"/>
          <w:lang w:eastAsia="nl-NL"/>
        </w:rPr>
        <w:t>5</w:t>
      </w:r>
      <w:r w:rsidRPr="00190F7C" w:rsidR="004C1DBB">
        <w:rPr>
          <w:rFonts w:ascii="Times New Roman" w:hAnsi="Times New Roman" w:cs="Times New Roman"/>
          <w:bCs/>
          <w:i/>
          <w:iCs/>
          <w:sz w:val="24"/>
          <w:szCs w:val="24"/>
          <w:lang w:eastAsia="nl-NL"/>
        </w:rPr>
        <w:br/>
      </w:r>
      <w:r w:rsidRPr="00190F7C">
        <w:rPr>
          <w:rFonts w:ascii="Times New Roman" w:hAnsi="Times New Roman" w:cs="Times New Roman"/>
          <w:bCs/>
          <w:i/>
          <w:iCs/>
          <w:sz w:val="24"/>
          <w:szCs w:val="24"/>
          <w:lang w:eastAsia="nl-NL"/>
        </w:rPr>
        <w:t>Raad van Europa</w:t>
      </w:r>
      <w:r w:rsidRPr="00190F7C">
        <w:rPr>
          <w:rFonts w:ascii="Times New Roman" w:hAnsi="Times New Roman" w:cs="Times New Roman"/>
          <w:bCs/>
          <w:i/>
          <w:iCs/>
          <w:sz w:val="24"/>
          <w:szCs w:val="24"/>
          <w:lang w:eastAsia="nl-NL"/>
        </w:rPr>
        <w:br/>
        <w:t>2.4 Caribisch Nederland</w:t>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sz w:val="24"/>
          <w:szCs w:val="24"/>
          <w:lang w:eastAsia="nl-NL"/>
        </w:rPr>
        <w:t>5</w:t>
      </w:r>
      <w:r w:rsidRPr="00190F7C">
        <w:rPr>
          <w:rFonts w:ascii="Times New Roman" w:hAnsi="Times New Roman" w:cs="Times New Roman"/>
          <w:b/>
          <w:sz w:val="24"/>
          <w:szCs w:val="24"/>
          <w:lang w:eastAsia="nl-NL"/>
        </w:rPr>
        <w:br/>
      </w:r>
      <w:r w:rsidRPr="00190F7C">
        <w:rPr>
          <w:rFonts w:ascii="Times New Roman" w:hAnsi="Times New Roman" w:cs="Times New Roman"/>
          <w:b/>
          <w:sz w:val="24"/>
          <w:szCs w:val="24"/>
          <w:lang w:eastAsia="nl-NL"/>
        </w:rPr>
        <w:br/>
        <w:t>3. Implementatie richtlijn</w:t>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
          <w:sz w:val="24"/>
          <w:szCs w:val="24"/>
          <w:lang w:eastAsia="nl-NL"/>
        </w:rPr>
        <w:tab/>
      </w:r>
      <w:r w:rsidRPr="00190F7C" w:rsidR="004C1DBB">
        <w:rPr>
          <w:rFonts w:ascii="Times New Roman" w:hAnsi="Times New Roman" w:cs="Times New Roman"/>
          <w:bCs/>
          <w:sz w:val="24"/>
          <w:szCs w:val="24"/>
          <w:lang w:eastAsia="nl-NL"/>
        </w:rPr>
        <w:t>5</w:t>
      </w:r>
      <w:r w:rsidRPr="00190F7C">
        <w:rPr>
          <w:rFonts w:ascii="Times New Roman" w:hAnsi="Times New Roman" w:cs="Times New Roman"/>
          <w:b/>
          <w:sz w:val="24"/>
          <w:szCs w:val="24"/>
          <w:lang w:eastAsia="nl-NL"/>
        </w:rPr>
        <w:br/>
      </w:r>
      <w:r w:rsidRPr="00190F7C">
        <w:rPr>
          <w:rFonts w:ascii="Times New Roman" w:hAnsi="Times New Roman" w:cs="Times New Roman"/>
          <w:bCs/>
          <w:i/>
          <w:iCs/>
          <w:sz w:val="24"/>
          <w:szCs w:val="24"/>
          <w:lang w:eastAsia="nl-NL"/>
        </w:rPr>
        <w:t>3.1 Toepasselijkheid richtlijn</w:t>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i/>
          <w:iCs/>
          <w:sz w:val="24"/>
          <w:szCs w:val="24"/>
          <w:lang w:eastAsia="nl-NL"/>
        </w:rPr>
        <w:tab/>
      </w:r>
      <w:r w:rsidRPr="00190F7C" w:rsidR="004C1DBB">
        <w:rPr>
          <w:rFonts w:ascii="Times New Roman" w:hAnsi="Times New Roman" w:cs="Times New Roman"/>
          <w:bCs/>
          <w:sz w:val="24"/>
          <w:szCs w:val="24"/>
          <w:lang w:eastAsia="nl-NL"/>
        </w:rPr>
        <w:t>5</w:t>
      </w:r>
      <w:r w:rsidRPr="00190F7C">
        <w:rPr>
          <w:rFonts w:ascii="Times New Roman" w:hAnsi="Times New Roman" w:cs="Times New Roman"/>
          <w:b/>
          <w:sz w:val="24"/>
          <w:szCs w:val="24"/>
          <w:lang w:eastAsia="nl-NL"/>
        </w:rPr>
        <w:br/>
      </w:r>
      <w:r w:rsidRPr="00190F7C">
        <w:rPr>
          <w:rFonts w:ascii="Times New Roman" w:hAnsi="Times New Roman" w:cs="Times New Roman"/>
          <w:bCs/>
          <w:i/>
          <w:iCs/>
          <w:sz w:val="24"/>
          <w:szCs w:val="24"/>
          <w:lang w:eastAsia="nl-NL"/>
        </w:rPr>
        <w:t>3.2 Zekerheidstelling (artikel 6, eerste lid, onder a, en artikel 10 van de</w:t>
      </w:r>
      <w:r w:rsidRPr="00190F7C" w:rsidR="00737660">
        <w:rPr>
          <w:rFonts w:ascii="Times New Roman" w:hAnsi="Times New Roman" w:cs="Times New Roman"/>
          <w:bCs/>
          <w:i/>
          <w:iCs/>
          <w:sz w:val="24"/>
          <w:szCs w:val="24"/>
          <w:lang w:eastAsia="nl-NL"/>
        </w:rPr>
        <w:tab/>
      </w:r>
      <w:r w:rsidRPr="00190F7C" w:rsidR="00737660">
        <w:rPr>
          <w:rFonts w:ascii="Times New Roman" w:hAnsi="Times New Roman" w:cs="Times New Roman"/>
          <w:bCs/>
          <w:sz w:val="24"/>
          <w:szCs w:val="24"/>
          <w:lang w:eastAsia="nl-NL"/>
        </w:rPr>
        <w:t>8</w:t>
      </w:r>
      <w:r w:rsidRPr="00190F7C" w:rsidR="00737660">
        <w:rPr>
          <w:rFonts w:ascii="Times New Roman" w:hAnsi="Times New Roman" w:cs="Times New Roman"/>
          <w:bCs/>
          <w:i/>
          <w:iCs/>
          <w:sz w:val="24"/>
          <w:szCs w:val="24"/>
          <w:lang w:eastAsia="nl-NL"/>
        </w:rPr>
        <w:br/>
      </w:r>
      <w:r w:rsidRPr="00190F7C">
        <w:rPr>
          <w:rFonts w:ascii="Times New Roman" w:hAnsi="Times New Roman" w:cs="Times New Roman"/>
          <w:bCs/>
          <w:i/>
          <w:iCs/>
          <w:sz w:val="24"/>
          <w:szCs w:val="24"/>
          <w:lang w:eastAsia="nl-NL"/>
        </w:rPr>
        <w:t>richtlijn)</w:t>
      </w:r>
      <w:r w:rsidRPr="00190F7C">
        <w:rPr>
          <w:rFonts w:ascii="Times New Roman" w:hAnsi="Times New Roman" w:cs="Times New Roman"/>
          <w:bCs/>
          <w:i/>
          <w:iCs/>
          <w:sz w:val="24"/>
          <w:szCs w:val="24"/>
          <w:lang w:eastAsia="nl-NL"/>
        </w:rPr>
        <w:br/>
        <w:t xml:space="preserve">3.3 Vroegtijdige afwijzing (artikel 6, eerste lid, onder b, en artikel 11 </w:t>
      </w:r>
      <w:r w:rsidRPr="00190F7C" w:rsidR="00737660">
        <w:rPr>
          <w:rFonts w:ascii="Times New Roman" w:hAnsi="Times New Roman" w:cs="Times New Roman"/>
          <w:bCs/>
          <w:i/>
          <w:iCs/>
          <w:sz w:val="24"/>
          <w:szCs w:val="24"/>
          <w:lang w:eastAsia="nl-NL"/>
        </w:rPr>
        <w:tab/>
      </w:r>
      <w:r w:rsidRPr="00190F7C" w:rsidR="00737660">
        <w:rPr>
          <w:rFonts w:ascii="Times New Roman" w:hAnsi="Times New Roman" w:cs="Times New Roman"/>
          <w:bCs/>
          <w:sz w:val="24"/>
          <w:szCs w:val="24"/>
          <w:lang w:eastAsia="nl-NL"/>
        </w:rPr>
        <w:t>8</w:t>
      </w:r>
    </w:p>
    <w:p w:rsidRPr="00190F7C" w:rsidR="0092171C" w:rsidP="004C1DBB" w:rsidRDefault="0060790A" w14:paraId="08BDCCC9" w14:textId="5287958E">
      <w:pPr>
        <w:pStyle w:val="Geenafstand"/>
        <w:ind w:left="1416"/>
        <w:rPr>
          <w:rFonts w:ascii="Times New Roman" w:hAnsi="Times New Roman" w:cs="Times New Roman"/>
          <w:bCs/>
          <w:i/>
          <w:iCs/>
          <w:sz w:val="24"/>
          <w:szCs w:val="24"/>
          <w:lang w:eastAsia="nl-NL"/>
        </w:rPr>
      </w:pPr>
      <w:r w:rsidRPr="00190F7C">
        <w:rPr>
          <w:rFonts w:ascii="Times New Roman" w:hAnsi="Times New Roman" w:cs="Times New Roman"/>
          <w:bCs/>
          <w:i/>
          <w:iCs/>
          <w:sz w:val="24"/>
          <w:szCs w:val="24"/>
          <w:lang w:eastAsia="nl-NL"/>
        </w:rPr>
        <w:t>van de richtlijn)</w:t>
      </w:r>
      <w:r w:rsidRPr="00190F7C">
        <w:rPr>
          <w:rFonts w:ascii="Times New Roman" w:hAnsi="Times New Roman" w:cs="Times New Roman"/>
          <w:bCs/>
          <w:i/>
          <w:iCs/>
          <w:sz w:val="24"/>
          <w:szCs w:val="24"/>
          <w:lang w:eastAsia="nl-NL"/>
        </w:rPr>
        <w:br/>
        <w:t xml:space="preserve">3.4 Voorzieningen in rechte tegen misbruik van procesrecht gericht </w:t>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sz w:val="24"/>
          <w:szCs w:val="24"/>
          <w:lang w:eastAsia="nl-NL"/>
        </w:rPr>
        <w:t>9</w:t>
      </w:r>
    </w:p>
    <w:p w:rsidRPr="00190F7C" w:rsidR="0092171C" w:rsidP="004C1DBB" w:rsidRDefault="0060790A" w14:paraId="03592862" w14:textId="77777777">
      <w:pPr>
        <w:pStyle w:val="Geenafstand"/>
        <w:ind w:left="1416"/>
        <w:rPr>
          <w:rFonts w:ascii="Times New Roman" w:hAnsi="Times New Roman" w:cs="Times New Roman"/>
          <w:bCs/>
          <w:i/>
          <w:iCs/>
          <w:sz w:val="24"/>
          <w:szCs w:val="24"/>
          <w:lang w:eastAsia="nl-NL"/>
        </w:rPr>
      </w:pPr>
      <w:r w:rsidRPr="00190F7C">
        <w:rPr>
          <w:rFonts w:ascii="Times New Roman" w:hAnsi="Times New Roman" w:cs="Times New Roman"/>
          <w:bCs/>
          <w:i/>
          <w:iCs/>
          <w:sz w:val="24"/>
          <w:szCs w:val="24"/>
          <w:lang w:eastAsia="nl-NL"/>
        </w:rPr>
        <w:t xml:space="preserve">tegen publieke participatie (artikel 6, eerste lid, onder c, en </w:t>
      </w:r>
    </w:p>
    <w:p w:rsidRPr="00190F7C" w:rsidR="0060790A" w:rsidP="004C1DBB" w:rsidRDefault="0060790A" w14:paraId="297FF133" w14:textId="7465E042">
      <w:pPr>
        <w:pStyle w:val="Geenafstand"/>
        <w:ind w:left="1416"/>
        <w:rPr>
          <w:rFonts w:ascii="Times New Roman" w:hAnsi="Times New Roman" w:cs="Times New Roman"/>
          <w:bCs/>
          <w:i/>
          <w:iCs/>
          <w:sz w:val="24"/>
          <w:szCs w:val="24"/>
          <w:lang w:eastAsia="nl-NL"/>
        </w:rPr>
      </w:pPr>
      <w:r w:rsidRPr="00190F7C">
        <w:rPr>
          <w:rFonts w:ascii="Times New Roman" w:hAnsi="Times New Roman" w:cs="Times New Roman"/>
          <w:bCs/>
          <w:i/>
          <w:iCs/>
          <w:sz w:val="24"/>
          <w:szCs w:val="24"/>
          <w:lang w:eastAsia="nl-NL"/>
        </w:rPr>
        <w:t>artikel 14 en 15 van de richtlijn)</w:t>
      </w:r>
    </w:p>
    <w:p w:rsidRPr="00190F7C" w:rsidR="0060790A" w:rsidP="0060790A" w:rsidRDefault="0060790A" w14:paraId="2C54E9A6" w14:textId="05F1A764">
      <w:pPr>
        <w:pStyle w:val="Geenafstand"/>
        <w:ind w:left="1416"/>
        <w:rPr>
          <w:rFonts w:ascii="Times New Roman" w:hAnsi="Times New Roman" w:cs="Times New Roman"/>
          <w:b/>
          <w:sz w:val="24"/>
          <w:szCs w:val="24"/>
          <w:lang w:eastAsia="nl-NL"/>
        </w:rPr>
      </w:pPr>
      <w:r w:rsidRPr="00190F7C">
        <w:rPr>
          <w:rFonts w:ascii="Times New Roman" w:hAnsi="Times New Roman" w:cs="Times New Roman"/>
          <w:bCs/>
          <w:i/>
          <w:iCs/>
          <w:sz w:val="24"/>
          <w:szCs w:val="24"/>
          <w:lang w:eastAsia="nl-NL"/>
        </w:rPr>
        <w:t>3.5 Diversen</w:t>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92171C">
        <w:rPr>
          <w:rFonts w:ascii="Times New Roman" w:hAnsi="Times New Roman" w:cs="Times New Roman"/>
          <w:bCs/>
          <w:i/>
          <w:iCs/>
          <w:sz w:val="24"/>
          <w:szCs w:val="24"/>
          <w:lang w:eastAsia="nl-NL"/>
        </w:rPr>
        <w:tab/>
      </w:r>
      <w:r w:rsidRPr="00190F7C" w:rsidR="003836E1">
        <w:rPr>
          <w:rFonts w:ascii="Times New Roman" w:hAnsi="Times New Roman" w:cs="Times New Roman"/>
          <w:bCs/>
          <w:sz w:val="24"/>
          <w:szCs w:val="24"/>
          <w:lang w:eastAsia="nl-NL"/>
        </w:rPr>
        <w:t>9</w:t>
      </w:r>
    </w:p>
    <w:p w:rsidRPr="00190F7C" w:rsidR="0060790A" w:rsidP="0060790A" w:rsidRDefault="0060790A" w14:paraId="50946104" w14:textId="23984996">
      <w:pPr>
        <w:pStyle w:val="Geenafstand"/>
        <w:ind w:left="1416"/>
        <w:rPr>
          <w:rFonts w:ascii="Times New Roman" w:hAnsi="Times New Roman" w:cs="Times New Roman"/>
          <w:b/>
          <w:sz w:val="24"/>
          <w:szCs w:val="24"/>
        </w:rPr>
      </w:pPr>
      <w:r w:rsidRPr="00190F7C">
        <w:rPr>
          <w:rFonts w:ascii="Times New Roman" w:hAnsi="Times New Roman" w:cs="Times New Roman"/>
          <w:b/>
          <w:sz w:val="24"/>
          <w:szCs w:val="24"/>
          <w:lang w:eastAsia="nl-NL"/>
        </w:rPr>
        <w:br/>
        <w:t>4. Consultatie</w:t>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
          <w:sz w:val="24"/>
          <w:szCs w:val="24"/>
          <w:lang w:eastAsia="nl-NL"/>
        </w:rPr>
        <w:tab/>
      </w:r>
      <w:r w:rsidRPr="00190F7C" w:rsidR="0092171C">
        <w:rPr>
          <w:rFonts w:ascii="Times New Roman" w:hAnsi="Times New Roman" w:cs="Times New Roman"/>
          <w:bCs/>
          <w:sz w:val="24"/>
          <w:szCs w:val="24"/>
          <w:lang w:eastAsia="nl-NL"/>
        </w:rPr>
        <w:t>10</w:t>
      </w:r>
      <w:r w:rsidRPr="00190F7C">
        <w:rPr>
          <w:rFonts w:ascii="Times New Roman" w:hAnsi="Times New Roman" w:cs="Times New Roman"/>
          <w:b/>
          <w:sz w:val="24"/>
          <w:szCs w:val="24"/>
        </w:rPr>
        <w:br/>
      </w:r>
      <w:r w:rsidRPr="00190F7C">
        <w:rPr>
          <w:rFonts w:ascii="Times New Roman" w:hAnsi="Times New Roman" w:cs="Times New Roman"/>
          <w:b/>
          <w:sz w:val="24"/>
          <w:szCs w:val="24"/>
        </w:rPr>
        <w:br/>
        <w:t>OVERIG</w:t>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
          <w:sz w:val="24"/>
          <w:szCs w:val="24"/>
        </w:rPr>
        <w:tab/>
      </w:r>
      <w:r w:rsidRPr="00190F7C" w:rsidR="0092171C">
        <w:rPr>
          <w:rFonts w:ascii="Times New Roman" w:hAnsi="Times New Roman" w:cs="Times New Roman"/>
          <w:bCs/>
          <w:sz w:val="24"/>
          <w:szCs w:val="24"/>
        </w:rPr>
        <w:t>10</w:t>
      </w:r>
    </w:p>
    <w:p w:rsidRPr="00190F7C" w:rsidR="00326AA4" w:rsidP="0060790A" w:rsidRDefault="00326AA4" w14:paraId="6E6097E0" w14:textId="77777777">
      <w:pPr>
        <w:pStyle w:val="Geenafstand"/>
        <w:ind w:left="1416"/>
        <w:rPr>
          <w:rFonts w:ascii="Times New Roman" w:hAnsi="Times New Roman" w:cs="Times New Roman"/>
          <w:b/>
          <w:sz w:val="24"/>
          <w:szCs w:val="24"/>
        </w:rPr>
      </w:pPr>
    </w:p>
    <w:p w:rsidRPr="00190F7C" w:rsidR="00326AA4" w:rsidP="0060790A" w:rsidRDefault="00326AA4" w14:paraId="04F9B18E" w14:textId="77777777">
      <w:pPr>
        <w:pStyle w:val="Geenafstand"/>
        <w:ind w:left="1416"/>
        <w:rPr>
          <w:rFonts w:ascii="Times New Roman" w:hAnsi="Times New Roman" w:cs="Times New Roman"/>
          <w:b/>
          <w:sz w:val="24"/>
          <w:szCs w:val="24"/>
        </w:rPr>
      </w:pPr>
    </w:p>
    <w:p w:rsidRPr="00190F7C" w:rsidR="001653B4" w:rsidP="00B266B6" w:rsidRDefault="00326AA4" w14:paraId="7B5CAEB5" w14:textId="6C140C61">
      <w:pPr>
        <w:rPr>
          <w:rFonts w:ascii="Times New Roman" w:hAnsi="Times New Roman" w:cs="Times New Roman"/>
          <w:bCs/>
          <w:sz w:val="24"/>
          <w:szCs w:val="24"/>
          <w:lang w:eastAsia="nl-NL"/>
        </w:rPr>
      </w:pPr>
      <w:r w:rsidRPr="00190F7C">
        <w:rPr>
          <w:rFonts w:ascii="Times New Roman" w:hAnsi="Times New Roman" w:cs="Times New Roman"/>
          <w:b/>
          <w:sz w:val="24"/>
          <w:szCs w:val="24"/>
          <w:lang w:eastAsia="nl-NL"/>
        </w:rPr>
        <w:t>ALGEMEEN</w:t>
      </w:r>
      <w:r w:rsidRPr="00190F7C">
        <w:rPr>
          <w:rFonts w:ascii="Times New Roman" w:hAnsi="Times New Roman" w:cs="Times New Roman"/>
          <w:b/>
          <w:sz w:val="24"/>
          <w:szCs w:val="24"/>
          <w:lang w:eastAsia="nl-NL"/>
        </w:rPr>
        <w:br/>
      </w:r>
      <w:r w:rsidRPr="00190F7C">
        <w:rPr>
          <w:rFonts w:ascii="Times New Roman" w:hAnsi="Times New Roman" w:cs="Times New Roman"/>
          <w:b/>
          <w:sz w:val="24"/>
          <w:szCs w:val="24"/>
          <w:lang w:eastAsia="nl-NL"/>
        </w:rPr>
        <w:br/>
        <w:t>1. Inleiding</w:t>
      </w:r>
      <w:r w:rsidRPr="00190F7C" w:rsidR="00EA532B">
        <w:rPr>
          <w:rFonts w:ascii="Times New Roman" w:hAnsi="Times New Roman" w:cs="Times New Roman"/>
          <w:b/>
          <w:sz w:val="24"/>
          <w:szCs w:val="24"/>
          <w:lang w:eastAsia="nl-NL"/>
        </w:rPr>
        <w:br/>
      </w:r>
      <w:r w:rsidRPr="00190F7C">
        <w:rPr>
          <w:rFonts w:ascii="Times New Roman" w:hAnsi="Times New Roman" w:cs="Times New Roman"/>
          <w:b/>
          <w:sz w:val="24"/>
          <w:szCs w:val="24"/>
          <w:lang w:eastAsia="nl-NL"/>
        </w:rPr>
        <w:br/>
      </w:r>
      <w:r w:rsidRPr="00190F7C" w:rsidR="00446540">
        <w:rPr>
          <w:rFonts w:ascii="Times New Roman" w:hAnsi="Times New Roman" w:cs="Times New Roman"/>
          <w:bCs/>
          <w:sz w:val="24"/>
          <w:szCs w:val="24"/>
          <w:lang w:eastAsia="nl-NL"/>
        </w:rPr>
        <w:t xml:space="preserve">De leden van de </w:t>
      </w:r>
      <w:r w:rsidRPr="00190F7C" w:rsidR="00D71A07">
        <w:rPr>
          <w:rFonts w:ascii="Times New Roman" w:hAnsi="Times New Roman" w:cs="Times New Roman"/>
          <w:bCs/>
          <w:sz w:val="24"/>
          <w:szCs w:val="24"/>
          <w:lang w:eastAsia="nl-NL"/>
        </w:rPr>
        <w:t>GroenLinks-PvdA-</w:t>
      </w:r>
      <w:r w:rsidRPr="00190F7C" w:rsidR="00446540">
        <w:rPr>
          <w:rFonts w:ascii="Times New Roman" w:hAnsi="Times New Roman" w:cs="Times New Roman"/>
          <w:bCs/>
          <w:sz w:val="24"/>
          <w:szCs w:val="24"/>
          <w:lang w:eastAsia="nl-NL"/>
        </w:rPr>
        <w:t>fractie hebben met belangstelling kennisgenomen van het</w:t>
      </w:r>
      <w:r w:rsidRPr="00190F7C" w:rsidR="00EB6766">
        <w:rPr>
          <w:rFonts w:ascii="Times New Roman" w:hAnsi="Times New Roman" w:cs="Times New Roman"/>
          <w:bCs/>
          <w:sz w:val="24"/>
          <w:szCs w:val="24"/>
          <w:lang w:eastAsia="nl-NL"/>
        </w:rPr>
        <w:t xml:space="preserve"> </w:t>
      </w:r>
      <w:r w:rsidRPr="00190F7C" w:rsidR="00446540">
        <w:rPr>
          <w:rFonts w:ascii="Times New Roman" w:hAnsi="Times New Roman" w:cs="Times New Roman"/>
          <w:bCs/>
          <w:sz w:val="24"/>
          <w:szCs w:val="24"/>
          <w:lang w:eastAsia="nl-NL"/>
        </w:rPr>
        <w:lastRenderedPageBreak/>
        <w:t>wetsvoorstel</w:t>
      </w:r>
      <w:r w:rsidRPr="00190F7C" w:rsidR="00EB6766">
        <w:rPr>
          <w:rFonts w:ascii="Times New Roman" w:hAnsi="Times New Roman" w:cs="Times New Roman"/>
          <w:bCs/>
          <w:sz w:val="24"/>
          <w:szCs w:val="24"/>
          <w:lang w:eastAsia="nl-NL"/>
        </w:rPr>
        <w:t xml:space="preserve">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(hierna: </w:t>
      </w:r>
      <w:r w:rsidRPr="00190F7C" w:rsidR="002A7CA4">
        <w:rPr>
          <w:rFonts w:ascii="Times New Roman" w:hAnsi="Times New Roman" w:cs="Times New Roman"/>
          <w:bCs/>
          <w:sz w:val="24"/>
          <w:szCs w:val="24"/>
          <w:lang w:eastAsia="nl-NL"/>
        </w:rPr>
        <w:t xml:space="preserve">het </w:t>
      </w:r>
      <w:r w:rsidRPr="00190F7C" w:rsidR="00EB6766">
        <w:rPr>
          <w:rFonts w:ascii="Times New Roman" w:hAnsi="Times New Roman" w:cs="Times New Roman"/>
          <w:bCs/>
          <w:sz w:val="24"/>
          <w:szCs w:val="24"/>
          <w:lang w:eastAsia="nl-NL"/>
        </w:rPr>
        <w:t>wetsvoorstel)</w:t>
      </w:r>
      <w:r w:rsidRPr="00190F7C" w:rsidR="00446540">
        <w:rPr>
          <w:rFonts w:ascii="Times New Roman" w:hAnsi="Times New Roman" w:cs="Times New Roman"/>
          <w:bCs/>
          <w:sz w:val="24"/>
          <w:szCs w:val="24"/>
          <w:lang w:eastAsia="nl-NL"/>
        </w:rPr>
        <w:t xml:space="preserve">. </w:t>
      </w:r>
      <w:r w:rsidRPr="00190F7C" w:rsidR="00EB6766">
        <w:rPr>
          <w:rFonts w:ascii="Times New Roman" w:hAnsi="Times New Roman" w:cs="Times New Roman"/>
          <w:bCs/>
          <w:sz w:val="24"/>
          <w:szCs w:val="24"/>
          <w:lang w:eastAsia="nl-NL"/>
        </w:rPr>
        <w:t>Deze leden</w:t>
      </w:r>
      <w:r w:rsidRPr="00190F7C" w:rsidR="00446540">
        <w:rPr>
          <w:rFonts w:ascii="Times New Roman" w:hAnsi="Times New Roman" w:cs="Times New Roman"/>
          <w:bCs/>
          <w:sz w:val="24"/>
          <w:szCs w:val="24"/>
          <w:lang w:eastAsia="nl-NL"/>
        </w:rPr>
        <w:t xml:space="preserve"> delen de mening van de regering dat personen en organisaties die zijn betrokken bij publieke participatie</w:t>
      </w:r>
      <w:r w:rsidRPr="00190F7C" w:rsidR="00EB6766">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beter</w:t>
      </w:r>
      <w:r w:rsidRPr="00190F7C" w:rsidR="00EB6766">
        <w:rPr>
          <w:rFonts w:ascii="Times New Roman" w:hAnsi="Times New Roman" w:cs="Times New Roman"/>
          <w:bCs/>
          <w:sz w:val="24"/>
          <w:szCs w:val="24"/>
          <w:lang w:eastAsia="nl-NL"/>
        </w:rPr>
        <w:t>e</w:t>
      </w:r>
      <w:r w:rsidRPr="00190F7C" w:rsidR="00446540">
        <w:rPr>
          <w:rFonts w:ascii="Times New Roman" w:hAnsi="Times New Roman" w:cs="Times New Roman"/>
          <w:bCs/>
          <w:sz w:val="24"/>
          <w:szCs w:val="24"/>
          <w:lang w:eastAsia="nl-NL"/>
        </w:rPr>
        <w:t xml:space="preserve"> bescherming tegen kennelijk ongegronde vorderingen of misbruik van procesrecht moeten krijgen. Naar de mening van de</w:t>
      </w:r>
      <w:r w:rsidRPr="00190F7C" w:rsidR="00F5052A">
        <w:rPr>
          <w:rFonts w:ascii="Times New Roman" w:hAnsi="Times New Roman" w:cs="Times New Roman"/>
          <w:bCs/>
          <w:sz w:val="24"/>
          <w:szCs w:val="24"/>
          <w:lang w:eastAsia="nl-NL"/>
        </w:rPr>
        <w:t>ze</w:t>
      </w:r>
      <w:r w:rsidRPr="00190F7C" w:rsidR="00446540">
        <w:rPr>
          <w:rFonts w:ascii="Times New Roman" w:hAnsi="Times New Roman" w:cs="Times New Roman"/>
          <w:bCs/>
          <w:sz w:val="24"/>
          <w:szCs w:val="24"/>
          <w:lang w:eastAsia="nl-NL"/>
        </w:rPr>
        <w:t xml:space="preserve"> leden draagt het wetsvoorstel daaraan bij. </w:t>
      </w:r>
      <w:r w:rsidRPr="00190F7C" w:rsidR="00137B30">
        <w:rPr>
          <w:rFonts w:ascii="Times New Roman" w:hAnsi="Times New Roman" w:cs="Times New Roman"/>
          <w:bCs/>
          <w:sz w:val="24"/>
          <w:szCs w:val="24"/>
          <w:lang w:eastAsia="nl-NL"/>
        </w:rPr>
        <w:t>D</w:t>
      </w:r>
      <w:r w:rsidRPr="00190F7C" w:rsidR="00446540">
        <w:rPr>
          <w:rFonts w:ascii="Times New Roman" w:hAnsi="Times New Roman" w:cs="Times New Roman"/>
          <w:bCs/>
          <w:sz w:val="24"/>
          <w:szCs w:val="24"/>
          <w:lang w:eastAsia="nl-NL"/>
        </w:rPr>
        <w:t xml:space="preserve">eze leden </w:t>
      </w:r>
      <w:r w:rsidRPr="00190F7C" w:rsidR="003951B3">
        <w:rPr>
          <w:rFonts w:ascii="Times New Roman" w:hAnsi="Times New Roman" w:cs="Times New Roman"/>
          <w:bCs/>
          <w:sz w:val="24"/>
          <w:szCs w:val="24"/>
          <w:lang w:eastAsia="nl-NL"/>
        </w:rPr>
        <w:t xml:space="preserve">menen </w:t>
      </w:r>
      <w:r w:rsidRPr="00190F7C" w:rsidR="00137B30">
        <w:rPr>
          <w:rFonts w:ascii="Times New Roman" w:hAnsi="Times New Roman" w:cs="Times New Roman"/>
          <w:bCs/>
          <w:sz w:val="24"/>
          <w:szCs w:val="24"/>
          <w:lang w:eastAsia="nl-NL"/>
        </w:rPr>
        <w:t xml:space="preserve">echter </w:t>
      </w:r>
      <w:r w:rsidRPr="00190F7C" w:rsidR="00446540">
        <w:rPr>
          <w:rFonts w:ascii="Times New Roman" w:hAnsi="Times New Roman" w:cs="Times New Roman"/>
          <w:bCs/>
          <w:sz w:val="24"/>
          <w:szCs w:val="24"/>
          <w:lang w:eastAsia="nl-NL"/>
        </w:rPr>
        <w:t>ook dat met slechts het implementeren van de maatregel van zekerheidstelling</w:t>
      </w:r>
      <w:r w:rsidRPr="00190F7C" w:rsidR="00137B30">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het wetsvoorstel de mogelijkheid om de positie van personen en organisaties die zijn betrokken bij publieke participatie</w:t>
      </w:r>
      <w:r w:rsidRPr="00190F7C" w:rsidR="004C01C7">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verder te versterken ten onrechte laat lopen. Deze leden zullen hierop hieronder terugkomen.</w:t>
      </w:r>
      <w:r w:rsidRPr="00190F7C" w:rsidR="00EA532B">
        <w:rPr>
          <w:rFonts w:ascii="Times New Roman" w:hAnsi="Times New Roman" w:cs="Times New Roman"/>
          <w:b/>
          <w:sz w:val="24"/>
          <w:szCs w:val="24"/>
          <w:lang w:eastAsia="nl-NL"/>
        </w:rPr>
        <w:br/>
      </w:r>
      <w:r w:rsidRPr="00190F7C" w:rsidR="00EA532B">
        <w:rPr>
          <w:rFonts w:ascii="Times New Roman" w:hAnsi="Times New Roman" w:cs="Times New Roman"/>
          <w:b/>
          <w:sz w:val="24"/>
          <w:szCs w:val="24"/>
          <w:lang w:eastAsia="nl-NL"/>
        </w:rPr>
        <w:br/>
      </w:r>
      <w:r w:rsidRPr="00190F7C">
        <w:rPr>
          <w:rFonts w:ascii="Times New Roman" w:hAnsi="Times New Roman" w:cs="Times New Roman"/>
          <w:sz w:val="24"/>
          <w:szCs w:val="24"/>
        </w:rPr>
        <w:t xml:space="preserve">De leden van de VVD-fractie hebben kennisgenomen van het </w:t>
      </w:r>
      <w:r w:rsidRPr="00190F7C" w:rsidR="009C3959">
        <w:rPr>
          <w:rFonts w:ascii="Times New Roman" w:hAnsi="Times New Roman" w:cs="Times New Roman"/>
          <w:sz w:val="24"/>
          <w:szCs w:val="24"/>
        </w:rPr>
        <w:t>wets</w:t>
      </w:r>
      <w:r w:rsidRPr="00190F7C">
        <w:rPr>
          <w:rFonts w:ascii="Times New Roman" w:hAnsi="Times New Roman" w:cs="Times New Roman"/>
          <w:sz w:val="24"/>
          <w:szCs w:val="24"/>
        </w:rPr>
        <w:t>voorstel. De</w:t>
      </w:r>
      <w:r w:rsidRPr="00190F7C" w:rsidR="009C3959">
        <w:rPr>
          <w:rFonts w:ascii="Times New Roman" w:hAnsi="Times New Roman" w:cs="Times New Roman"/>
          <w:sz w:val="24"/>
          <w:szCs w:val="24"/>
        </w:rPr>
        <w:t>ze</w:t>
      </w:r>
      <w:r w:rsidRPr="00190F7C">
        <w:rPr>
          <w:rFonts w:ascii="Times New Roman" w:hAnsi="Times New Roman" w:cs="Times New Roman"/>
          <w:sz w:val="24"/>
          <w:szCs w:val="24"/>
        </w:rPr>
        <w:t xml:space="preserve"> leden vinden het belangrijk dat wetswijzigingen bijdragen aan concrete oplossingen voor problemen van mensen in Nederland. Kan de regering aangeven welke problemen voor mensen in Nederland worden opgelost met het wetsvoorstel?</w:t>
      </w:r>
      <w:r w:rsidRPr="00190F7C" w:rsidR="00EA532B">
        <w:rPr>
          <w:rFonts w:ascii="Times New Roman" w:hAnsi="Times New Roman" w:cs="Times New Roman"/>
          <w:sz w:val="24"/>
          <w:szCs w:val="24"/>
        </w:rPr>
        <w:br/>
      </w:r>
      <w:r w:rsidRPr="00190F7C" w:rsidR="00BE4337">
        <w:rPr>
          <w:rFonts w:ascii="Times New Roman" w:hAnsi="Times New Roman" w:cs="Times New Roman"/>
          <w:sz w:val="24"/>
          <w:szCs w:val="24"/>
        </w:rPr>
        <w:br/>
      </w:r>
      <w:r w:rsidRPr="00190F7C">
        <w:rPr>
          <w:rFonts w:ascii="Times New Roman" w:hAnsi="Times New Roman" w:cs="Times New Roman"/>
          <w:sz w:val="24"/>
          <w:szCs w:val="24"/>
        </w:rPr>
        <w:t xml:space="preserve">De leden </w:t>
      </w:r>
      <w:r w:rsidRPr="00190F7C" w:rsidR="00BE4337">
        <w:rPr>
          <w:rFonts w:ascii="Times New Roman" w:hAnsi="Times New Roman" w:cs="Times New Roman"/>
          <w:sz w:val="24"/>
          <w:szCs w:val="24"/>
        </w:rPr>
        <w:t xml:space="preserve">van de VVD-fractie </w:t>
      </w:r>
      <w:r w:rsidRPr="00190F7C">
        <w:rPr>
          <w:rFonts w:ascii="Times New Roman" w:hAnsi="Times New Roman" w:cs="Times New Roman"/>
          <w:sz w:val="24"/>
          <w:szCs w:val="24"/>
        </w:rPr>
        <w:t>onderschrijven de stelling van de regering dat het doel van de richtlijn belangrijk is. In onze democratische rechtsstaat is het van essentieel belang dat journalisten, mensenrechtenverdedigers en onderzoekers hun essentiële werk in vrijheid en onbelemmerd kunnen doen. De</w:t>
      </w:r>
      <w:r w:rsidRPr="00190F7C" w:rsidR="00BE4337">
        <w:rPr>
          <w:rFonts w:ascii="Times New Roman" w:hAnsi="Times New Roman" w:cs="Times New Roman"/>
          <w:sz w:val="24"/>
          <w:szCs w:val="24"/>
        </w:rPr>
        <w:t>ze</w:t>
      </w:r>
      <w:r w:rsidRPr="00190F7C">
        <w:rPr>
          <w:rFonts w:ascii="Times New Roman" w:hAnsi="Times New Roman" w:cs="Times New Roman"/>
          <w:sz w:val="24"/>
          <w:szCs w:val="24"/>
        </w:rPr>
        <w:t xml:space="preserve"> leden ondersteunen dan ook </w:t>
      </w:r>
      <w:proofErr w:type="spellStart"/>
      <w:r w:rsidRPr="00190F7C">
        <w:rPr>
          <w:rFonts w:ascii="Times New Roman" w:hAnsi="Times New Roman" w:cs="Times New Roman"/>
          <w:sz w:val="24"/>
          <w:szCs w:val="24"/>
        </w:rPr>
        <w:t>PersVeilig</w:t>
      </w:r>
      <w:proofErr w:type="spellEnd"/>
      <w:r w:rsidRPr="00190F7C">
        <w:rPr>
          <w:rFonts w:ascii="Times New Roman" w:hAnsi="Times New Roman" w:cs="Times New Roman"/>
          <w:sz w:val="24"/>
          <w:szCs w:val="24"/>
        </w:rPr>
        <w:t xml:space="preserve"> en de Balie Persvrijheid</w:t>
      </w:r>
      <w:r w:rsidRPr="00190F7C" w:rsidR="00301E35">
        <w:rPr>
          <w:rFonts w:ascii="Times New Roman" w:hAnsi="Times New Roman" w:cs="Times New Roman"/>
          <w:sz w:val="24"/>
          <w:szCs w:val="24"/>
        </w:rPr>
        <w:t>,</w:t>
      </w:r>
      <w:r w:rsidRPr="00190F7C">
        <w:rPr>
          <w:rFonts w:ascii="Times New Roman" w:hAnsi="Times New Roman" w:cs="Times New Roman"/>
          <w:sz w:val="24"/>
          <w:szCs w:val="24"/>
        </w:rPr>
        <w:t xml:space="preserve"> waardoor journalisten voor juridische kwesties terechtkunnen bij de </w:t>
      </w:r>
      <w:r w:rsidRPr="00190F7C" w:rsidR="00301E35">
        <w:rPr>
          <w:rFonts w:ascii="Times New Roman" w:hAnsi="Times New Roman" w:cs="Times New Roman"/>
          <w:sz w:val="24"/>
          <w:szCs w:val="24"/>
        </w:rPr>
        <w:t>Nederlandse Vereniging van Journalisten</w:t>
      </w:r>
      <w:r w:rsidRPr="00190F7C">
        <w:rPr>
          <w:rFonts w:ascii="Times New Roman" w:hAnsi="Times New Roman" w:cs="Times New Roman"/>
          <w:sz w:val="24"/>
          <w:szCs w:val="24"/>
        </w:rPr>
        <w:t>. Kan de regering uiteenzetten welke andere initiatieven naast het wetsvoorstel worden ontplooid om ervoor te zorgen dat journalisten, wetenschappers, onderzoekers en anderen in vrijheid en zonder belemmeringen hun werk kunnen blijven doen?</w:t>
      </w:r>
      <w:r w:rsidRPr="00190F7C" w:rsidR="00EA532B">
        <w:rPr>
          <w:rFonts w:ascii="Times New Roman" w:hAnsi="Times New Roman" w:cs="Times New Roman"/>
          <w:sz w:val="24"/>
          <w:szCs w:val="24"/>
        </w:rPr>
        <w:br/>
      </w:r>
      <w:r w:rsidRPr="00190F7C" w:rsidR="00EA532B">
        <w:rPr>
          <w:rFonts w:ascii="Times New Roman" w:hAnsi="Times New Roman" w:cs="Times New Roman"/>
          <w:sz w:val="24"/>
          <w:szCs w:val="24"/>
        </w:rPr>
        <w:br/>
      </w:r>
      <w:r w:rsidRPr="00190F7C" w:rsidR="00446540">
        <w:rPr>
          <w:rFonts w:ascii="Times New Roman" w:hAnsi="Times New Roman" w:cs="Times New Roman"/>
          <w:bCs/>
          <w:sz w:val="24"/>
          <w:szCs w:val="24"/>
          <w:lang w:eastAsia="nl-NL"/>
        </w:rPr>
        <w:t xml:space="preserve">De leden van de </w:t>
      </w:r>
      <w:r w:rsidRPr="00190F7C" w:rsidR="005540E2">
        <w:rPr>
          <w:rFonts w:ascii="Times New Roman" w:hAnsi="Times New Roman" w:cs="Times New Roman"/>
          <w:bCs/>
          <w:sz w:val="24"/>
          <w:szCs w:val="24"/>
          <w:lang w:eastAsia="nl-NL"/>
        </w:rPr>
        <w:t>NSC-</w:t>
      </w:r>
      <w:r w:rsidRPr="00190F7C" w:rsidR="00446540">
        <w:rPr>
          <w:rFonts w:ascii="Times New Roman" w:hAnsi="Times New Roman" w:cs="Times New Roman"/>
          <w:bCs/>
          <w:sz w:val="24"/>
          <w:szCs w:val="24"/>
          <w:lang w:eastAsia="nl-NL"/>
        </w:rPr>
        <w:t>fractie hebben met belangstelling kennisgenomen van het wetsvoorstel en de bijbehorende stukken. Het is wat deze leden betreft onacceptabel dat in een democratische rechtsstaat deelnemers aan het publieke debat, zoals journalisten</w:t>
      </w:r>
      <w:r w:rsidRPr="00190F7C" w:rsidR="005540E2">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wetenschappers en onderzoekers, worden geïntimideerd of onder druk gezet. Het is volgens deze leden zeer onwenselijk als de druk van rechtszaken met kennelijk ongegronde vorderingen of misbruik van procesrecht zou leiden tot zelfcensuur. Uiteraard is het voor deze leden belangrijk dat iemand die wel een gegronde reden heeft om een rechtszaak te starten</w:t>
      </w:r>
      <w:r w:rsidRPr="00190F7C" w:rsidR="005540E2">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de gang naar een rechter kan benutten. Deze leden hebben nog een aantal vragen aan de regering.</w:t>
      </w:r>
      <w:r w:rsidRPr="00190F7C" w:rsidR="00EA532B">
        <w:rPr>
          <w:rFonts w:ascii="Times New Roman" w:hAnsi="Times New Roman" w:cs="Times New Roman"/>
          <w:bCs/>
          <w:sz w:val="24"/>
          <w:szCs w:val="24"/>
          <w:lang w:eastAsia="nl-NL"/>
        </w:rPr>
        <w:br/>
      </w:r>
      <w:r w:rsidRPr="00190F7C" w:rsidR="00EA532B">
        <w:rPr>
          <w:rFonts w:ascii="Times New Roman" w:hAnsi="Times New Roman" w:cs="Times New Roman"/>
          <w:bCs/>
          <w:sz w:val="24"/>
          <w:szCs w:val="24"/>
          <w:lang w:eastAsia="nl-NL"/>
        </w:rPr>
        <w:br/>
      </w:r>
      <w:r w:rsidRPr="00190F7C" w:rsidR="00446540">
        <w:rPr>
          <w:rFonts w:ascii="Times New Roman" w:hAnsi="Times New Roman" w:cs="Times New Roman"/>
          <w:bCs/>
          <w:sz w:val="24"/>
          <w:szCs w:val="24"/>
          <w:lang w:eastAsia="nl-NL"/>
        </w:rPr>
        <w:t>De leden van de D66-fractie hebben met veel belangstelling kennisgenomen van het wetsvoorstel. In een gezonde democratische rechtsstaat is het cruciaal dat journalisten, media en maatschappelijke organisaties vrij kunnen deelnemen aan het publieke debat. Strategische rechtszaken die enkel gericht zijn op ontmoediging of intimidatie</w:t>
      </w:r>
      <w:r w:rsidRPr="00190F7C" w:rsidR="00B266B6">
        <w:rPr>
          <w:rFonts w:ascii="Times New Roman" w:hAnsi="Times New Roman" w:cs="Times New Roman"/>
          <w:bCs/>
          <w:sz w:val="24"/>
          <w:szCs w:val="24"/>
          <w:lang w:eastAsia="nl-NL"/>
        </w:rPr>
        <w:t xml:space="preserve"> (in het Engels ‘</w:t>
      </w:r>
      <w:proofErr w:type="spellStart"/>
      <w:r w:rsidRPr="00190F7C" w:rsidR="00B266B6">
        <w:rPr>
          <w:rFonts w:ascii="Times New Roman" w:hAnsi="Times New Roman" w:cs="Times New Roman"/>
          <w:bCs/>
          <w:sz w:val="24"/>
          <w:szCs w:val="24"/>
          <w:lang w:eastAsia="nl-NL"/>
        </w:rPr>
        <w:t>strategic</w:t>
      </w:r>
      <w:proofErr w:type="spellEnd"/>
      <w:r w:rsidRPr="00190F7C" w:rsidR="00B266B6">
        <w:rPr>
          <w:rFonts w:ascii="Times New Roman" w:hAnsi="Times New Roman" w:cs="Times New Roman"/>
          <w:bCs/>
          <w:sz w:val="24"/>
          <w:szCs w:val="24"/>
          <w:lang w:eastAsia="nl-NL"/>
        </w:rPr>
        <w:t xml:space="preserve"> </w:t>
      </w:r>
      <w:proofErr w:type="spellStart"/>
      <w:r w:rsidRPr="00190F7C" w:rsidR="00B266B6">
        <w:rPr>
          <w:rFonts w:ascii="Times New Roman" w:hAnsi="Times New Roman" w:cs="Times New Roman"/>
          <w:bCs/>
          <w:sz w:val="24"/>
          <w:szCs w:val="24"/>
          <w:lang w:eastAsia="nl-NL"/>
        </w:rPr>
        <w:t>lawsuits</w:t>
      </w:r>
      <w:proofErr w:type="spellEnd"/>
      <w:r w:rsidRPr="00190F7C" w:rsidR="00B266B6">
        <w:rPr>
          <w:rFonts w:ascii="Times New Roman" w:hAnsi="Times New Roman" w:cs="Times New Roman"/>
          <w:bCs/>
          <w:sz w:val="24"/>
          <w:szCs w:val="24"/>
          <w:lang w:eastAsia="nl-NL"/>
        </w:rPr>
        <w:t xml:space="preserve"> </w:t>
      </w:r>
      <w:proofErr w:type="spellStart"/>
      <w:r w:rsidRPr="00190F7C" w:rsidR="00B266B6">
        <w:rPr>
          <w:rFonts w:ascii="Times New Roman" w:hAnsi="Times New Roman" w:cs="Times New Roman"/>
          <w:bCs/>
          <w:sz w:val="24"/>
          <w:szCs w:val="24"/>
          <w:lang w:eastAsia="nl-NL"/>
        </w:rPr>
        <w:t>against</w:t>
      </w:r>
      <w:proofErr w:type="spellEnd"/>
      <w:r w:rsidRPr="00190F7C" w:rsidR="00B266B6">
        <w:rPr>
          <w:rFonts w:ascii="Times New Roman" w:hAnsi="Times New Roman" w:cs="Times New Roman"/>
          <w:bCs/>
          <w:sz w:val="24"/>
          <w:szCs w:val="24"/>
          <w:lang w:eastAsia="nl-NL"/>
        </w:rPr>
        <w:t xml:space="preserve"> public </w:t>
      </w:r>
      <w:proofErr w:type="spellStart"/>
      <w:r w:rsidRPr="00190F7C" w:rsidR="00B266B6">
        <w:rPr>
          <w:rFonts w:ascii="Times New Roman" w:hAnsi="Times New Roman" w:cs="Times New Roman"/>
          <w:bCs/>
          <w:sz w:val="24"/>
          <w:szCs w:val="24"/>
          <w:lang w:eastAsia="nl-NL"/>
        </w:rPr>
        <w:t>participation</w:t>
      </w:r>
      <w:proofErr w:type="spellEnd"/>
      <w:r w:rsidRPr="00190F7C" w:rsidR="00B266B6">
        <w:rPr>
          <w:rFonts w:ascii="Times New Roman" w:hAnsi="Times New Roman" w:cs="Times New Roman"/>
          <w:bCs/>
          <w:sz w:val="24"/>
          <w:szCs w:val="24"/>
          <w:lang w:eastAsia="nl-NL"/>
        </w:rPr>
        <w:t xml:space="preserve">’, hierna: </w:t>
      </w:r>
      <w:proofErr w:type="spellStart"/>
      <w:r w:rsidRPr="00190F7C" w:rsidR="00B266B6">
        <w:rPr>
          <w:rFonts w:ascii="Times New Roman" w:hAnsi="Times New Roman" w:cs="Times New Roman"/>
          <w:bCs/>
          <w:sz w:val="24"/>
          <w:szCs w:val="24"/>
          <w:lang w:eastAsia="nl-NL"/>
        </w:rPr>
        <w:t>SLAPPs</w:t>
      </w:r>
      <w:proofErr w:type="spellEnd"/>
      <w:r w:rsidRPr="00190F7C" w:rsidR="00B266B6">
        <w:rPr>
          <w:rFonts w:ascii="Times New Roman" w:hAnsi="Times New Roman" w:cs="Times New Roman"/>
          <w:bCs/>
          <w:sz w:val="24"/>
          <w:szCs w:val="24"/>
          <w:lang w:eastAsia="nl-NL"/>
        </w:rPr>
        <w:t>)</w:t>
      </w:r>
      <w:r w:rsidRPr="00190F7C" w:rsidR="0025736B">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ondermijnen de democratie en moeten koste wat kost worden voorkomen. Een effectieve bescherming van SLAPP-doelwitten staat daarbij voorop. In dat kader hebben de</w:t>
      </w:r>
      <w:r w:rsidRPr="00190F7C" w:rsidR="0025736B">
        <w:rPr>
          <w:rFonts w:ascii="Times New Roman" w:hAnsi="Times New Roman" w:cs="Times New Roman"/>
          <w:bCs/>
          <w:sz w:val="24"/>
          <w:szCs w:val="24"/>
          <w:lang w:eastAsia="nl-NL"/>
        </w:rPr>
        <w:t>ze</w:t>
      </w:r>
      <w:r w:rsidRPr="00190F7C" w:rsidR="00446540">
        <w:rPr>
          <w:rFonts w:ascii="Times New Roman" w:hAnsi="Times New Roman" w:cs="Times New Roman"/>
          <w:bCs/>
          <w:sz w:val="24"/>
          <w:szCs w:val="24"/>
          <w:lang w:eastAsia="nl-NL"/>
        </w:rPr>
        <w:t xml:space="preserve"> leden nog een aantal vragen. </w:t>
      </w:r>
      <w:r w:rsidRPr="00190F7C" w:rsidR="00EA532B">
        <w:rPr>
          <w:rFonts w:ascii="Times New Roman" w:hAnsi="Times New Roman" w:cs="Times New Roman"/>
          <w:bCs/>
          <w:sz w:val="24"/>
          <w:szCs w:val="24"/>
          <w:lang w:eastAsia="nl-NL"/>
        </w:rPr>
        <w:br/>
      </w:r>
      <w:r w:rsidRPr="00190F7C" w:rsidR="00EA532B">
        <w:rPr>
          <w:rFonts w:ascii="Times New Roman" w:hAnsi="Times New Roman" w:cs="Times New Roman"/>
          <w:bCs/>
          <w:sz w:val="24"/>
          <w:szCs w:val="24"/>
          <w:lang w:eastAsia="nl-NL"/>
        </w:rPr>
        <w:br/>
      </w:r>
      <w:r w:rsidRPr="00190F7C">
        <w:rPr>
          <w:rStyle w:val="normaltextrun"/>
          <w:rFonts w:ascii="Times New Roman" w:hAnsi="Times New Roman" w:cs="Times New Roman"/>
          <w:sz w:val="24"/>
          <w:szCs w:val="24"/>
        </w:rPr>
        <w:t xml:space="preserve">De leden van de </w:t>
      </w:r>
      <w:r w:rsidRPr="00190F7C" w:rsidR="006179F0">
        <w:rPr>
          <w:rStyle w:val="normaltextrun"/>
          <w:rFonts w:ascii="Times New Roman" w:hAnsi="Times New Roman" w:cs="Times New Roman"/>
          <w:sz w:val="24"/>
          <w:szCs w:val="24"/>
        </w:rPr>
        <w:t>BBB-</w:t>
      </w:r>
      <w:r w:rsidRPr="00190F7C">
        <w:rPr>
          <w:rStyle w:val="normaltextrun"/>
          <w:rFonts w:ascii="Times New Roman" w:hAnsi="Times New Roman" w:cs="Times New Roman"/>
          <w:sz w:val="24"/>
          <w:szCs w:val="24"/>
        </w:rPr>
        <w:t xml:space="preserve">fractie hebben kennisgenomen van </w:t>
      </w:r>
      <w:r w:rsidRPr="00190F7C" w:rsidR="00181722">
        <w:rPr>
          <w:rStyle w:val="normaltextrun"/>
          <w:rFonts w:ascii="Times New Roman" w:hAnsi="Times New Roman" w:cs="Times New Roman"/>
          <w:sz w:val="24"/>
          <w:szCs w:val="24"/>
        </w:rPr>
        <w:t xml:space="preserve">het wetsvoorstel en hebben </w:t>
      </w:r>
      <w:r w:rsidRPr="00190F7C" w:rsidR="00181722">
        <w:rPr>
          <w:rStyle w:val="normaltextrun"/>
          <w:rFonts w:ascii="Times New Roman" w:hAnsi="Times New Roman" w:cs="Times New Roman"/>
          <w:sz w:val="24"/>
          <w:szCs w:val="24"/>
        </w:rPr>
        <w:lastRenderedPageBreak/>
        <w:t>daarover nog een aantal vragen.</w:t>
      </w:r>
      <w:r w:rsidRPr="00190F7C">
        <w:rPr>
          <w:rStyle w:val="eop"/>
          <w:rFonts w:ascii="Times New Roman" w:hAnsi="Times New Roman" w:cs="Times New Roman"/>
          <w:sz w:val="24"/>
          <w:szCs w:val="24"/>
        </w:rPr>
        <w:t> </w:t>
      </w:r>
      <w:r w:rsidRPr="00190F7C" w:rsidR="00EA532B">
        <w:rPr>
          <w:rFonts w:ascii="Times New Roman" w:hAnsi="Times New Roman" w:cs="Times New Roman"/>
          <w:sz w:val="24"/>
          <w:szCs w:val="24"/>
        </w:rPr>
        <w:br/>
      </w:r>
      <w:r w:rsidRPr="00190F7C" w:rsidR="00EA532B">
        <w:rPr>
          <w:rFonts w:ascii="Times New Roman" w:hAnsi="Times New Roman" w:cs="Times New Roman"/>
          <w:sz w:val="24"/>
          <w:szCs w:val="24"/>
        </w:rPr>
        <w:br/>
      </w:r>
      <w:r w:rsidRPr="00190F7C" w:rsidR="00446540">
        <w:rPr>
          <w:rFonts w:ascii="Times New Roman" w:hAnsi="Times New Roman" w:eastAsia="Calibri" w:cs="Times New Roman"/>
          <w:bCs/>
          <w:sz w:val="24"/>
          <w:szCs w:val="24"/>
        </w:rPr>
        <w:t xml:space="preserve">De leden van de CDA-fractie hebben met interesse kennisgenomen van </w:t>
      </w:r>
      <w:r w:rsidRPr="00190F7C" w:rsidR="00A53835">
        <w:rPr>
          <w:rFonts w:ascii="Times New Roman" w:hAnsi="Times New Roman" w:eastAsia="Calibri" w:cs="Times New Roman"/>
          <w:bCs/>
          <w:sz w:val="24"/>
          <w:szCs w:val="24"/>
        </w:rPr>
        <w:t>het wetsvoorstel</w:t>
      </w:r>
      <w:r w:rsidRPr="00190F7C" w:rsidR="00446540">
        <w:rPr>
          <w:rFonts w:ascii="Times New Roman" w:hAnsi="Times New Roman" w:eastAsia="Calibri" w:cs="Times New Roman"/>
          <w:bCs/>
          <w:sz w:val="24"/>
          <w:szCs w:val="24"/>
        </w:rPr>
        <w:t xml:space="preserve"> en maken graag van de gelegenheid gebruik om hierover nog enkele vragen te stellen aan de regering.</w:t>
      </w:r>
      <w:r w:rsidRPr="00190F7C" w:rsidR="00EA532B">
        <w:rPr>
          <w:rFonts w:ascii="Times New Roman" w:hAnsi="Times New Roman" w:eastAsia="Calibri" w:cs="Times New Roman"/>
          <w:bCs/>
          <w:sz w:val="24"/>
          <w:szCs w:val="24"/>
        </w:rPr>
        <w:br/>
      </w:r>
      <w:r w:rsidRPr="00190F7C" w:rsidR="00EA532B">
        <w:rPr>
          <w:rFonts w:ascii="Times New Roman" w:hAnsi="Times New Roman" w:eastAsia="Calibri" w:cs="Times New Roman"/>
          <w:bCs/>
          <w:sz w:val="24"/>
          <w:szCs w:val="24"/>
        </w:rPr>
        <w:br/>
      </w:r>
      <w:r w:rsidRPr="00190F7C">
        <w:rPr>
          <w:rFonts w:ascii="Times New Roman" w:hAnsi="Times New Roman" w:cs="Times New Roman"/>
          <w:sz w:val="24"/>
          <w:szCs w:val="24"/>
          <w:lang w:eastAsia="nl-NL" w:bidi="nl-NL"/>
        </w:rPr>
        <w:t xml:space="preserve">De leden van de SP-fractie hebben </w:t>
      </w:r>
      <w:r w:rsidRPr="00190F7C" w:rsidR="00A53835">
        <w:rPr>
          <w:rFonts w:ascii="Times New Roman" w:hAnsi="Times New Roman" w:cs="Times New Roman"/>
          <w:sz w:val="24"/>
          <w:szCs w:val="24"/>
          <w:lang w:eastAsia="nl-NL" w:bidi="nl-NL"/>
        </w:rPr>
        <w:t xml:space="preserve">het wetsvoorstel </w:t>
      </w:r>
      <w:r w:rsidRPr="00190F7C">
        <w:rPr>
          <w:rFonts w:ascii="Times New Roman" w:hAnsi="Times New Roman" w:cs="Times New Roman"/>
          <w:sz w:val="24"/>
          <w:szCs w:val="24"/>
          <w:lang w:eastAsia="nl-NL" w:bidi="nl-NL"/>
        </w:rPr>
        <w:t>gelezen. De</w:t>
      </w:r>
      <w:r w:rsidRPr="00190F7C" w:rsidR="00A53835">
        <w:rPr>
          <w:rFonts w:ascii="Times New Roman" w:hAnsi="Times New Roman" w:cs="Times New Roman"/>
          <w:sz w:val="24"/>
          <w:szCs w:val="24"/>
          <w:lang w:eastAsia="nl-NL" w:bidi="nl-NL"/>
        </w:rPr>
        <w:t>ze</w:t>
      </w:r>
      <w:r w:rsidRPr="00190F7C">
        <w:rPr>
          <w:rFonts w:ascii="Times New Roman" w:hAnsi="Times New Roman" w:cs="Times New Roman"/>
          <w:sz w:val="24"/>
          <w:szCs w:val="24"/>
          <w:lang w:eastAsia="nl-NL" w:bidi="nl-NL"/>
        </w:rPr>
        <w:t xml:space="preserve"> leden hebben hier nog een aantal vragen over.</w:t>
      </w:r>
      <w:r w:rsidRPr="00190F7C" w:rsidR="00EA532B">
        <w:rPr>
          <w:rFonts w:ascii="Times New Roman" w:hAnsi="Times New Roman" w:cs="Times New Roman"/>
          <w:sz w:val="24"/>
          <w:szCs w:val="24"/>
          <w:lang w:eastAsia="nl-NL" w:bidi="nl-NL"/>
        </w:rPr>
        <w:br/>
      </w:r>
      <w:r w:rsidRPr="00190F7C" w:rsidR="00EA532B">
        <w:rPr>
          <w:rFonts w:ascii="Times New Roman" w:hAnsi="Times New Roman" w:cs="Times New Roman"/>
          <w:sz w:val="24"/>
          <w:szCs w:val="24"/>
          <w:lang w:eastAsia="nl-NL" w:bidi="nl-NL"/>
        </w:rPr>
        <w:br/>
      </w:r>
      <w:r w:rsidRPr="00190F7C">
        <w:rPr>
          <w:rFonts w:ascii="Times New Roman" w:hAnsi="Times New Roman" w:cs="Times New Roman"/>
          <w:b/>
          <w:sz w:val="24"/>
          <w:szCs w:val="24"/>
          <w:lang w:eastAsia="nl-NL"/>
        </w:rPr>
        <w:t>2. Context van het wetsvoorstel</w:t>
      </w:r>
      <w:r w:rsidRPr="00190F7C" w:rsidR="00AE6589">
        <w:rPr>
          <w:rFonts w:ascii="Times New Roman" w:hAnsi="Times New Roman" w:cs="Times New Roman"/>
          <w:b/>
          <w:sz w:val="24"/>
          <w:szCs w:val="24"/>
          <w:lang w:eastAsia="nl-NL"/>
        </w:rPr>
        <w:br/>
      </w:r>
      <w:r w:rsidRPr="00190F7C" w:rsidR="00AE6589">
        <w:rPr>
          <w:rFonts w:ascii="Times New Roman" w:hAnsi="Times New Roman" w:cs="Times New Roman"/>
          <w:b/>
          <w:sz w:val="24"/>
          <w:szCs w:val="24"/>
          <w:lang w:eastAsia="nl-NL"/>
        </w:rPr>
        <w:br/>
      </w:r>
      <w:r w:rsidRPr="00190F7C">
        <w:rPr>
          <w:rFonts w:ascii="Times New Roman" w:hAnsi="Times New Roman" w:cs="Times New Roman"/>
          <w:bCs/>
          <w:i/>
          <w:iCs/>
          <w:sz w:val="24"/>
          <w:szCs w:val="24"/>
          <w:lang w:eastAsia="nl-NL"/>
        </w:rPr>
        <w:t>2.1 Aanleiding en doelstelling van de richtlijn</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 xml:space="preserve">Alhoewel het er niet naar uitziet dat </w:t>
      </w:r>
      <w:proofErr w:type="spellStart"/>
      <w:r w:rsidRPr="00190F7C">
        <w:rPr>
          <w:rFonts w:ascii="Times New Roman" w:hAnsi="Times New Roman" w:cs="Times New Roman"/>
          <w:sz w:val="24"/>
          <w:szCs w:val="24"/>
        </w:rPr>
        <w:t>SLAPPs</w:t>
      </w:r>
      <w:proofErr w:type="spellEnd"/>
      <w:r w:rsidRPr="00190F7C">
        <w:rPr>
          <w:rFonts w:ascii="Times New Roman" w:hAnsi="Times New Roman" w:cs="Times New Roman"/>
          <w:sz w:val="24"/>
          <w:szCs w:val="24"/>
        </w:rPr>
        <w:t xml:space="preserve"> stelselmatig of op grote schaal voorkomen in Nederland, is het voor de leden van de VVD-fractie belangrijk en een goede ontwikkeling dat er door de richtlijn en de aanbevelingen meer aandacht is gekomen voor het onderwerp. De</w:t>
      </w:r>
      <w:r w:rsidRPr="00190F7C" w:rsidR="00875402">
        <w:rPr>
          <w:rFonts w:ascii="Times New Roman" w:hAnsi="Times New Roman" w:cs="Times New Roman"/>
          <w:sz w:val="24"/>
          <w:szCs w:val="24"/>
        </w:rPr>
        <w:t>ze</w:t>
      </w:r>
      <w:r w:rsidRPr="00190F7C">
        <w:rPr>
          <w:rFonts w:ascii="Times New Roman" w:hAnsi="Times New Roman" w:cs="Times New Roman"/>
          <w:sz w:val="24"/>
          <w:szCs w:val="24"/>
        </w:rPr>
        <w:t xml:space="preserve"> leden vinden het voorstelbaar dat voorlichting en meer aandacht voor </w:t>
      </w:r>
      <w:proofErr w:type="spellStart"/>
      <w:r w:rsidRPr="00190F7C">
        <w:rPr>
          <w:rFonts w:ascii="Times New Roman" w:hAnsi="Times New Roman" w:cs="Times New Roman"/>
          <w:sz w:val="24"/>
          <w:szCs w:val="24"/>
        </w:rPr>
        <w:t>SLAPPs</w:t>
      </w:r>
      <w:proofErr w:type="spellEnd"/>
      <w:r w:rsidRPr="00190F7C">
        <w:rPr>
          <w:rFonts w:ascii="Times New Roman" w:hAnsi="Times New Roman" w:cs="Times New Roman"/>
          <w:sz w:val="24"/>
          <w:szCs w:val="24"/>
        </w:rPr>
        <w:t xml:space="preserve"> van belang zijn, temeer als </w:t>
      </w:r>
      <w:proofErr w:type="spellStart"/>
      <w:r w:rsidRPr="00190F7C">
        <w:rPr>
          <w:rFonts w:ascii="Times New Roman" w:hAnsi="Times New Roman" w:cs="Times New Roman"/>
          <w:sz w:val="24"/>
          <w:szCs w:val="24"/>
        </w:rPr>
        <w:t>SLAPPs</w:t>
      </w:r>
      <w:proofErr w:type="spellEnd"/>
      <w:r w:rsidRPr="00190F7C">
        <w:rPr>
          <w:rFonts w:ascii="Times New Roman" w:hAnsi="Times New Roman" w:cs="Times New Roman"/>
          <w:sz w:val="24"/>
          <w:szCs w:val="24"/>
        </w:rPr>
        <w:t xml:space="preserve"> </w:t>
      </w:r>
      <w:r w:rsidRPr="00190F7C" w:rsidR="007048D0">
        <w:rPr>
          <w:rFonts w:ascii="Times New Roman" w:hAnsi="Times New Roman" w:cs="Times New Roman"/>
          <w:sz w:val="24"/>
          <w:szCs w:val="24"/>
        </w:rPr>
        <w:t xml:space="preserve">zich </w:t>
      </w:r>
      <w:r w:rsidRPr="00190F7C">
        <w:rPr>
          <w:rFonts w:ascii="Times New Roman" w:hAnsi="Times New Roman" w:cs="Times New Roman"/>
          <w:sz w:val="24"/>
          <w:szCs w:val="24"/>
        </w:rPr>
        <w:t>daadwerkelijk in Nederland zouden voordoen. Toch kunnen zij zich niet aan de indruk onttrekken dat er een richtlijn is opgesteld in het kader van een aantal specifieke problemen in een paar lidstaten</w:t>
      </w:r>
      <w:r w:rsidRPr="00190F7C" w:rsidR="007048D0">
        <w:rPr>
          <w:rFonts w:ascii="Times New Roman" w:hAnsi="Times New Roman" w:cs="Times New Roman"/>
          <w:sz w:val="24"/>
          <w:szCs w:val="24"/>
        </w:rPr>
        <w:t xml:space="preserve"> van de Europese Unie (hierna: EU)</w:t>
      </w:r>
      <w:r w:rsidRPr="00190F7C">
        <w:rPr>
          <w:rFonts w:ascii="Times New Roman" w:hAnsi="Times New Roman" w:cs="Times New Roman"/>
          <w:sz w:val="24"/>
          <w:szCs w:val="24"/>
        </w:rPr>
        <w:t>. In de memorie van toelichting wordt geen enkel concreet voorbeeld van een SLAPP genoemd. In het BNC-fiche</w:t>
      </w:r>
      <w:r w:rsidRPr="00190F7C" w:rsidR="00BA7D37">
        <w:rPr>
          <w:rStyle w:val="Voetnootmarkering"/>
          <w:rFonts w:ascii="Times New Roman" w:hAnsi="Times New Roman" w:cs="Times New Roman"/>
          <w:sz w:val="24"/>
          <w:szCs w:val="24"/>
        </w:rPr>
        <w:footnoteReference w:id="2"/>
      </w:r>
      <w:r w:rsidRPr="00190F7C">
        <w:rPr>
          <w:rFonts w:ascii="Times New Roman" w:hAnsi="Times New Roman" w:cs="Times New Roman"/>
          <w:sz w:val="24"/>
          <w:szCs w:val="24"/>
        </w:rPr>
        <w:t xml:space="preserve"> bij het richtlijnvoorstel werd door de regering zelfs nog aangegeven dat er geen </w:t>
      </w:r>
      <w:proofErr w:type="spellStart"/>
      <w:r w:rsidRPr="00190F7C">
        <w:rPr>
          <w:rFonts w:ascii="Times New Roman" w:hAnsi="Times New Roman" w:cs="Times New Roman"/>
          <w:sz w:val="24"/>
          <w:szCs w:val="24"/>
        </w:rPr>
        <w:t>SLAPPs</w:t>
      </w:r>
      <w:proofErr w:type="spellEnd"/>
      <w:r w:rsidRPr="00190F7C">
        <w:rPr>
          <w:rFonts w:ascii="Times New Roman" w:hAnsi="Times New Roman" w:cs="Times New Roman"/>
          <w:sz w:val="24"/>
          <w:szCs w:val="24"/>
        </w:rPr>
        <w:t xml:space="preserve"> als zodanig bekend zijn in Nederland.</w:t>
      </w:r>
      <w:r w:rsidRPr="00190F7C" w:rsidR="003418C4">
        <w:rPr>
          <w:rStyle w:val="Voetnootmarkering"/>
          <w:rFonts w:ascii="Times New Roman" w:hAnsi="Times New Roman" w:cs="Times New Roman"/>
          <w:sz w:val="24"/>
          <w:szCs w:val="24"/>
        </w:rPr>
        <w:footnoteReference w:id="3"/>
      </w:r>
      <w:r w:rsidRPr="00190F7C">
        <w:rPr>
          <w:rFonts w:ascii="Times New Roman" w:hAnsi="Times New Roman" w:cs="Times New Roman"/>
          <w:sz w:val="24"/>
          <w:szCs w:val="24"/>
        </w:rPr>
        <w:t xml:space="preserve"> Ook de Raad voor de </w:t>
      </w:r>
      <w:r w:rsidRPr="00190F7C" w:rsidR="003418C4">
        <w:rPr>
          <w:rFonts w:ascii="Times New Roman" w:hAnsi="Times New Roman" w:cs="Times New Roman"/>
          <w:sz w:val="24"/>
          <w:szCs w:val="24"/>
        </w:rPr>
        <w:t>r</w:t>
      </w:r>
      <w:r w:rsidRPr="00190F7C">
        <w:rPr>
          <w:rFonts w:ascii="Times New Roman" w:hAnsi="Times New Roman" w:cs="Times New Roman"/>
          <w:sz w:val="24"/>
          <w:szCs w:val="24"/>
        </w:rPr>
        <w:t xml:space="preserve">echtspraak </w:t>
      </w:r>
      <w:r w:rsidRPr="00190F7C" w:rsidR="003418C4">
        <w:rPr>
          <w:rFonts w:ascii="Times New Roman" w:hAnsi="Times New Roman" w:cs="Times New Roman"/>
          <w:sz w:val="24"/>
          <w:szCs w:val="24"/>
        </w:rPr>
        <w:t xml:space="preserve">constateerde </w:t>
      </w:r>
      <w:r w:rsidRPr="00190F7C">
        <w:rPr>
          <w:rFonts w:ascii="Times New Roman" w:hAnsi="Times New Roman" w:cs="Times New Roman"/>
          <w:sz w:val="24"/>
          <w:szCs w:val="24"/>
        </w:rPr>
        <w:t xml:space="preserve">in </w:t>
      </w:r>
      <w:r w:rsidRPr="00190F7C" w:rsidR="006E3EA5">
        <w:rPr>
          <w:rFonts w:ascii="Times New Roman" w:hAnsi="Times New Roman" w:cs="Times New Roman"/>
          <w:sz w:val="24"/>
          <w:szCs w:val="24"/>
        </w:rPr>
        <w:t>zijn</w:t>
      </w:r>
      <w:r w:rsidRPr="00190F7C">
        <w:rPr>
          <w:rFonts w:ascii="Times New Roman" w:hAnsi="Times New Roman" w:cs="Times New Roman"/>
          <w:sz w:val="24"/>
          <w:szCs w:val="24"/>
        </w:rPr>
        <w:t xml:space="preserve"> consultatieadvies dat SLAPP-zaken niet of nauwelijks voorkomen bij rechtbanken, en al helemaal geen internationale </w:t>
      </w:r>
      <w:proofErr w:type="spellStart"/>
      <w:r w:rsidRPr="00190F7C">
        <w:rPr>
          <w:rFonts w:ascii="Times New Roman" w:hAnsi="Times New Roman" w:cs="Times New Roman"/>
          <w:sz w:val="24"/>
          <w:szCs w:val="24"/>
        </w:rPr>
        <w:t>SLAPPs</w:t>
      </w:r>
      <w:proofErr w:type="spellEnd"/>
      <w:r w:rsidRPr="00190F7C">
        <w:rPr>
          <w:rFonts w:ascii="Times New Roman" w:hAnsi="Times New Roman" w:cs="Times New Roman"/>
          <w:sz w:val="24"/>
          <w:szCs w:val="24"/>
        </w:rPr>
        <w:t xml:space="preserve"> in de zin van de richtlijn. De</w:t>
      </w:r>
      <w:r w:rsidRPr="00190F7C" w:rsidR="006E3EA5">
        <w:rPr>
          <w:rFonts w:ascii="Times New Roman" w:hAnsi="Times New Roman" w:cs="Times New Roman"/>
          <w:sz w:val="24"/>
          <w:szCs w:val="24"/>
        </w:rPr>
        <w:t>ze</w:t>
      </w:r>
      <w:r w:rsidRPr="00190F7C">
        <w:rPr>
          <w:rFonts w:ascii="Times New Roman" w:hAnsi="Times New Roman" w:cs="Times New Roman"/>
          <w:sz w:val="24"/>
          <w:szCs w:val="24"/>
        </w:rPr>
        <w:t xml:space="preserve"> leden</w:t>
      </w:r>
      <w:r w:rsidRPr="00190F7C" w:rsidR="006E3EA5">
        <w:rPr>
          <w:rFonts w:ascii="Times New Roman" w:hAnsi="Times New Roman" w:cs="Times New Roman"/>
          <w:sz w:val="24"/>
          <w:szCs w:val="24"/>
        </w:rPr>
        <w:t xml:space="preserve"> </w:t>
      </w:r>
      <w:r w:rsidRPr="00190F7C">
        <w:rPr>
          <w:rFonts w:ascii="Times New Roman" w:hAnsi="Times New Roman" w:cs="Times New Roman"/>
          <w:sz w:val="24"/>
          <w:szCs w:val="24"/>
        </w:rPr>
        <w:t>vragen of de regering alles overziende nu ten minste één voorbeeld kan noemen van een SLAPP die in Nederland wordt of is gevoerd en of er ten minste één voorbeeld kan worden gegeven van een grensoverschrijdende SLAPP in de zin van de richtlijn. Als deze voorbeelden niet kunnen worden gegeven, wat zegt dat over de noodzaak van het wetsvoorstel?</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 xml:space="preserve">De leden van de VVD-fractie constateren dat de </w:t>
      </w:r>
      <w:r w:rsidRPr="00190F7C" w:rsidR="006E3EA5">
        <w:rPr>
          <w:rFonts w:ascii="Times New Roman" w:hAnsi="Times New Roman" w:cs="Times New Roman"/>
          <w:sz w:val="24"/>
          <w:szCs w:val="24"/>
        </w:rPr>
        <w:t>A</w:t>
      </w:r>
      <w:r w:rsidRPr="00190F7C">
        <w:rPr>
          <w:rFonts w:ascii="Times New Roman" w:hAnsi="Times New Roman" w:cs="Times New Roman"/>
          <w:sz w:val="24"/>
          <w:szCs w:val="24"/>
        </w:rPr>
        <w:t>fdeling advisering van de Raad van State geen aanleiding heeft gezien om inhoudelijke opmerkingen te maken over het wetsvoorstel. Wel blijkt uit het nader rapport dat aanleiding is gezien om de memorie van toelichting te verduidelijken. Kan de regering aangeven hoe de memorie van toelichting is verduidelijkt?</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sidR="006E3EA5">
        <w:rPr>
          <w:rStyle w:val="normaltextrun"/>
          <w:rFonts w:ascii="Times New Roman" w:hAnsi="Times New Roman" w:cs="Times New Roman"/>
          <w:sz w:val="24"/>
          <w:szCs w:val="24"/>
        </w:rPr>
        <w:t xml:space="preserve">De leden van de </w:t>
      </w:r>
      <w:r w:rsidRPr="00190F7C">
        <w:rPr>
          <w:rStyle w:val="normaltextrun"/>
          <w:rFonts w:ascii="Times New Roman" w:hAnsi="Times New Roman" w:cs="Times New Roman"/>
          <w:sz w:val="24"/>
          <w:szCs w:val="24"/>
        </w:rPr>
        <w:t>BBB</w:t>
      </w:r>
      <w:r w:rsidRPr="00190F7C" w:rsidR="006E3EA5">
        <w:rPr>
          <w:rStyle w:val="normaltextrun"/>
          <w:rFonts w:ascii="Times New Roman" w:hAnsi="Times New Roman" w:cs="Times New Roman"/>
          <w:sz w:val="24"/>
          <w:szCs w:val="24"/>
        </w:rPr>
        <w:t>-fractie merken op dat</w:t>
      </w:r>
      <w:r w:rsidRPr="00190F7C">
        <w:rPr>
          <w:rStyle w:val="normaltextrun"/>
          <w:rFonts w:ascii="Times New Roman" w:hAnsi="Times New Roman" w:cs="Times New Roman"/>
          <w:sz w:val="24"/>
          <w:szCs w:val="24"/>
        </w:rPr>
        <w:t xml:space="preserve"> </w:t>
      </w:r>
      <w:r w:rsidRPr="00190F7C" w:rsidR="006E3EA5">
        <w:rPr>
          <w:rStyle w:val="normaltextrun"/>
          <w:rFonts w:ascii="Times New Roman" w:hAnsi="Times New Roman" w:cs="Times New Roman"/>
          <w:sz w:val="24"/>
          <w:szCs w:val="24"/>
        </w:rPr>
        <w:t>d</w:t>
      </w:r>
      <w:r w:rsidRPr="00190F7C">
        <w:rPr>
          <w:rStyle w:val="normaltextrun"/>
          <w:rFonts w:ascii="Times New Roman" w:hAnsi="Times New Roman" w:cs="Times New Roman"/>
          <w:sz w:val="24"/>
          <w:szCs w:val="24"/>
        </w:rPr>
        <w:t xml:space="preserve">e richtlijn als doel </w:t>
      </w:r>
      <w:r w:rsidRPr="00190F7C" w:rsidR="006E3EA5">
        <w:rPr>
          <w:rStyle w:val="normaltextrun"/>
          <w:rFonts w:ascii="Times New Roman" w:hAnsi="Times New Roman" w:cs="Times New Roman"/>
          <w:sz w:val="24"/>
          <w:szCs w:val="24"/>
        </w:rPr>
        <w:t xml:space="preserve">heeft </w:t>
      </w:r>
      <w:r w:rsidRPr="00190F7C">
        <w:rPr>
          <w:rStyle w:val="normaltextrun"/>
          <w:rFonts w:ascii="Times New Roman" w:hAnsi="Times New Roman" w:cs="Times New Roman"/>
          <w:sz w:val="24"/>
          <w:szCs w:val="24"/>
        </w:rPr>
        <w:t xml:space="preserve">personen te beschermen die deelnemen aan het publieke debat over zaken van algemeen belang, </w:t>
      </w:r>
      <w:r w:rsidRPr="00190F7C" w:rsidR="00182992">
        <w:rPr>
          <w:rStyle w:val="normaltextrun"/>
          <w:rFonts w:ascii="Times New Roman" w:hAnsi="Times New Roman" w:cs="Times New Roman"/>
          <w:sz w:val="24"/>
          <w:szCs w:val="24"/>
        </w:rPr>
        <w:t xml:space="preserve">waarbij gedacht kan worden </w:t>
      </w:r>
      <w:r w:rsidRPr="00190F7C">
        <w:rPr>
          <w:rStyle w:val="normaltextrun"/>
          <w:rFonts w:ascii="Times New Roman" w:hAnsi="Times New Roman" w:cs="Times New Roman"/>
          <w:sz w:val="24"/>
          <w:szCs w:val="24"/>
        </w:rPr>
        <w:t xml:space="preserve">aan journalisten, activisten, wetenschappers, klokkenluiders, </w:t>
      </w:r>
      <w:r w:rsidRPr="00190F7C" w:rsidR="00182992">
        <w:rPr>
          <w:rFonts w:ascii="Times New Roman" w:hAnsi="Times New Roman" w:cs="Times New Roman"/>
          <w:color w:val="191919"/>
          <w:sz w:val="24"/>
          <w:szCs w:val="24"/>
          <w:shd w:val="clear" w:color="auto" w:fill="FFFFFF"/>
        </w:rPr>
        <w:t>niet-gouver</w:t>
      </w:r>
      <w:r w:rsidRPr="00190F7C" w:rsidR="00182992">
        <w:rPr>
          <w:rFonts w:ascii="Times New Roman" w:hAnsi="Times New Roman" w:cs="Times New Roman"/>
          <w:color w:val="191919"/>
          <w:sz w:val="24"/>
          <w:szCs w:val="24"/>
          <w:shd w:val="clear" w:color="auto" w:fill="FFFFFF"/>
        </w:rPr>
        <w:softHyphen/>
        <w:t>ne</w:t>
      </w:r>
      <w:r w:rsidRPr="00190F7C" w:rsidR="00182992">
        <w:rPr>
          <w:rFonts w:ascii="Times New Roman" w:hAnsi="Times New Roman" w:cs="Times New Roman"/>
          <w:color w:val="191919"/>
          <w:sz w:val="24"/>
          <w:szCs w:val="24"/>
          <w:shd w:val="clear" w:color="auto" w:fill="FFFFFF"/>
        </w:rPr>
        <w:softHyphen/>
        <w:t>men</w:t>
      </w:r>
      <w:r w:rsidRPr="00190F7C" w:rsidR="00182992">
        <w:rPr>
          <w:rFonts w:ascii="Times New Roman" w:hAnsi="Times New Roman" w:cs="Times New Roman"/>
          <w:color w:val="191919"/>
          <w:sz w:val="24"/>
          <w:szCs w:val="24"/>
          <w:shd w:val="clear" w:color="auto" w:fill="FFFFFF"/>
        </w:rPr>
        <w:softHyphen/>
        <w:t>te</w:t>
      </w:r>
      <w:r w:rsidRPr="00190F7C" w:rsidR="00182992">
        <w:rPr>
          <w:rFonts w:ascii="Times New Roman" w:hAnsi="Times New Roman" w:cs="Times New Roman"/>
          <w:color w:val="191919"/>
          <w:sz w:val="24"/>
          <w:szCs w:val="24"/>
          <w:shd w:val="clear" w:color="auto" w:fill="FFFFFF"/>
        </w:rPr>
        <w:softHyphen/>
        <w:t>le or</w:t>
      </w:r>
      <w:r w:rsidRPr="00190F7C" w:rsidR="00182992">
        <w:rPr>
          <w:rFonts w:ascii="Times New Roman" w:hAnsi="Times New Roman" w:cs="Times New Roman"/>
          <w:color w:val="191919"/>
          <w:sz w:val="24"/>
          <w:szCs w:val="24"/>
          <w:shd w:val="clear" w:color="auto" w:fill="FFFFFF"/>
        </w:rPr>
        <w:softHyphen/>
        <w:t>ga</w:t>
      </w:r>
      <w:r w:rsidRPr="00190F7C" w:rsidR="00182992">
        <w:rPr>
          <w:rFonts w:ascii="Times New Roman" w:hAnsi="Times New Roman" w:cs="Times New Roman"/>
          <w:color w:val="191919"/>
          <w:sz w:val="24"/>
          <w:szCs w:val="24"/>
          <w:shd w:val="clear" w:color="auto" w:fill="FFFFFF"/>
        </w:rPr>
        <w:softHyphen/>
        <w:t>ni</w:t>
      </w:r>
      <w:r w:rsidRPr="00190F7C" w:rsidR="00182992">
        <w:rPr>
          <w:rFonts w:ascii="Times New Roman" w:hAnsi="Times New Roman" w:cs="Times New Roman"/>
          <w:color w:val="191919"/>
          <w:sz w:val="24"/>
          <w:szCs w:val="24"/>
          <w:shd w:val="clear" w:color="auto" w:fill="FFFFFF"/>
        </w:rPr>
        <w:softHyphen/>
        <w:t>sa</w:t>
      </w:r>
      <w:r w:rsidRPr="00190F7C" w:rsidR="00182992">
        <w:rPr>
          <w:rFonts w:ascii="Times New Roman" w:hAnsi="Times New Roman" w:cs="Times New Roman"/>
          <w:color w:val="191919"/>
          <w:sz w:val="24"/>
          <w:szCs w:val="24"/>
          <w:shd w:val="clear" w:color="auto" w:fill="FFFFFF"/>
        </w:rPr>
        <w:softHyphen/>
        <w:t>ties</w:t>
      </w:r>
      <w:r w:rsidRPr="00190F7C">
        <w:rPr>
          <w:rStyle w:val="normaltextrun"/>
          <w:rFonts w:ascii="Times New Roman" w:hAnsi="Times New Roman" w:cs="Times New Roman"/>
          <w:sz w:val="24"/>
          <w:szCs w:val="24"/>
        </w:rPr>
        <w:t xml:space="preserve"> of (lokale) politici. Deze mensen kunnen in hun werk of maatschappelijke rol geconfronteerd worden </w:t>
      </w:r>
      <w:r w:rsidRPr="00190F7C" w:rsidR="00DC6DE7">
        <w:rPr>
          <w:rStyle w:val="normaltextrun"/>
          <w:rFonts w:ascii="Times New Roman" w:hAnsi="Times New Roman" w:cs="Times New Roman"/>
          <w:sz w:val="24"/>
          <w:szCs w:val="24"/>
        </w:rPr>
        <w:t>met</w:t>
      </w:r>
      <w:r w:rsidRPr="00190F7C">
        <w:rPr>
          <w:rStyle w:val="normaltextrun"/>
          <w:rFonts w:ascii="Times New Roman" w:hAnsi="Times New Roman" w:cs="Times New Roman"/>
          <w:sz w:val="24"/>
          <w:szCs w:val="24"/>
        </w:rPr>
        <w:t xml:space="preserve"> </w:t>
      </w:r>
      <w:proofErr w:type="spellStart"/>
      <w:r w:rsidRPr="00190F7C">
        <w:rPr>
          <w:rStyle w:val="normaltextrun"/>
          <w:rFonts w:ascii="Times New Roman" w:hAnsi="Times New Roman" w:cs="Times New Roman"/>
          <w:sz w:val="24"/>
          <w:szCs w:val="24"/>
        </w:rPr>
        <w:t>SLAPPs</w:t>
      </w:r>
      <w:proofErr w:type="spellEnd"/>
      <w:r w:rsidRPr="00190F7C">
        <w:rPr>
          <w:rStyle w:val="normaltextrun"/>
          <w:rFonts w:ascii="Times New Roman" w:hAnsi="Times New Roman" w:cs="Times New Roman"/>
          <w:sz w:val="24"/>
          <w:szCs w:val="24"/>
        </w:rPr>
        <w:t>.</w:t>
      </w:r>
      <w:r w:rsidRPr="00190F7C" w:rsidR="001F58F5">
        <w:rPr>
          <w:rStyle w:val="eop"/>
          <w:rFonts w:ascii="Times New Roman" w:hAnsi="Times New Roman" w:cs="Times New Roman"/>
          <w:sz w:val="24"/>
          <w:szCs w:val="24"/>
        </w:rPr>
        <w:t xml:space="preserve"> </w:t>
      </w:r>
      <w:proofErr w:type="spellStart"/>
      <w:r w:rsidRPr="00190F7C">
        <w:rPr>
          <w:rStyle w:val="normaltextrun"/>
          <w:rFonts w:ascii="Times New Roman" w:hAnsi="Times New Roman" w:cs="Times New Roman"/>
          <w:sz w:val="24"/>
          <w:szCs w:val="24"/>
        </w:rPr>
        <w:t>SLAPPs</w:t>
      </w:r>
      <w:proofErr w:type="spellEnd"/>
      <w:r w:rsidRPr="00190F7C">
        <w:rPr>
          <w:rStyle w:val="normaltextrun"/>
          <w:rFonts w:ascii="Times New Roman" w:hAnsi="Times New Roman" w:cs="Times New Roman"/>
          <w:sz w:val="24"/>
          <w:szCs w:val="24"/>
        </w:rPr>
        <w:t xml:space="preserve"> zijn rechtszaken die worden ingezet om deelname van personen of organisaties aan het publieke debat te voorkomen, te beperken of te bestraffen. Het doel is vaak niet om te winnen in de rechtszaal, maar om het publieke debat te verstoren of te ontmoedigen.</w:t>
      </w:r>
      <w:r w:rsidRPr="00190F7C">
        <w:rPr>
          <w:rStyle w:val="eop"/>
          <w:rFonts w:ascii="Times New Roman" w:hAnsi="Times New Roman" w:cs="Times New Roman"/>
          <w:sz w:val="24"/>
          <w:szCs w:val="24"/>
        </w:rPr>
        <w:t> </w:t>
      </w:r>
      <w:r w:rsidRPr="00190F7C">
        <w:rPr>
          <w:rStyle w:val="normaltextrun"/>
          <w:rFonts w:ascii="Times New Roman" w:hAnsi="Times New Roman" w:cs="Times New Roman"/>
          <w:sz w:val="24"/>
          <w:szCs w:val="24"/>
        </w:rPr>
        <w:t xml:space="preserve">Een voorbeeld: </w:t>
      </w:r>
      <w:r w:rsidRPr="00190F7C" w:rsidR="0095336C">
        <w:rPr>
          <w:rStyle w:val="normaltextrun"/>
          <w:rFonts w:ascii="Times New Roman" w:hAnsi="Times New Roman" w:cs="Times New Roman"/>
          <w:sz w:val="24"/>
          <w:szCs w:val="24"/>
        </w:rPr>
        <w:t>e</w:t>
      </w:r>
      <w:r w:rsidRPr="00190F7C">
        <w:rPr>
          <w:rStyle w:val="normaltextrun"/>
          <w:rFonts w:ascii="Times New Roman" w:hAnsi="Times New Roman" w:cs="Times New Roman"/>
          <w:sz w:val="24"/>
          <w:szCs w:val="24"/>
        </w:rPr>
        <w:t xml:space="preserve">en journalist </w:t>
      </w:r>
      <w:r w:rsidRPr="00190F7C">
        <w:rPr>
          <w:rStyle w:val="normaltextrun"/>
          <w:rFonts w:ascii="Times New Roman" w:hAnsi="Times New Roman" w:cs="Times New Roman"/>
          <w:sz w:val="24"/>
          <w:szCs w:val="24"/>
        </w:rPr>
        <w:lastRenderedPageBreak/>
        <w:t>publiceert een kritisch artikel over een machtige ondernemer of politicus. In plaats van inhoudelijk te reageren, kiest die persoon ervoor om de journalist voor smaad of laster aan te klagen met een langdurige, kostbare rechtszaak. Zelfs als de zaak uiteindelijk verloren wordt, heeft de rechtsgang zelf al een afschrikkend effect.</w:t>
      </w:r>
      <w:r w:rsidRPr="00190F7C">
        <w:rPr>
          <w:rStyle w:val="eop"/>
          <w:rFonts w:ascii="Times New Roman" w:hAnsi="Times New Roman" w:cs="Times New Roman"/>
          <w:sz w:val="24"/>
          <w:szCs w:val="24"/>
        </w:rPr>
        <w:t> </w:t>
      </w:r>
      <w:r w:rsidRPr="00190F7C" w:rsidR="00AE6589">
        <w:rPr>
          <w:rStyle w:val="eop"/>
          <w:rFonts w:ascii="Times New Roman" w:hAnsi="Times New Roman" w:cs="Times New Roman"/>
          <w:sz w:val="24"/>
          <w:szCs w:val="24"/>
        </w:rPr>
        <w:br/>
      </w:r>
      <w:r w:rsidRPr="00190F7C">
        <w:rPr>
          <w:rStyle w:val="normaltextrun"/>
          <w:rFonts w:ascii="Times New Roman" w:hAnsi="Times New Roman" w:cs="Times New Roman"/>
          <w:sz w:val="24"/>
          <w:szCs w:val="24"/>
        </w:rPr>
        <w:t>De richtlijn biedt een aantal procedurele waarborgen en maatregelen waarop o</w:t>
      </w:r>
      <w:r w:rsidRPr="00190F7C" w:rsidR="0095336C">
        <w:rPr>
          <w:rStyle w:val="normaltextrun"/>
          <w:rFonts w:ascii="Times New Roman" w:hAnsi="Times New Roman" w:cs="Times New Roman"/>
          <w:sz w:val="24"/>
          <w:szCs w:val="24"/>
        </w:rPr>
        <w:t>nder anderen</w:t>
      </w:r>
      <w:r w:rsidRPr="00190F7C">
        <w:rPr>
          <w:rStyle w:val="normaltextrun"/>
          <w:rFonts w:ascii="Times New Roman" w:hAnsi="Times New Roman" w:cs="Times New Roman"/>
          <w:sz w:val="24"/>
          <w:szCs w:val="24"/>
        </w:rPr>
        <w:t xml:space="preserve"> journalisten en mensenrechtenverdedigers zich kunnen beroepen om zich te (laten) beschermen tegen kennelijk ongegronde vorderingen en misbruik van procesrecht</w:t>
      </w:r>
      <w:r w:rsidRPr="00190F7C" w:rsidR="00E1135A">
        <w:rPr>
          <w:rStyle w:val="normaltextrun"/>
          <w:rFonts w:ascii="Times New Roman" w:hAnsi="Times New Roman" w:cs="Times New Roman"/>
          <w:sz w:val="24"/>
          <w:szCs w:val="24"/>
        </w:rPr>
        <w:t>:</w:t>
      </w:r>
      <w:r w:rsidRPr="00190F7C">
        <w:rPr>
          <w:rStyle w:val="eop"/>
          <w:rFonts w:ascii="Times New Roman" w:hAnsi="Times New Roman" w:cs="Times New Roman"/>
          <w:sz w:val="24"/>
          <w:szCs w:val="24"/>
        </w:rPr>
        <w:t> </w:t>
      </w:r>
      <w:r w:rsidRPr="00190F7C" w:rsidR="00AE6589">
        <w:rPr>
          <w:rStyle w:val="eop"/>
          <w:rFonts w:ascii="Times New Roman" w:hAnsi="Times New Roman" w:cs="Times New Roman"/>
          <w:sz w:val="24"/>
          <w:szCs w:val="24"/>
        </w:rPr>
        <w:br/>
      </w:r>
      <w:r w:rsidRPr="00190F7C" w:rsidR="00AE6589">
        <w:rPr>
          <w:rStyle w:val="eop"/>
          <w:rFonts w:ascii="Times New Roman" w:hAnsi="Times New Roman" w:cs="Times New Roman"/>
          <w:sz w:val="24"/>
          <w:szCs w:val="24"/>
        </w:rPr>
        <w:br/>
      </w:r>
      <w:r w:rsidRPr="00190F7C">
        <w:rPr>
          <w:rStyle w:val="normaltextrun"/>
          <w:rFonts w:ascii="Times New Roman" w:hAnsi="Times New Roman" w:cs="Times New Roman"/>
          <w:sz w:val="24"/>
          <w:szCs w:val="24"/>
        </w:rPr>
        <w:t>a.</w:t>
      </w:r>
      <w:r w:rsidRPr="00190F7C" w:rsidR="00AE6589">
        <w:rPr>
          <w:rStyle w:val="tabchar"/>
          <w:rFonts w:ascii="Times New Roman" w:hAnsi="Times New Roman" w:cs="Times New Roman"/>
          <w:sz w:val="24"/>
          <w:szCs w:val="24"/>
        </w:rPr>
        <w:t xml:space="preserve"> </w:t>
      </w:r>
      <w:r w:rsidRPr="00190F7C">
        <w:rPr>
          <w:rStyle w:val="normaltextrun"/>
          <w:rFonts w:ascii="Times New Roman" w:hAnsi="Times New Roman" w:cs="Times New Roman"/>
          <w:sz w:val="24"/>
          <w:szCs w:val="24"/>
        </w:rPr>
        <w:t>Zekerheidstelling: de rechter kan de eiser verplichten om een financiële zekerheid te stellen voor de geschatte (proces)kosten om te bevorderen dat het SLAPP-doelwit na afloop van de procedure schadeloos kan worden gesteld.</w:t>
      </w:r>
      <w:r w:rsidRPr="00190F7C" w:rsidR="00AE6589">
        <w:rPr>
          <w:rStyle w:val="eop"/>
          <w:rFonts w:ascii="Times New Roman" w:hAnsi="Times New Roman" w:cs="Times New Roman"/>
          <w:sz w:val="24"/>
          <w:szCs w:val="24"/>
        </w:rPr>
        <w:br/>
      </w:r>
      <w:r w:rsidRPr="00190F7C">
        <w:rPr>
          <w:rStyle w:val="normaltextrun"/>
          <w:rFonts w:ascii="Times New Roman" w:hAnsi="Times New Roman" w:cs="Times New Roman"/>
          <w:sz w:val="24"/>
          <w:szCs w:val="24"/>
        </w:rPr>
        <w:t>b.</w:t>
      </w:r>
      <w:r w:rsidRPr="00190F7C" w:rsidR="00AE6589">
        <w:rPr>
          <w:rStyle w:val="tabchar"/>
          <w:rFonts w:ascii="Times New Roman" w:hAnsi="Times New Roman" w:cs="Times New Roman"/>
          <w:sz w:val="24"/>
          <w:szCs w:val="24"/>
        </w:rPr>
        <w:t xml:space="preserve"> </w:t>
      </w:r>
      <w:r w:rsidRPr="00190F7C">
        <w:rPr>
          <w:rStyle w:val="normaltextrun"/>
          <w:rFonts w:ascii="Times New Roman" w:hAnsi="Times New Roman" w:cs="Times New Roman"/>
          <w:sz w:val="24"/>
          <w:szCs w:val="24"/>
        </w:rPr>
        <w:t>Vroegtijdige afwijzing: de rechter kan op verzoek van een SLAPP-doelwit de eiser die een kennelijk ongegronde vordering heeft ingesteld</w:t>
      </w:r>
      <w:r w:rsidRPr="00190F7C" w:rsidR="00356407">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in een zo vroeg mogelijk stadium niet</w:t>
      </w:r>
      <w:r w:rsidRPr="00190F7C" w:rsidR="00AE6589">
        <w:rPr>
          <w:rStyle w:val="normaltextrun"/>
          <w:rFonts w:ascii="Times New Roman" w:hAnsi="Times New Roman" w:cs="Times New Roman"/>
          <w:sz w:val="24"/>
          <w:szCs w:val="24"/>
        </w:rPr>
        <w:t xml:space="preserve">- </w:t>
      </w:r>
      <w:r w:rsidRPr="00190F7C">
        <w:rPr>
          <w:rStyle w:val="normaltextrun"/>
          <w:rFonts w:ascii="Times New Roman" w:hAnsi="Times New Roman" w:cs="Times New Roman"/>
          <w:sz w:val="24"/>
          <w:szCs w:val="24"/>
        </w:rPr>
        <w:t>ontvankelijk verklaren.</w:t>
      </w:r>
      <w:r w:rsidRPr="00190F7C" w:rsidR="00AE6589">
        <w:rPr>
          <w:rStyle w:val="eop"/>
          <w:rFonts w:ascii="Times New Roman" w:hAnsi="Times New Roman" w:cs="Times New Roman"/>
          <w:sz w:val="24"/>
          <w:szCs w:val="24"/>
        </w:rPr>
        <w:br/>
      </w:r>
      <w:r w:rsidRPr="00190F7C">
        <w:rPr>
          <w:rStyle w:val="normaltextrun"/>
          <w:rFonts w:ascii="Times New Roman" w:hAnsi="Times New Roman" w:cs="Times New Roman"/>
          <w:sz w:val="24"/>
          <w:szCs w:val="24"/>
        </w:rPr>
        <w:t>c.</w:t>
      </w:r>
      <w:r w:rsidRPr="00190F7C" w:rsidR="00AE6589">
        <w:rPr>
          <w:rStyle w:val="tabchar"/>
          <w:rFonts w:ascii="Times New Roman" w:hAnsi="Times New Roman" w:cs="Times New Roman"/>
          <w:sz w:val="24"/>
          <w:szCs w:val="24"/>
        </w:rPr>
        <w:t xml:space="preserve"> </w:t>
      </w:r>
      <w:r w:rsidRPr="00190F7C">
        <w:rPr>
          <w:rStyle w:val="normaltextrun"/>
          <w:rFonts w:ascii="Times New Roman" w:hAnsi="Times New Roman" w:cs="Times New Roman"/>
          <w:sz w:val="24"/>
          <w:szCs w:val="24"/>
        </w:rPr>
        <w:t>Voorzieningen in rechte tegen misbruik van procesrecht gericht tegen publieke participatie: de rechter kan de eiser die een SLAPP aanhangig heeft gemaakt</w:t>
      </w:r>
      <w:r w:rsidRPr="00190F7C" w:rsidR="00356407">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veroordelen tot vergoeding van de (proces)kosten van de verweerder of de eiser een sanctie of maatregel opleggen.</w:t>
      </w:r>
      <w:r w:rsidRPr="00190F7C">
        <w:rPr>
          <w:rStyle w:val="eop"/>
          <w:rFonts w:ascii="Times New Roman" w:hAnsi="Times New Roman" w:cs="Times New Roman"/>
          <w:sz w:val="24"/>
          <w:szCs w:val="24"/>
        </w:rPr>
        <w:t> </w:t>
      </w:r>
      <w:r w:rsidRPr="00190F7C" w:rsidR="00AE6589">
        <w:rPr>
          <w:rStyle w:val="eop"/>
          <w:rFonts w:ascii="Times New Roman" w:hAnsi="Times New Roman" w:cs="Times New Roman"/>
          <w:sz w:val="24"/>
          <w:szCs w:val="24"/>
        </w:rPr>
        <w:br/>
      </w:r>
      <w:r w:rsidRPr="00190F7C" w:rsidR="00AE6589">
        <w:rPr>
          <w:rStyle w:val="eop"/>
          <w:rFonts w:ascii="Times New Roman" w:hAnsi="Times New Roman" w:cs="Times New Roman"/>
          <w:sz w:val="24"/>
          <w:szCs w:val="24"/>
        </w:rPr>
        <w:br/>
      </w:r>
      <w:r w:rsidRPr="00190F7C">
        <w:rPr>
          <w:rStyle w:val="normaltextrun"/>
          <w:rFonts w:ascii="Times New Roman" w:hAnsi="Times New Roman" w:cs="Times New Roman"/>
          <w:sz w:val="24"/>
          <w:szCs w:val="24"/>
        </w:rPr>
        <w:t>Verder zijn nog twee zaken in de richtlijn opgenomen. Dit zijn de informatieverschaffing en ondersteuning. De richtlijn bevat een verplichting om te zorgen voor toegang tot informatie over beschikbare procedurele waarborgen en voorzieningen en tot bestaande steunmaatregelen, zoals rechtsbijstand en financiële en psychologische ondersteuning. Daarnaast is een publicatieverplichting van eindarresten in hoger beroep of van de hoogste instantie opgenomen in de richtlijn.</w:t>
      </w:r>
      <w:r w:rsidRPr="00190F7C" w:rsidR="00AE6589">
        <w:rPr>
          <w:rStyle w:val="eop"/>
          <w:rFonts w:ascii="Times New Roman" w:hAnsi="Times New Roman" w:cs="Times New Roman"/>
          <w:sz w:val="24"/>
          <w:szCs w:val="24"/>
        </w:rPr>
        <w:br/>
      </w:r>
      <w:r w:rsidRPr="00190F7C" w:rsidR="00AE6589">
        <w:rPr>
          <w:rStyle w:val="eop"/>
          <w:rFonts w:ascii="Times New Roman" w:hAnsi="Times New Roman" w:cs="Times New Roman"/>
          <w:sz w:val="24"/>
          <w:szCs w:val="24"/>
        </w:rPr>
        <w:br/>
      </w:r>
      <w:r w:rsidRPr="00190F7C">
        <w:rPr>
          <w:rFonts w:ascii="Times New Roman" w:hAnsi="Times New Roman" w:cs="Times New Roman"/>
          <w:bCs/>
          <w:i/>
          <w:iCs/>
          <w:sz w:val="24"/>
          <w:szCs w:val="24"/>
          <w:lang w:eastAsia="nl-NL"/>
        </w:rPr>
        <w:t>2.2 Inhoud van de richtlijn</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De leden van de VVD-fractie lezen dat er is gekozen voor een ruime definitie van grensoverschrijdende gevolgen: alleen als beide partijen en alle overige omstandigheden zich uitsluitend in één lidstaat bevinden, is een zaak niet grensoverschrijdend en is de richtlijn niet van toepassing. De</w:t>
      </w:r>
      <w:r w:rsidRPr="00190F7C" w:rsidR="004861C3">
        <w:rPr>
          <w:rFonts w:ascii="Times New Roman" w:hAnsi="Times New Roman" w:cs="Times New Roman"/>
          <w:sz w:val="24"/>
          <w:szCs w:val="24"/>
        </w:rPr>
        <w:t>ze</w:t>
      </w:r>
      <w:r w:rsidRPr="00190F7C">
        <w:rPr>
          <w:rFonts w:ascii="Times New Roman" w:hAnsi="Times New Roman" w:cs="Times New Roman"/>
          <w:sz w:val="24"/>
          <w:szCs w:val="24"/>
        </w:rPr>
        <w:t xml:space="preserve"> leden constateren dat de richtlijn niet verplicht tot het treffen van maatregelen als er een zuiver nationale procedure wordt gevolgd; de richtlijn verplicht enkel tot implementatie bij grensoverschrijdende procedures. Klopt het dat lidstaten er wel voor kunnen kiezen de richtlijn van toepassing te verklaren op zuiver nationale procedures, maar dat dit een nationale kop zou zijn die zich slecht verdraagt tot het standpunt dat Nederland geen nieuwe nationale koppen op EU-regelgeving wil? Kan de regering hierop ingaan? </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De leden van de VVD-fractie constateren dat de vorige Europese Commissie de lidstaten heeft aangespoord om te voorzien in dezelfde waarborgen zoals genoemd in de richtlijn</w:t>
      </w:r>
      <w:r w:rsidRPr="00190F7C" w:rsidR="00E15518">
        <w:rPr>
          <w:rFonts w:ascii="Times New Roman" w:hAnsi="Times New Roman" w:cs="Times New Roman"/>
          <w:sz w:val="24"/>
          <w:szCs w:val="24"/>
        </w:rPr>
        <w:t>,</w:t>
      </w:r>
      <w:r w:rsidRPr="00190F7C">
        <w:rPr>
          <w:rFonts w:ascii="Times New Roman" w:hAnsi="Times New Roman" w:cs="Times New Roman"/>
          <w:sz w:val="24"/>
          <w:szCs w:val="24"/>
        </w:rPr>
        <w:t xml:space="preserve"> voor zaken zonder grensoverschrijdend karakter en op andere rechtsgebieden. Is dit ook het standpunt van de huidige Europese Commissie en welke andere lidstaten zijn voornemens de waarborgen</w:t>
      </w:r>
      <w:r w:rsidRPr="00190F7C" w:rsidR="00DC6DE7">
        <w:rPr>
          <w:rFonts w:ascii="Times New Roman" w:hAnsi="Times New Roman" w:cs="Times New Roman"/>
          <w:sz w:val="24"/>
          <w:szCs w:val="24"/>
        </w:rPr>
        <w:t>,</w:t>
      </w:r>
      <w:r w:rsidRPr="00190F7C">
        <w:rPr>
          <w:rFonts w:ascii="Times New Roman" w:hAnsi="Times New Roman" w:cs="Times New Roman"/>
          <w:sz w:val="24"/>
          <w:szCs w:val="24"/>
        </w:rPr>
        <w:t xml:space="preserve"> die voortvloeien uit de richtlijn</w:t>
      </w:r>
      <w:r w:rsidRPr="00190F7C" w:rsidR="000947D0">
        <w:rPr>
          <w:rFonts w:ascii="Times New Roman" w:hAnsi="Times New Roman" w:cs="Times New Roman"/>
          <w:sz w:val="24"/>
          <w:szCs w:val="24"/>
        </w:rPr>
        <w:t>,</w:t>
      </w:r>
      <w:r w:rsidRPr="00190F7C">
        <w:rPr>
          <w:rFonts w:ascii="Times New Roman" w:hAnsi="Times New Roman" w:cs="Times New Roman"/>
          <w:sz w:val="24"/>
          <w:szCs w:val="24"/>
        </w:rPr>
        <w:t xml:space="preserve"> ook op te nemen bij nationale procedures en op andere rechtsgebieden? </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 xml:space="preserve">De leden van de VVD-fractie lezen in het BNC-fiche over het richtlijnvoorstel dat het toenmalige kabinet graag had gezien dat de Europese Commissie een effectbeoordeling </w:t>
      </w:r>
      <w:r w:rsidRPr="00190F7C" w:rsidR="005C1774">
        <w:rPr>
          <w:rFonts w:ascii="Times New Roman" w:hAnsi="Times New Roman" w:cs="Times New Roman"/>
          <w:sz w:val="24"/>
          <w:szCs w:val="24"/>
        </w:rPr>
        <w:lastRenderedPageBreak/>
        <w:t xml:space="preserve">(impact assessment) </w:t>
      </w:r>
      <w:r w:rsidRPr="00190F7C">
        <w:rPr>
          <w:rFonts w:ascii="Times New Roman" w:hAnsi="Times New Roman" w:cs="Times New Roman"/>
          <w:sz w:val="24"/>
          <w:szCs w:val="24"/>
        </w:rPr>
        <w:t>had opgesteld ten aanzien van het voorstel.</w:t>
      </w:r>
      <w:r w:rsidRPr="00190F7C" w:rsidR="005C1774">
        <w:rPr>
          <w:rStyle w:val="Voetnootmarkering"/>
          <w:rFonts w:ascii="Times New Roman" w:hAnsi="Times New Roman" w:cs="Times New Roman"/>
          <w:sz w:val="24"/>
          <w:szCs w:val="24"/>
        </w:rPr>
        <w:footnoteReference w:id="4"/>
      </w:r>
      <w:r w:rsidRPr="00190F7C">
        <w:rPr>
          <w:rFonts w:ascii="Times New Roman" w:hAnsi="Times New Roman" w:cs="Times New Roman"/>
          <w:sz w:val="24"/>
          <w:szCs w:val="24"/>
        </w:rPr>
        <w:t xml:space="preserve"> Is dat tot op heden nog altijd niet gebeurd en wat vindt de regering hiervan? Had het niet meer in de rede gelegen dat een effectbeoordeling was uitgevoerd? Kan de regering ook ingaan op de kanttekeningen die in het BNC-fiche zijn geplaatst waar het de schadevordering</w:t>
      </w:r>
      <w:r w:rsidRPr="00190F7C" w:rsidR="00D02562">
        <w:rPr>
          <w:rFonts w:ascii="Times New Roman" w:hAnsi="Times New Roman" w:cs="Times New Roman"/>
          <w:sz w:val="24"/>
          <w:szCs w:val="24"/>
        </w:rPr>
        <w:t xml:space="preserve"> betreft</w:t>
      </w:r>
      <w:r w:rsidRPr="00190F7C">
        <w:rPr>
          <w:rFonts w:ascii="Times New Roman" w:hAnsi="Times New Roman" w:cs="Times New Roman"/>
          <w:sz w:val="24"/>
          <w:szCs w:val="24"/>
        </w:rPr>
        <w:t>?</w:t>
      </w:r>
      <w:r w:rsidRPr="00190F7C">
        <w:rPr>
          <w:rStyle w:val="Voetnootmarkering"/>
          <w:rFonts w:ascii="Times New Roman" w:hAnsi="Times New Roman" w:cs="Times New Roman"/>
          <w:sz w:val="24"/>
          <w:szCs w:val="24"/>
        </w:rPr>
        <w:footnoteReference w:id="5"/>
      </w:r>
      <w:r w:rsidRPr="00190F7C">
        <w:rPr>
          <w:rFonts w:ascii="Times New Roman" w:hAnsi="Times New Roman" w:cs="Times New Roman"/>
          <w:sz w:val="24"/>
          <w:szCs w:val="24"/>
        </w:rPr>
        <w:t xml:space="preserve"> </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bCs/>
          <w:i/>
          <w:iCs/>
          <w:sz w:val="24"/>
          <w:szCs w:val="24"/>
          <w:lang w:eastAsia="nl-NL"/>
        </w:rPr>
        <w:t>2.3 Anti-SLAPP aanbevelingen van de Europese Unie (EU) en van de Raad van Europa</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sidR="00446540">
        <w:rPr>
          <w:rFonts w:ascii="Times New Roman" w:hAnsi="Times New Roman" w:cs="Times New Roman"/>
          <w:bCs/>
          <w:sz w:val="24"/>
          <w:szCs w:val="24"/>
          <w:lang w:eastAsia="nl-NL"/>
        </w:rPr>
        <w:t xml:space="preserve">De leden van de D66-fractie zijn verheugd dat de regering ook inzet op bewustwording en op het beschikbaar stellen van toegankelijke en begrijpelijke informatie over het fenomeen </w:t>
      </w:r>
      <w:r w:rsidRPr="00190F7C" w:rsidR="00B01EF5">
        <w:rPr>
          <w:rFonts w:ascii="Times New Roman" w:hAnsi="Times New Roman" w:cs="Times New Roman"/>
          <w:bCs/>
          <w:sz w:val="24"/>
          <w:szCs w:val="24"/>
          <w:lang w:eastAsia="nl-NL"/>
        </w:rPr>
        <w:t>‘</w:t>
      </w:r>
      <w:proofErr w:type="spellStart"/>
      <w:r w:rsidRPr="00190F7C" w:rsidR="00446540">
        <w:rPr>
          <w:rFonts w:ascii="Times New Roman" w:hAnsi="Times New Roman" w:cs="Times New Roman"/>
          <w:bCs/>
          <w:sz w:val="24"/>
          <w:szCs w:val="24"/>
          <w:lang w:eastAsia="nl-NL"/>
        </w:rPr>
        <w:t>SLAPPs</w:t>
      </w:r>
      <w:proofErr w:type="spellEnd"/>
      <w:r w:rsidRPr="00190F7C" w:rsidR="00B01EF5">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De aanbeveling van de Raad van Europa benadrukt daarnaast echter ook het belang van concrete financiële, psychologische en praktische ondersteuning van SLAPP-doelwitten. Kan de regering toelichten welke concrete ondersteuning (extra) beschikbaar wordt gesteld en op welke wijze mogelijke doelwitten hierover worden geïnformeerd?</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Pr>
          <w:rFonts w:ascii="Times New Roman" w:hAnsi="Times New Roman" w:cs="Times New Roman"/>
          <w:bCs/>
          <w:i/>
          <w:iCs/>
          <w:sz w:val="24"/>
          <w:szCs w:val="24"/>
          <w:lang w:eastAsia="nl-NL"/>
        </w:rPr>
        <w:t>2.</w:t>
      </w:r>
      <w:r w:rsidRPr="00190F7C" w:rsidR="004C1DBB">
        <w:rPr>
          <w:rFonts w:ascii="Times New Roman" w:hAnsi="Times New Roman" w:cs="Times New Roman"/>
          <w:bCs/>
          <w:i/>
          <w:iCs/>
          <w:sz w:val="24"/>
          <w:szCs w:val="24"/>
          <w:lang w:eastAsia="nl-NL"/>
        </w:rPr>
        <w:t>4</w:t>
      </w:r>
      <w:r w:rsidRPr="00190F7C">
        <w:rPr>
          <w:rFonts w:ascii="Times New Roman" w:hAnsi="Times New Roman" w:cs="Times New Roman"/>
          <w:bCs/>
          <w:i/>
          <w:iCs/>
          <w:sz w:val="24"/>
          <w:szCs w:val="24"/>
          <w:lang w:eastAsia="nl-NL"/>
        </w:rPr>
        <w:t xml:space="preserve"> Caribisch Nederland</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bCs/>
          <w:sz w:val="24"/>
          <w:szCs w:val="24"/>
        </w:rPr>
        <w:t>De leden van de SP-fractie vinden het jammer dat, gezien de tijdnood, er niet voor wordt gekozen deze wetgeving ook aan te laten passen voor Caribisch Nederland. Kan de regering aangeven of deze keuze puur is gemaakt omwille van de tijdsdruk? Wanneer k</w:t>
      </w:r>
      <w:r w:rsidRPr="00190F7C" w:rsidR="00184E70">
        <w:rPr>
          <w:rFonts w:ascii="Times New Roman" w:hAnsi="Times New Roman" w:cs="Times New Roman"/>
          <w:bCs/>
          <w:sz w:val="24"/>
          <w:szCs w:val="24"/>
        </w:rPr>
        <w:t>an de Kamer</w:t>
      </w:r>
      <w:r w:rsidRPr="00190F7C">
        <w:rPr>
          <w:rFonts w:ascii="Times New Roman" w:hAnsi="Times New Roman" w:cs="Times New Roman"/>
          <w:bCs/>
          <w:sz w:val="24"/>
          <w:szCs w:val="24"/>
        </w:rPr>
        <w:t xml:space="preserve"> een terugkoppeling verwachten </w:t>
      </w:r>
      <w:r w:rsidRPr="00190F7C" w:rsidR="00DC6DE7">
        <w:rPr>
          <w:rFonts w:ascii="Times New Roman" w:hAnsi="Times New Roman" w:cs="Times New Roman"/>
          <w:bCs/>
          <w:sz w:val="24"/>
          <w:szCs w:val="24"/>
        </w:rPr>
        <w:t>van</w:t>
      </w:r>
      <w:r w:rsidRPr="00190F7C">
        <w:rPr>
          <w:rFonts w:ascii="Times New Roman" w:hAnsi="Times New Roman" w:cs="Times New Roman"/>
          <w:bCs/>
          <w:sz w:val="24"/>
          <w:szCs w:val="24"/>
        </w:rPr>
        <w:t xml:space="preserve"> het onderzoek of het ook van toepassing moet zijn op Caribisch Nederland? </w:t>
      </w:r>
      <w:r w:rsidRPr="00190F7C" w:rsidR="00AE6589">
        <w:rPr>
          <w:rFonts w:ascii="Times New Roman" w:hAnsi="Times New Roman" w:cs="Times New Roman"/>
          <w:bCs/>
          <w:sz w:val="24"/>
          <w:szCs w:val="24"/>
        </w:rPr>
        <w:br/>
      </w:r>
      <w:r w:rsidRPr="00190F7C" w:rsidR="00AE6589">
        <w:rPr>
          <w:rFonts w:ascii="Times New Roman" w:hAnsi="Times New Roman" w:cs="Times New Roman"/>
          <w:bCs/>
          <w:sz w:val="24"/>
          <w:szCs w:val="24"/>
        </w:rPr>
        <w:br/>
      </w:r>
      <w:r w:rsidRPr="00190F7C">
        <w:rPr>
          <w:rFonts w:ascii="Times New Roman" w:hAnsi="Times New Roman" w:cs="Times New Roman"/>
          <w:b/>
          <w:sz w:val="24"/>
          <w:szCs w:val="24"/>
          <w:lang w:eastAsia="nl-NL"/>
        </w:rPr>
        <w:t>3. Implementatie richtlijn</w:t>
      </w:r>
      <w:r w:rsidRPr="00190F7C" w:rsidR="00AE6589">
        <w:rPr>
          <w:rFonts w:ascii="Times New Roman" w:hAnsi="Times New Roman" w:cs="Times New Roman"/>
          <w:b/>
          <w:sz w:val="24"/>
          <w:szCs w:val="24"/>
          <w:lang w:eastAsia="nl-NL"/>
        </w:rPr>
        <w:br/>
      </w:r>
      <w:r w:rsidRPr="00190F7C" w:rsidR="00AE6589">
        <w:rPr>
          <w:rFonts w:ascii="Times New Roman" w:hAnsi="Times New Roman" w:cs="Times New Roman"/>
          <w:b/>
          <w:sz w:val="24"/>
          <w:szCs w:val="24"/>
          <w:lang w:eastAsia="nl-NL"/>
        </w:rPr>
        <w:br/>
      </w:r>
      <w:r w:rsidRPr="00190F7C">
        <w:rPr>
          <w:rFonts w:ascii="Times New Roman" w:hAnsi="Times New Roman" w:cs="Times New Roman"/>
          <w:bCs/>
          <w:i/>
          <w:iCs/>
          <w:sz w:val="24"/>
          <w:szCs w:val="24"/>
          <w:lang w:eastAsia="nl-NL"/>
        </w:rPr>
        <w:t>3.1 Toepasselijkheid richtlijn</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sidR="00446540">
        <w:rPr>
          <w:rFonts w:ascii="Times New Roman" w:hAnsi="Times New Roman" w:cs="Times New Roman"/>
          <w:bCs/>
          <w:sz w:val="24"/>
          <w:szCs w:val="24"/>
          <w:lang w:eastAsia="nl-NL"/>
        </w:rPr>
        <w:t xml:space="preserve">De leden van de </w:t>
      </w:r>
      <w:r w:rsidRPr="00190F7C" w:rsidR="00C40E07">
        <w:rPr>
          <w:rFonts w:ascii="Times New Roman" w:hAnsi="Times New Roman" w:cs="Times New Roman"/>
          <w:bCs/>
          <w:sz w:val="24"/>
          <w:szCs w:val="24"/>
          <w:lang w:eastAsia="nl-NL"/>
        </w:rPr>
        <w:t>GroenLinks-PvdA-</w:t>
      </w:r>
      <w:r w:rsidRPr="00190F7C" w:rsidR="00446540">
        <w:rPr>
          <w:rFonts w:ascii="Times New Roman" w:hAnsi="Times New Roman" w:cs="Times New Roman"/>
          <w:bCs/>
          <w:sz w:val="24"/>
          <w:szCs w:val="24"/>
          <w:lang w:eastAsia="nl-NL"/>
        </w:rPr>
        <w:t xml:space="preserve">fractie begrijpen dat in weerwil van het advies van onder andere de </w:t>
      </w:r>
      <w:proofErr w:type="spellStart"/>
      <w:r w:rsidRPr="00190F7C" w:rsidR="00446540">
        <w:rPr>
          <w:rFonts w:ascii="Times New Roman" w:hAnsi="Times New Roman" w:cs="Times New Roman"/>
          <w:bCs/>
          <w:sz w:val="24"/>
          <w:szCs w:val="24"/>
          <w:lang w:eastAsia="nl-NL"/>
        </w:rPr>
        <w:t>Coalition</w:t>
      </w:r>
      <w:proofErr w:type="spellEnd"/>
      <w:r w:rsidRPr="00190F7C" w:rsidR="00446540">
        <w:rPr>
          <w:rFonts w:ascii="Times New Roman" w:hAnsi="Times New Roman" w:cs="Times New Roman"/>
          <w:bCs/>
          <w:sz w:val="24"/>
          <w:szCs w:val="24"/>
          <w:lang w:eastAsia="nl-NL"/>
        </w:rPr>
        <w:t xml:space="preserve"> </w:t>
      </w:r>
      <w:proofErr w:type="spellStart"/>
      <w:r w:rsidRPr="00190F7C" w:rsidR="00446540">
        <w:rPr>
          <w:rFonts w:ascii="Times New Roman" w:hAnsi="Times New Roman" w:cs="Times New Roman"/>
          <w:bCs/>
          <w:sz w:val="24"/>
          <w:szCs w:val="24"/>
          <w:lang w:eastAsia="nl-NL"/>
        </w:rPr>
        <w:t>Against</w:t>
      </w:r>
      <w:proofErr w:type="spellEnd"/>
      <w:r w:rsidRPr="00190F7C" w:rsidR="00446540">
        <w:rPr>
          <w:rFonts w:ascii="Times New Roman" w:hAnsi="Times New Roman" w:cs="Times New Roman"/>
          <w:bCs/>
          <w:sz w:val="24"/>
          <w:szCs w:val="24"/>
          <w:lang w:eastAsia="nl-NL"/>
        </w:rPr>
        <w:t xml:space="preserve"> </w:t>
      </w:r>
      <w:proofErr w:type="spellStart"/>
      <w:r w:rsidRPr="00190F7C" w:rsidR="00446540">
        <w:rPr>
          <w:rFonts w:ascii="Times New Roman" w:hAnsi="Times New Roman" w:cs="Times New Roman"/>
          <w:bCs/>
          <w:sz w:val="24"/>
          <w:szCs w:val="24"/>
          <w:lang w:eastAsia="nl-NL"/>
        </w:rPr>
        <w:t>SLAPPs</w:t>
      </w:r>
      <w:proofErr w:type="spellEnd"/>
      <w:r w:rsidRPr="00190F7C" w:rsidR="00446540">
        <w:rPr>
          <w:rFonts w:ascii="Times New Roman" w:hAnsi="Times New Roman" w:cs="Times New Roman"/>
          <w:bCs/>
          <w:sz w:val="24"/>
          <w:szCs w:val="24"/>
          <w:lang w:eastAsia="nl-NL"/>
        </w:rPr>
        <w:t xml:space="preserve"> in Europe (</w:t>
      </w:r>
      <w:r w:rsidRPr="00190F7C" w:rsidR="00C40E07">
        <w:rPr>
          <w:rFonts w:ascii="Times New Roman" w:hAnsi="Times New Roman" w:cs="Times New Roman"/>
          <w:bCs/>
          <w:sz w:val="24"/>
          <w:szCs w:val="24"/>
          <w:lang w:eastAsia="nl-NL"/>
        </w:rPr>
        <w:t xml:space="preserve">hierna: </w:t>
      </w:r>
      <w:r w:rsidRPr="00190F7C" w:rsidR="00446540">
        <w:rPr>
          <w:rFonts w:ascii="Times New Roman" w:hAnsi="Times New Roman" w:cs="Times New Roman"/>
          <w:bCs/>
          <w:sz w:val="24"/>
          <w:szCs w:val="24"/>
          <w:lang w:eastAsia="nl-NL"/>
        </w:rPr>
        <w:t>CASE) om de in de</w:t>
      </w:r>
      <w:r w:rsidRPr="00190F7C" w:rsidR="00935C53">
        <w:rPr>
          <w:rFonts w:ascii="Times New Roman" w:hAnsi="Times New Roman" w:cs="Times New Roman"/>
          <w:bCs/>
          <w:sz w:val="24"/>
          <w:szCs w:val="24"/>
          <w:lang w:eastAsia="nl-NL"/>
        </w:rPr>
        <w:t xml:space="preserve"> memorie van</w:t>
      </w:r>
      <w:r w:rsidRPr="00190F7C" w:rsidR="00446540">
        <w:rPr>
          <w:rFonts w:ascii="Times New Roman" w:hAnsi="Times New Roman" w:cs="Times New Roman"/>
          <w:bCs/>
          <w:sz w:val="24"/>
          <w:szCs w:val="24"/>
          <w:lang w:eastAsia="nl-NL"/>
        </w:rPr>
        <w:t xml:space="preserve"> toelichting genoemde handvatten uit de EU-richtlijn in de wet op te nemen</w:t>
      </w:r>
      <w:r w:rsidRPr="00190F7C" w:rsidR="00935C53">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de regering van mening is dat deze wettelijke verankering niet nodig is. Zo is de regering van mening dat de algemene noemer </w:t>
      </w:r>
      <w:r w:rsidRPr="00190F7C" w:rsidR="00935C53">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misbruik van recht</w:t>
      </w:r>
      <w:r w:rsidRPr="00190F7C" w:rsidR="00935C53">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zoals die reeds in artikel 3:13 </w:t>
      </w:r>
      <w:r w:rsidRPr="00190F7C" w:rsidR="00935C53">
        <w:rPr>
          <w:rFonts w:ascii="Times New Roman" w:hAnsi="Times New Roman" w:cs="Times New Roman"/>
          <w:bCs/>
          <w:sz w:val="24"/>
          <w:szCs w:val="24"/>
          <w:lang w:eastAsia="nl-NL"/>
        </w:rPr>
        <w:t xml:space="preserve">van het Burgerlijk Wetboek (hierna: </w:t>
      </w:r>
      <w:r w:rsidRPr="00190F7C" w:rsidR="00446540">
        <w:rPr>
          <w:rFonts w:ascii="Times New Roman" w:hAnsi="Times New Roman" w:cs="Times New Roman"/>
          <w:bCs/>
          <w:sz w:val="24"/>
          <w:szCs w:val="24"/>
          <w:lang w:eastAsia="nl-NL"/>
        </w:rPr>
        <w:t>BW</w:t>
      </w:r>
      <w:r w:rsidRPr="00190F7C" w:rsidR="00935C53">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staat</w:t>
      </w:r>
      <w:r w:rsidRPr="00190F7C" w:rsidR="005D1250">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samen met de in genoemde handvatten en voorbeelden in de toelichting genoeg kader</w:t>
      </w:r>
      <w:r w:rsidRPr="00190F7C" w:rsidR="00F173CD">
        <w:rPr>
          <w:rFonts w:ascii="Times New Roman" w:hAnsi="Times New Roman" w:cs="Times New Roman"/>
          <w:bCs/>
          <w:sz w:val="24"/>
          <w:szCs w:val="24"/>
          <w:lang w:eastAsia="nl-NL"/>
        </w:rPr>
        <w:t>s</w:t>
      </w:r>
      <w:r w:rsidRPr="00190F7C" w:rsidR="00446540">
        <w:rPr>
          <w:rFonts w:ascii="Times New Roman" w:hAnsi="Times New Roman" w:cs="Times New Roman"/>
          <w:bCs/>
          <w:sz w:val="24"/>
          <w:szCs w:val="24"/>
          <w:lang w:eastAsia="nl-NL"/>
        </w:rPr>
        <w:t xml:space="preserve"> bied</w:t>
      </w:r>
      <w:r w:rsidRPr="00190F7C" w:rsidR="00F173CD">
        <w:rPr>
          <w:rFonts w:ascii="Times New Roman" w:hAnsi="Times New Roman" w:cs="Times New Roman"/>
          <w:bCs/>
          <w:sz w:val="24"/>
          <w:szCs w:val="24"/>
          <w:lang w:eastAsia="nl-NL"/>
        </w:rPr>
        <w:t>en</w:t>
      </w:r>
      <w:r w:rsidRPr="00190F7C" w:rsidR="00446540">
        <w:rPr>
          <w:rFonts w:ascii="Times New Roman" w:hAnsi="Times New Roman" w:cs="Times New Roman"/>
          <w:bCs/>
          <w:sz w:val="24"/>
          <w:szCs w:val="24"/>
          <w:lang w:eastAsia="nl-NL"/>
        </w:rPr>
        <w:t xml:space="preserve"> voor rechters om</w:t>
      </w:r>
      <w:r w:rsidRPr="00190F7C" w:rsidR="00473B21">
        <w:rPr>
          <w:rFonts w:ascii="Times New Roman" w:hAnsi="Times New Roman" w:cs="Times New Roman"/>
          <w:bCs/>
          <w:sz w:val="24"/>
          <w:szCs w:val="24"/>
          <w:lang w:eastAsia="nl-NL"/>
        </w:rPr>
        <w:t xml:space="preserve"> </w:t>
      </w:r>
      <w:r w:rsidRPr="00190F7C" w:rsidR="00446540">
        <w:rPr>
          <w:rFonts w:ascii="Times New Roman" w:hAnsi="Times New Roman" w:cs="Times New Roman"/>
          <w:bCs/>
          <w:sz w:val="24"/>
          <w:szCs w:val="24"/>
          <w:lang w:eastAsia="nl-NL"/>
        </w:rPr>
        <w:t>SLAPP</w:t>
      </w:r>
      <w:r w:rsidRPr="00190F7C" w:rsidR="00F173CD">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zaken te kunnen beoordelen. Wat verzet zich ertegen om de genoemde handvatten uit de EU-richtlijn toch op te nemen in de wet? Temeer daar er gezien de beperkte jurisprudentie maar weinig aanknopingspunten voor rechters zijn. Bovendien menen de</w:t>
      </w:r>
      <w:r w:rsidRPr="00190F7C" w:rsidR="00802D96">
        <w:rPr>
          <w:rFonts w:ascii="Times New Roman" w:hAnsi="Times New Roman" w:cs="Times New Roman"/>
          <w:bCs/>
          <w:sz w:val="24"/>
          <w:szCs w:val="24"/>
          <w:lang w:eastAsia="nl-NL"/>
        </w:rPr>
        <w:t>ze</w:t>
      </w:r>
      <w:r w:rsidRPr="00190F7C" w:rsidR="00446540">
        <w:rPr>
          <w:rFonts w:ascii="Times New Roman" w:hAnsi="Times New Roman" w:cs="Times New Roman"/>
          <w:bCs/>
          <w:sz w:val="24"/>
          <w:szCs w:val="24"/>
          <w:lang w:eastAsia="nl-NL"/>
        </w:rPr>
        <w:t xml:space="preserve"> leden dat artikel 3:13 </w:t>
      </w:r>
      <w:r w:rsidRPr="00190F7C" w:rsidR="00802D96">
        <w:rPr>
          <w:rFonts w:ascii="Times New Roman" w:hAnsi="Times New Roman" w:cs="Times New Roman"/>
          <w:bCs/>
          <w:sz w:val="24"/>
          <w:szCs w:val="24"/>
          <w:lang w:eastAsia="nl-NL"/>
        </w:rPr>
        <w:t xml:space="preserve">van het </w:t>
      </w:r>
      <w:r w:rsidRPr="00190F7C" w:rsidR="00446540">
        <w:rPr>
          <w:rFonts w:ascii="Times New Roman" w:hAnsi="Times New Roman" w:cs="Times New Roman"/>
          <w:bCs/>
          <w:sz w:val="24"/>
          <w:szCs w:val="24"/>
          <w:lang w:eastAsia="nl-NL"/>
        </w:rPr>
        <w:t xml:space="preserve">BW met betrekking tot misbruik van het procesrecht dermate breed geformuleerd is dat dat niet aansluit bij wat er in SLAPP-zaken specifiek nodig is. En hoe verhoudt de keuze om de handvatten niet wettelijk te verankeren zich tot de aanbevelingen van de Europese Commissie en de Raad van Europa, die juist pleiten voor duidelijke juridische kaders en bescherming tegen het misbruikende karakter van procedures, los van de inhoudelijke (on)gegrondheid? Kan de regering aangeven hoe er in andere lidstaten van de EU wordt omgegaan met deze aanbevelingen en of daar wel sprake is van een wettelijke verankering van de handvatten? </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sidR="00446540">
        <w:rPr>
          <w:rFonts w:ascii="Times New Roman" w:hAnsi="Times New Roman" w:cs="Times New Roman"/>
          <w:bCs/>
          <w:sz w:val="24"/>
          <w:szCs w:val="24"/>
          <w:lang w:eastAsia="nl-NL"/>
        </w:rPr>
        <w:lastRenderedPageBreak/>
        <w:t xml:space="preserve">De leden van de </w:t>
      </w:r>
      <w:r w:rsidRPr="00190F7C" w:rsidR="00960592">
        <w:rPr>
          <w:rFonts w:ascii="Times New Roman" w:hAnsi="Times New Roman" w:cs="Times New Roman"/>
          <w:bCs/>
          <w:sz w:val="24"/>
          <w:szCs w:val="24"/>
          <w:lang w:eastAsia="nl-NL"/>
        </w:rPr>
        <w:t>GroenLinks-PvdA-</w:t>
      </w:r>
      <w:r w:rsidRPr="00190F7C" w:rsidR="00446540">
        <w:rPr>
          <w:rFonts w:ascii="Times New Roman" w:hAnsi="Times New Roman" w:cs="Times New Roman"/>
          <w:bCs/>
          <w:sz w:val="24"/>
          <w:szCs w:val="24"/>
          <w:lang w:eastAsia="nl-NL"/>
        </w:rPr>
        <w:t xml:space="preserve">fractie lezen </w:t>
      </w:r>
      <w:r w:rsidRPr="00190F7C" w:rsidR="00960592">
        <w:rPr>
          <w:rFonts w:ascii="Times New Roman" w:hAnsi="Times New Roman" w:cs="Times New Roman"/>
          <w:bCs/>
          <w:sz w:val="24"/>
          <w:szCs w:val="24"/>
          <w:lang w:eastAsia="nl-NL"/>
        </w:rPr>
        <w:t>in de memorie van toelichting</w:t>
      </w:r>
      <w:r w:rsidRPr="00190F7C" w:rsidR="00446540">
        <w:rPr>
          <w:rFonts w:ascii="Times New Roman" w:hAnsi="Times New Roman" w:cs="Times New Roman"/>
          <w:bCs/>
          <w:sz w:val="24"/>
          <w:szCs w:val="24"/>
          <w:lang w:eastAsia="nl-NL"/>
        </w:rPr>
        <w:t xml:space="preserve"> dat er gewerkt wordt aan toegankelijke en begrijpelijke informatie over het fenomeen </w:t>
      </w:r>
      <w:r w:rsidRPr="00190F7C" w:rsidR="00960592">
        <w:rPr>
          <w:rFonts w:ascii="Times New Roman" w:hAnsi="Times New Roman" w:cs="Times New Roman"/>
          <w:bCs/>
          <w:sz w:val="24"/>
          <w:szCs w:val="24"/>
          <w:lang w:eastAsia="nl-NL"/>
        </w:rPr>
        <w:t>‘</w:t>
      </w:r>
      <w:proofErr w:type="spellStart"/>
      <w:r w:rsidRPr="00190F7C" w:rsidR="00446540">
        <w:rPr>
          <w:rFonts w:ascii="Times New Roman" w:hAnsi="Times New Roman" w:cs="Times New Roman"/>
          <w:bCs/>
          <w:sz w:val="24"/>
          <w:szCs w:val="24"/>
          <w:lang w:eastAsia="nl-NL"/>
        </w:rPr>
        <w:t>SLAPPs</w:t>
      </w:r>
      <w:proofErr w:type="spellEnd"/>
      <w:r w:rsidRPr="00190F7C" w:rsidR="00960592">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Daarbij wordt in eerste instantie aangesloten bij de bestaande structuren, zoals het platform </w:t>
      </w:r>
      <w:proofErr w:type="spellStart"/>
      <w:r w:rsidRPr="00190F7C" w:rsidR="00446540">
        <w:rPr>
          <w:rFonts w:ascii="Times New Roman" w:hAnsi="Times New Roman" w:cs="Times New Roman"/>
          <w:bCs/>
          <w:sz w:val="24"/>
          <w:szCs w:val="24"/>
          <w:lang w:eastAsia="nl-NL"/>
        </w:rPr>
        <w:t>PersVeilig</w:t>
      </w:r>
      <w:proofErr w:type="spellEnd"/>
      <w:r w:rsidRPr="00190F7C" w:rsidR="00446540">
        <w:rPr>
          <w:rFonts w:ascii="Times New Roman" w:hAnsi="Times New Roman" w:cs="Times New Roman"/>
          <w:bCs/>
          <w:sz w:val="24"/>
          <w:szCs w:val="24"/>
          <w:lang w:eastAsia="nl-NL"/>
        </w:rPr>
        <w:t xml:space="preserve"> en de Balie Persvrijheid. Hoewel de</w:t>
      </w:r>
      <w:r w:rsidRPr="00190F7C" w:rsidR="00960592">
        <w:rPr>
          <w:rFonts w:ascii="Times New Roman" w:hAnsi="Times New Roman" w:cs="Times New Roman"/>
          <w:bCs/>
          <w:sz w:val="24"/>
          <w:szCs w:val="24"/>
          <w:lang w:eastAsia="nl-NL"/>
        </w:rPr>
        <w:t>ze</w:t>
      </w:r>
      <w:r w:rsidRPr="00190F7C" w:rsidR="00446540">
        <w:rPr>
          <w:rFonts w:ascii="Times New Roman" w:hAnsi="Times New Roman" w:cs="Times New Roman"/>
          <w:bCs/>
          <w:sz w:val="24"/>
          <w:szCs w:val="24"/>
          <w:lang w:eastAsia="nl-NL"/>
        </w:rPr>
        <w:t xml:space="preserve"> leden begrijpen dat journalisten doelwit van </w:t>
      </w:r>
      <w:proofErr w:type="spellStart"/>
      <w:r w:rsidRPr="00190F7C" w:rsidR="00446540">
        <w:rPr>
          <w:rFonts w:ascii="Times New Roman" w:hAnsi="Times New Roman" w:cs="Times New Roman"/>
          <w:bCs/>
          <w:sz w:val="24"/>
          <w:szCs w:val="24"/>
          <w:lang w:eastAsia="nl-NL"/>
        </w:rPr>
        <w:t>SLAPPs</w:t>
      </w:r>
      <w:proofErr w:type="spellEnd"/>
      <w:r w:rsidRPr="00190F7C" w:rsidR="00446540">
        <w:rPr>
          <w:rFonts w:ascii="Times New Roman" w:hAnsi="Times New Roman" w:cs="Times New Roman"/>
          <w:bCs/>
          <w:sz w:val="24"/>
          <w:szCs w:val="24"/>
          <w:lang w:eastAsia="nl-NL"/>
        </w:rPr>
        <w:t xml:space="preserve"> kunnen worden en het goed is dat de informatiepositie voor journalisten wordt verbeterd, vragen zij of er ook gewerkt wordt aan het informeren en ondersteunen van andere kwetsbare groepen</w:t>
      </w:r>
      <w:r w:rsidRPr="00190F7C" w:rsidR="00960592">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zoals activisten, wetenschappers, medewerkers </w:t>
      </w:r>
      <w:r w:rsidRPr="00190F7C" w:rsidR="00960592">
        <w:rPr>
          <w:rFonts w:ascii="Times New Roman" w:hAnsi="Times New Roman" w:cs="Times New Roman"/>
          <w:bCs/>
          <w:sz w:val="24"/>
          <w:szCs w:val="24"/>
          <w:lang w:eastAsia="nl-NL"/>
        </w:rPr>
        <w:t>van niet-gou</w:t>
      </w:r>
      <w:r w:rsidRPr="00190F7C" w:rsidR="00960592">
        <w:rPr>
          <w:rFonts w:ascii="Times New Roman" w:hAnsi="Times New Roman" w:cs="Times New Roman"/>
          <w:bCs/>
          <w:sz w:val="24"/>
          <w:szCs w:val="24"/>
          <w:lang w:eastAsia="nl-NL"/>
        </w:rPr>
        <w:softHyphen/>
        <w:t>ver</w:t>
      </w:r>
      <w:r w:rsidRPr="00190F7C" w:rsidR="00960592">
        <w:rPr>
          <w:rFonts w:ascii="Times New Roman" w:hAnsi="Times New Roman" w:cs="Times New Roman"/>
          <w:bCs/>
          <w:sz w:val="24"/>
          <w:szCs w:val="24"/>
          <w:lang w:eastAsia="nl-NL"/>
        </w:rPr>
        <w:softHyphen/>
        <w:t>ne</w:t>
      </w:r>
      <w:r w:rsidRPr="00190F7C" w:rsidR="00960592">
        <w:rPr>
          <w:rFonts w:ascii="Times New Roman" w:hAnsi="Times New Roman" w:cs="Times New Roman"/>
          <w:bCs/>
          <w:sz w:val="24"/>
          <w:szCs w:val="24"/>
          <w:lang w:eastAsia="nl-NL"/>
        </w:rPr>
        <w:softHyphen/>
        <w:t>men</w:t>
      </w:r>
      <w:r w:rsidRPr="00190F7C" w:rsidR="00960592">
        <w:rPr>
          <w:rFonts w:ascii="Times New Roman" w:hAnsi="Times New Roman" w:cs="Times New Roman"/>
          <w:bCs/>
          <w:sz w:val="24"/>
          <w:szCs w:val="24"/>
          <w:lang w:eastAsia="nl-NL"/>
        </w:rPr>
        <w:softHyphen/>
        <w:t>te</w:t>
      </w:r>
      <w:r w:rsidRPr="00190F7C" w:rsidR="00960592">
        <w:rPr>
          <w:rFonts w:ascii="Times New Roman" w:hAnsi="Times New Roman" w:cs="Times New Roman"/>
          <w:bCs/>
          <w:sz w:val="24"/>
          <w:szCs w:val="24"/>
          <w:lang w:eastAsia="nl-NL"/>
        </w:rPr>
        <w:softHyphen/>
        <w:t>le or</w:t>
      </w:r>
      <w:r w:rsidRPr="00190F7C" w:rsidR="00960592">
        <w:rPr>
          <w:rFonts w:ascii="Times New Roman" w:hAnsi="Times New Roman" w:cs="Times New Roman"/>
          <w:bCs/>
          <w:sz w:val="24"/>
          <w:szCs w:val="24"/>
          <w:lang w:eastAsia="nl-NL"/>
        </w:rPr>
        <w:softHyphen/>
        <w:t>ga</w:t>
      </w:r>
      <w:r w:rsidRPr="00190F7C" w:rsidR="00960592">
        <w:rPr>
          <w:rFonts w:ascii="Times New Roman" w:hAnsi="Times New Roman" w:cs="Times New Roman"/>
          <w:bCs/>
          <w:sz w:val="24"/>
          <w:szCs w:val="24"/>
          <w:lang w:eastAsia="nl-NL"/>
        </w:rPr>
        <w:softHyphen/>
        <w:t>ni</w:t>
      </w:r>
      <w:r w:rsidRPr="00190F7C" w:rsidR="00960592">
        <w:rPr>
          <w:rFonts w:ascii="Times New Roman" w:hAnsi="Times New Roman" w:cs="Times New Roman"/>
          <w:bCs/>
          <w:sz w:val="24"/>
          <w:szCs w:val="24"/>
          <w:lang w:eastAsia="nl-NL"/>
        </w:rPr>
        <w:softHyphen/>
        <w:t>sa</w:t>
      </w:r>
      <w:r w:rsidRPr="00190F7C" w:rsidR="00960592">
        <w:rPr>
          <w:rFonts w:ascii="Times New Roman" w:hAnsi="Times New Roman" w:cs="Times New Roman"/>
          <w:bCs/>
          <w:sz w:val="24"/>
          <w:szCs w:val="24"/>
          <w:lang w:eastAsia="nl-NL"/>
        </w:rPr>
        <w:softHyphen/>
        <w:t xml:space="preserve">ties </w:t>
      </w:r>
      <w:r w:rsidRPr="00190F7C" w:rsidR="005E3A27">
        <w:rPr>
          <w:rFonts w:ascii="Times New Roman" w:hAnsi="Times New Roman" w:cs="Times New Roman"/>
          <w:bCs/>
          <w:sz w:val="24"/>
          <w:szCs w:val="24"/>
          <w:lang w:eastAsia="nl-NL"/>
        </w:rPr>
        <w:t>en</w:t>
      </w:r>
      <w:r w:rsidRPr="00190F7C" w:rsidR="00446540">
        <w:rPr>
          <w:rFonts w:ascii="Times New Roman" w:hAnsi="Times New Roman" w:cs="Times New Roman"/>
          <w:bCs/>
          <w:sz w:val="24"/>
          <w:szCs w:val="24"/>
          <w:lang w:eastAsia="nl-NL"/>
        </w:rPr>
        <w:t xml:space="preserve"> klokkenluiders</w:t>
      </w:r>
      <w:r w:rsidRPr="00190F7C" w:rsidR="00DC6DE7">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Zo ja, zijn daar concrete plannen voor en wat houden die in? Zo nee, waarom </w:t>
      </w:r>
      <w:r w:rsidRPr="00190F7C" w:rsidR="00F10B57">
        <w:rPr>
          <w:rFonts w:ascii="Times New Roman" w:hAnsi="Times New Roman" w:cs="Times New Roman"/>
          <w:bCs/>
          <w:sz w:val="24"/>
          <w:szCs w:val="24"/>
          <w:lang w:eastAsia="nl-NL"/>
        </w:rPr>
        <w:t>(nog)</w:t>
      </w:r>
      <w:r w:rsidRPr="00190F7C" w:rsidR="00446540">
        <w:rPr>
          <w:rFonts w:ascii="Times New Roman" w:hAnsi="Times New Roman" w:cs="Times New Roman"/>
          <w:bCs/>
          <w:sz w:val="24"/>
          <w:szCs w:val="24"/>
          <w:lang w:eastAsia="nl-NL"/>
        </w:rPr>
        <w:t xml:space="preserve"> niet? </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sidR="00446540">
        <w:rPr>
          <w:rFonts w:ascii="Times New Roman" w:hAnsi="Times New Roman" w:cs="Times New Roman"/>
          <w:bCs/>
          <w:sz w:val="24"/>
          <w:szCs w:val="24"/>
          <w:lang w:eastAsia="nl-NL"/>
        </w:rPr>
        <w:t xml:space="preserve">De leden van de </w:t>
      </w:r>
      <w:r w:rsidRPr="00190F7C" w:rsidR="005E3A27">
        <w:rPr>
          <w:rFonts w:ascii="Times New Roman" w:hAnsi="Times New Roman" w:cs="Times New Roman"/>
          <w:bCs/>
          <w:sz w:val="24"/>
          <w:szCs w:val="24"/>
          <w:lang w:eastAsia="nl-NL"/>
        </w:rPr>
        <w:t>NSC-</w:t>
      </w:r>
      <w:r w:rsidRPr="00190F7C" w:rsidR="00446540">
        <w:rPr>
          <w:rFonts w:ascii="Times New Roman" w:hAnsi="Times New Roman" w:cs="Times New Roman"/>
          <w:bCs/>
          <w:sz w:val="24"/>
          <w:szCs w:val="24"/>
          <w:lang w:eastAsia="nl-NL"/>
        </w:rPr>
        <w:t>fractie</w:t>
      </w:r>
      <w:r w:rsidRPr="00190F7C" w:rsidR="005E3A27">
        <w:rPr>
          <w:rFonts w:ascii="Times New Roman" w:hAnsi="Times New Roman" w:cs="Times New Roman"/>
          <w:bCs/>
          <w:sz w:val="24"/>
          <w:szCs w:val="24"/>
          <w:lang w:eastAsia="nl-NL"/>
        </w:rPr>
        <w:t xml:space="preserve"> </w:t>
      </w:r>
      <w:r w:rsidRPr="00190F7C" w:rsidR="00446540">
        <w:rPr>
          <w:rFonts w:ascii="Times New Roman" w:hAnsi="Times New Roman" w:cs="Times New Roman"/>
          <w:bCs/>
          <w:sz w:val="24"/>
          <w:szCs w:val="24"/>
          <w:lang w:eastAsia="nl-NL"/>
        </w:rPr>
        <w:t xml:space="preserve">hebben kennisgenomen van de definitie die wordt gegeven van het (brede) begrip ‘publieke participatie’, namelijk: </w:t>
      </w:r>
      <w:r w:rsidRPr="00190F7C" w:rsidR="005E3A27">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het doen van enige verklaring of activiteit door een natuurlijke persoon of een rechtspersoon in de uitoefening van het recht op vrijheid van meningsuiting en van informatie, vrijheid van kunsten en wetenschappen, of vrijheid van verzameling en vereniging, alsmede enige daarmee rechtstreeks verband houdende voorbereidende, ondersteunende of bijstandsverlenende activiteiten, die betrekking hebben op een zaak van algemeen belang</w:t>
      </w:r>
      <w:r w:rsidRPr="00190F7C" w:rsidR="005E3A27">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Deze leden lezen in de memorie van toelichting dat deze omschrijving bewust ruim is gehouden en geen limitatieve opsomming bevat, omdat ‘publieke participatie’ allerlei verschillende verschijningsvormen kan hebben. Die diversiteit geldt ook voor de betrokken actoren, zoals journalisten en onderzoekers. Deze leden vinden dat in principe begrijpelijk, maar wijzen er wel op dat het voor de rechtszekerheid beter zou zijn als bijvoorbeeld meer bepaald zou zijn wie SLAPP-doelwitten kunnen zijn. Ziet de regering kans om hier iets meer duiding bij te geven? </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sidR="00446540">
        <w:rPr>
          <w:rFonts w:ascii="Times New Roman" w:hAnsi="Times New Roman" w:cs="Times New Roman"/>
          <w:bCs/>
          <w:sz w:val="24"/>
          <w:szCs w:val="24"/>
          <w:lang w:eastAsia="nl-NL"/>
        </w:rPr>
        <w:t xml:space="preserve">De leden van de </w:t>
      </w:r>
      <w:r w:rsidRPr="00190F7C" w:rsidR="00BB4E2D">
        <w:rPr>
          <w:rFonts w:ascii="Times New Roman" w:hAnsi="Times New Roman" w:cs="Times New Roman"/>
          <w:bCs/>
          <w:sz w:val="24"/>
          <w:szCs w:val="24"/>
          <w:lang w:eastAsia="nl-NL"/>
        </w:rPr>
        <w:t>NSC-</w:t>
      </w:r>
      <w:r w:rsidRPr="00190F7C" w:rsidR="00446540">
        <w:rPr>
          <w:rFonts w:ascii="Times New Roman" w:hAnsi="Times New Roman" w:cs="Times New Roman"/>
          <w:bCs/>
          <w:sz w:val="24"/>
          <w:szCs w:val="24"/>
          <w:lang w:eastAsia="nl-NL"/>
        </w:rPr>
        <w:t>fractie hebben kennisgenomen van de uiteenzetting van ‘misbruik van procesrecht’ in de memorie van toelichting. De rechter moet beoordelen of naar zijn/haar oordeel sprake is van een kennelijk ongegronde vordering en/of misbruik van procesrecht. Kan de regering nader toelichten hoe dit toetsingskader voor de rechter er in de Nederlandse context uitziet? Kan de regering daarbij de bestaande Nederlandse rechtspraak betrekken?</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sidR="00446540">
        <w:rPr>
          <w:rFonts w:ascii="Times New Roman" w:hAnsi="Times New Roman" w:cs="Times New Roman"/>
          <w:bCs/>
          <w:sz w:val="24"/>
          <w:szCs w:val="24"/>
        </w:rPr>
        <w:t xml:space="preserve">De leden van de </w:t>
      </w:r>
      <w:r w:rsidRPr="00190F7C" w:rsidR="00BB4E2D">
        <w:rPr>
          <w:rFonts w:ascii="Times New Roman" w:hAnsi="Times New Roman" w:cs="Times New Roman"/>
          <w:bCs/>
          <w:sz w:val="24"/>
          <w:szCs w:val="24"/>
        </w:rPr>
        <w:t>NSC-</w:t>
      </w:r>
      <w:r w:rsidRPr="00190F7C" w:rsidR="00446540">
        <w:rPr>
          <w:rFonts w:ascii="Times New Roman" w:hAnsi="Times New Roman" w:cs="Times New Roman"/>
          <w:bCs/>
          <w:sz w:val="24"/>
          <w:szCs w:val="24"/>
        </w:rPr>
        <w:t xml:space="preserve">fractie lezen dat artikel 19 van de richtlijn voorschrijft dat lidstaten maatregelen moeten nemen om SLAPP-doelwitten te ondersteunen middels informatieverschaffing over deze procedurele waarborgen, rechtsbijstand, en financiële en psychologische ondersteuning en dat ze bewustwordingscampagnes moeten </w:t>
      </w:r>
      <w:r w:rsidRPr="00190F7C" w:rsidR="00473CA2">
        <w:rPr>
          <w:rFonts w:ascii="Times New Roman" w:hAnsi="Times New Roman" w:cs="Times New Roman"/>
          <w:bCs/>
          <w:sz w:val="24"/>
          <w:szCs w:val="24"/>
        </w:rPr>
        <w:t>organiser</w:t>
      </w:r>
      <w:r w:rsidRPr="00190F7C" w:rsidR="00446540">
        <w:rPr>
          <w:rFonts w:ascii="Times New Roman" w:hAnsi="Times New Roman" w:cs="Times New Roman"/>
          <w:bCs/>
          <w:sz w:val="24"/>
          <w:szCs w:val="24"/>
        </w:rPr>
        <w:t xml:space="preserve">en. In de memorie van toelichting staat dat wordt gewerkt aan toegankelijke en begrijpelijke informatie over het fenomeen </w:t>
      </w:r>
      <w:proofErr w:type="spellStart"/>
      <w:r w:rsidRPr="00190F7C" w:rsidR="00446540">
        <w:rPr>
          <w:rFonts w:ascii="Times New Roman" w:hAnsi="Times New Roman" w:cs="Times New Roman"/>
          <w:bCs/>
          <w:sz w:val="24"/>
          <w:szCs w:val="24"/>
        </w:rPr>
        <w:t>SLAPPs</w:t>
      </w:r>
      <w:proofErr w:type="spellEnd"/>
      <w:r w:rsidRPr="00190F7C" w:rsidR="00446540">
        <w:rPr>
          <w:rFonts w:ascii="Times New Roman" w:hAnsi="Times New Roman" w:cs="Times New Roman"/>
          <w:bCs/>
          <w:sz w:val="24"/>
          <w:szCs w:val="24"/>
        </w:rPr>
        <w:t xml:space="preserve">, over de anti-SLAPP-waarborgen en over organisaties die een rechtzoekende ondersteuning kunnen bieden. De regering beziet of aansluiting kan worden gezocht bij de bestaande structuren, zoals het platform </w:t>
      </w:r>
      <w:proofErr w:type="spellStart"/>
      <w:r w:rsidRPr="00190F7C" w:rsidR="00446540">
        <w:rPr>
          <w:rFonts w:ascii="Times New Roman" w:hAnsi="Times New Roman" w:cs="Times New Roman"/>
          <w:bCs/>
          <w:sz w:val="24"/>
          <w:szCs w:val="24"/>
        </w:rPr>
        <w:t>PersVeilig</w:t>
      </w:r>
      <w:proofErr w:type="spellEnd"/>
      <w:r w:rsidRPr="00190F7C" w:rsidR="00446540">
        <w:rPr>
          <w:rFonts w:ascii="Times New Roman" w:hAnsi="Times New Roman" w:cs="Times New Roman"/>
          <w:bCs/>
          <w:sz w:val="24"/>
          <w:szCs w:val="24"/>
        </w:rPr>
        <w:t xml:space="preserve"> en de Balie Persvrijheid. Ook zal zij de ontwikkelingen </w:t>
      </w:r>
      <w:r w:rsidRPr="00190F7C" w:rsidR="00BB4E2D">
        <w:rPr>
          <w:rFonts w:ascii="Times New Roman" w:hAnsi="Times New Roman" w:cs="Times New Roman"/>
          <w:bCs/>
          <w:sz w:val="24"/>
          <w:szCs w:val="24"/>
        </w:rPr>
        <w:t>betreffende</w:t>
      </w:r>
      <w:r w:rsidRPr="00190F7C" w:rsidR="00446540">
        <w:rPr>
          <w:rFonts w:ascii="Times New Roman" w:hAnsi="Times New Roman" w:cs="Times New Roman"/>
          <w:bCs/>
          <w:sz w:val="24"/>
          <w:szCs w:val="24"/>
        </w:rPr>
        <w:t xml:space="preserve"> </w:t>
      </w:r>
      <w:proofErr w:type="spellStart"/>
      <w:r w:rsidRPr="00190F7C" w:rsidR="00446540">
        <w:rPr>
          <w:rFonts w:ascii="Times New Roman" w:hAnsi="Times New Roman" w:cs="Times New Roman"/>
          <w:bCs/>
          <w:sz w:val="24"/>
          <w:szCs w:val="24"/>
        </w:rPr>
        <w:t>SLAPPs</w:t>
      </w:r>
      <w:proofErr w:type="spellEnd"/>
      <w:r w:rsidRPr="00190F7C" w:rsidR="00446540">
        <w:rPr>
          <w:rFonts w:ascii="Times New Roman" w:hAnsi="Times New Roman" w:cs="Times New Roman"/>
          <w:bCs/>
          <w:sz w:val="24"/>
          <w:szCs w:val="24"/>
        </w:rPr>
        <w:t xml:space="preserve"> in Nederland monitoren, bijvoorbeeld door dialoog met betrokken organisaties en de Raad voor de </w:t>
      </w:r>
      <w:r w:rsidRPr="00190F7C" w:rsidR="00BB4E2D">
        <w:rPr>
          <w:rFonts w:ascii="Times New Roman" w:hAnsi="Times New Roman" w:cs="Times New Roman"/>
          <w:bCs/>
          <w:sz w:val="24"/>
          <w:szCs w:val="24"/>
        </w:rPr>
        <w:t>r</w:t>
      </w:r>
      <w:r w:rsidRPr="00190F7C" w:rsidR="00446540">
        <w:rPr>
          <w:rFonts w:ascii="Times New Roman" w:hAnsi="Times New Roman" w:cs="Times New Roman"/>
          <w:bCs/>
          <w:sz w:val="24"/>
          <w:szCs w:val="24"/>
        </w:rPr>
        <w:t xml:space="preserve">echtspraak. Kan de regering alvast aangeven hoe de informatieverschaffing en de bewustwordingscampagnes omtrent </w:t>
      </w:r>
      <w:proofErr w:type="spellStart"/>
      <w:r w:rsidRPr="00190F7C" w:rsidR="00446540">
        <w:rPr>
          <w:rFonts w:ascii="Times New Roman" w:hAnsi="Times New Roman" w:cs="Times New Roman"/>
          <w:bCs/>
          <w:sz w:val="24"/>
          <w:szCs w:val="24"/>
        </w:rPr>
        <w:t>SLAPPs</w:t>
      </w:r>
      <w:proofErr w:type="spellEnd"/>
      <w:r w:rsidRPr="00190F7C" w:rsidR="00446540">
        <w:rPr>
          <w:rFonts w:ascii="Times New Roman" w:hAnsi="Times New Roman" w:cs="Times New Roman"/>
          <w:bCs/>
          <w:sz w:val="24"/>
          <w:szCs w:val="24"/>
        </w:rPr>
        <w:t xml:space="preserve"> eruit gaan zien?</w:t>
      </w:r>
      <w:r w:rsidRPr="00190F7C" w:rsidR="00AE6589">
        <w:rPr>
          <w:rFonts w:ascii="Times New Roman" w:hAnsi="Times New Roman" w:cs="Times New Roman"/>
          <w:bCs/>
          <w:sz w:val="24"/>
          <w:szCs w:val="24"/>
        </w:rPr>
        <w:br/>
      </w:r>
      <w:r w:rsidRPr="00190F7C" w:rsidR="00AE6589">
        <w:rPr>
          <w:rFonts w:ascii="Times New Roman" w:hAnsi="Times New Roman" w:cs="Times New Roman"/>
          <w:bCs/>
          <w:sz w:val="24"/>
          <w:szCs w:val="24"/>
        </w:rPr>
        <w:br/>
      </w:r>
      <w:r w:rsidRPr="00190F7C" w:rsidR="00E662ED">
        <w:rPr>
          <w:rFonts w:ascii="Times New Roman" w:hAnsi="Times New Roman" w:cs="Times New Roman"/>
          <w:bCs/>
          <w:sz w:val="24"/>
          <w:szCs w:val="24"/>
          <w:lang w:eastAsia="nl-NL"/>
        </w:rPr>
        <w:t xml:space="preserve">De leden van de D66-fractie zijn verheugd om te lezen dat de regering ook mogelijkheden verkent hoe in binnenlandse SLAPP-zaken zonder grensoverschrijdend element effectieve bescherming kan worden geboden, waaronder het instrument van zekerheidstelling. Kan de </w:t>
      </w:r>
      <w:r w:rsidRPr="00190F7C" w:rsidR="00E662ED">
        <w:rPr>
          <w:rFonts w:ascii="Times New Roman" w:hAnsi="Times New Roman" w:cs="Times New Roman"/>
          <w:bCs/>
          <w:sz w:val="24"/>
          <w:szCs w:val="24"/>
          <w:lang w:eastAsia="nl-NL"/>
        </w:rPr>
        <w:lastRenderedPageBreak/>
        <w:t xml:space="preserve">regering toelichten op welke wijze – in afwachting van de nationale </w:t>
      </w:r>
      <w:r w:rsidRPr="00190F7C" w:rsidR="00453C88">
        <w:rPr>
          <w:rFonts w:ascii="Times New Roman" w:hAnsi="Times New Roman" w:cs="Times New Roman"/>
          <w:bCs/>
          <w:sz w:val="24"/>
          <w:szCs w:val="24"/>
          <w:lang w:eastAsia="nl-NL"/>
        </w:rPr>
        <w:t>wetgeving</w:t>
      </w:r>
      <w:r w:rsidRPr="00190F7C" w:rsidR="00E662ED">
        <w:rPr>
          <w:rFonts w:ascii="Times New Roman" w:hAnsi="Times New Roman" w:cs="Times New Roman"/>
          <w:bCs/>
          <w:sz w:val="24"/>
          <w:szCs w:val="24"/>
          <w:lang w:eastAsia="nl-NL"/>
        </w:rPr>
        <w:t xml:space="preserve"> – wordt gewaarborgd dat het beschermingsniveau in nationale SLAPP-zaken gelijkwaardig is aan dat in internationale SLAPP-zaken, o</w:t>
      </w:r>
      <w:r w:rsidRPr="00190F7C" w:rsidR="00C87D5F">
        <w:rPr>
          <w:rFonts w:ascii="Times New Roman" w:hAnsi="Times New Roman" w:cs="Times New Roman"/>
          <w:bCs/>
          <w:sz w:val="24"/>
          <w:szCs w:val="24"/>
          <w:lang w:eastAsia="nl-NL"/>
        </w:rPr>
        <w:t>nder andere</w:t>
      </w:r>
      <w:r w:rsidRPr="00190F7C" w:rsidR="00E662ED">
        <w:rPr>
          <w:rFonts w:ascii="Times New Roman" w:hAnsi="Times New Roman" w:cs="Times New Roman"/>
          <w:bCs/>
          <w:sz w:val="24"/>
          <w:szCs w:val="24"/>
          <w:lang w:eastAsia="nl-NL"/>
        </w:rPr>
        <w:t xml:space="preserve"> in de zekerheidstelling? </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Pr>
          <w:rStyle w:val="normaltextrun"/>
          <w:rFonts w:ascii="Times New Roman" w:hAnsi="Times New Roman" w:cs="Times New Roman"/>
          <w:sz w:val="24"/>
          <w:szCs w:val="24"/>
        </w:rPr>
        <w:t xml:space="preserve">De leden van de </w:t>
      </w:r>
      <w:r w:rsidRPr="00190F7C" w:rsidR="00453C88">
        <w:rPr>
          <w:rStyle w:val="normaltextrun"/>
          <w:rFonts w:ascii="Times New Roman" w:hAnsi="Times New Roman" w:cs="Times New Roman"/>
          <w:sz w:val="24"/>
          <w:szCs w:val="24"/>
        </w:rPr>
        <w:t>BBB-</w:t>
      </w:r>
      <w:r w:rsidRPr="00190F7C">
        <w:rPr>
          <w:rStyle w:val="normaltextrun"/>
          <w:rFonts w:ascii="Times New Roman" w:hAnsi="Times New Roman" w:cs="Times New Roman"/>
          <w:sz w:val="24"/>
          <w:szCs w:val="24"/>
        </w:rPr>
        <w:t>fracti</w:t>
      </w:r>
      <w:r w:rsidRPr="00190F7C" w:rsidR="00453C88">
        <w:rPr>
          <w:rStyle w:val="normaltextrun"/>
          <w:rFonts w:ascii="Times New Roman" w:hAnsi="Times New Roman" w:cs="Times New Roman"/>
          <w:sz w:val="24"/>
          <w:szCs w:val="24"/>
        </w:rPr>
        <w:t>e</w:t>
      </w:r>
      <w:r w:rsidRPr="00190F7C">
        <w:rPr>
          <w:rStyle w:val="normaltextrun"/>
          <w:rFonts w:ascii="Times New Roman" w:hAnsi="Times New Roman" w:cs="Times New Roman"/>
          <w:sz w:val="24"/>
          <w:szCs w:val="24"/>
        </w:rPr>
        <w:t xml:space="preserve"> erkennen dat men hedendaags sneller en vaker naar de rechter stapt om inhoudelijke zaken, die men van elkaar wederzijds niet beval</w:t>
      </w:r>
      <w:r w:rsidRPr="00190F7C" w:rsidR="000A5732">
        <w:rPr>
          <w:rStyle w:val="normaltextrun"/>
          <w:rFonts w:ascii="Times New Roman" w:hAnsi="Times New Roman" w:cs="Times New Roman"/>
          <w:sz w:val="24"/>
          <w:szCs w:val="24"/>
        </w:rPr>
        <w:t>len</w:t>
      </w:r>
      <w:r w:rsidRPr="00190F7C">
        <w:rPr>
          <w:rStyle w:val="normaltextrun"/>
          <w:rFonts w:ascii="Times New Roman" w:hAnsi="Times New Roman" w:cs="Times New Roman"/>
          <w:sz w:val="24"/>
          <w:szCs w:val="24"/>
        </w:rPr>
        <w:t>, juridisch uit te vechten. Ook de</w:t>
      </w:r>
      <w:r w:rsidRPr="00190F7C" w:rsidR="000A5732">
        <w:rPr>
          <w:rStyle w:val="normaltextrun"/>
          <w:rFonts w:ascii="Times New Roman" w:hAnsi="Times New Roman" w:cs="Times New Roman"/>
          <w:sz w:val="24"/>
          <w:szCs w:val="24"/>
        </w:rPr>
        <w:t>ze</w:t>
      </w:r>
      <w:r w:rsidRPr="00190F7C">
        <w:rPr>
          <w:rStyle w:val="normaltextrun"/>
          <w:rFonts w:ascii="Times New Roman" w:hAnsi="Times New Roman" w:cs="Times New Roman"/>
          <w:sz w:val="24"/>
          <w:szCs w:val="24"/>
        </w:rPr>
        <w:t xml:space="preserve"> leden zien hier bezwaren in. Echter</w:t>
      </w:r>
      <w:r w:rsidRPr="00190F7C" w:rsidR="000A573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met d</w:t>
      </w:r>
      <w:r w:rsidRPr="00190F7C" w:rsidR="000A5732">
        <w:rPr>
          <w:rStyle w:val="normaltextrun"/>
          <w:rFonts w:ascii="Times New Roman" w:hAnsi="Times New Roman" w:cs="Times New Roman"/>
          <w:sz w:val="24"/>
          <w:szCs w:val="24"/>
        </w:rPr>
        <w:t>it</w:t>
      </w:r>
      <w:r w:rsidRPr="00190F7C">
        <w:rPr>
          <w:rStyle w:val="normaltextrun"/>
          <w:rFonts w:ascii="Times New Roman" w:hAnsi="Times New Roman" w:cs="Times New Roman"/>
          <w:sz w:val="24"/>
          <w:szCs w:val="24"/>
        </w:rPr>
        <w:t xml:space="preserve"> wet</w:t>
      </w:r>
      <w:r w:rsidRPr="00190F7C" w:rsidR="000A5732">
        <w:rPr>
          <w:rStyle w:val="normaltextrun"/>
          <w:rFonts w:ascii="Times New Roman" w:hAnsi="Times New Roman" w:cs="Times New Roman"/>
          <w:sz w:val="24"/>
          <w:szCs w:val="24"/>
        </w:rPr>
        <w:t>svoorstel wordt</w:t>
      </w:r>
      <w:r w:rsidRPr="00190F7C">
        <w:rPr>
          <w:rStyle w:val="normaltextrun"/>
          <w:rFonts w:ascii="Times New Roman" w:hAnsi="Times New Roman" w:cs="Times New Roman"/>
          <w:sz w:val="24"/>
          <w:szCs w:val="24"/>
        </w:rPr>
        <w:t xml:space="preserve"> vooral gestuurd op het beschermen van journalisten die mogelijk aangeklaagd kunnen worden om hetgeen wat zij schrijven.</w:t>
      </w:r>
      <w:r w:rsidRPr="00190F7C" w:rsidR="00EC2EF2">
        <w:rPr>
          <w:rStyle w:val="eop"/>
          <w:rFonts w:ascii="Times New Roman" w:hAnsi="Times New Roman" w:cs="Times New Roman"/>
          <w:sz w:val="24"/>
          <w:szCs w:val="24"/>
        </w:rPr>
        <w:t xml:space="preserve"> </w:t>
      </w:r>
      <w:r w:rsidRPr="00190F7C" w:rsidR="00EC2EF2">
        <w:rPr>
          <w:rStyle w:val="normaltextrun"/>
          <w:rFonts w:ascii="Times New Roman" w:hAnsi="Times New Roman" w:cs="Times New Roman"/>
          <w:sz w:val="24"/>
          <w:szCs w:val="24"/>
        </w:rPr>
        <w:t xml:space="preserve">Het </w:t>
      </w:r>
      <w:r w:rsidRPr="00190F7C">
        <w:rPr>
          <w:rStyle w:val="normaltextrun"/>
          <w:rFonts w:ascii="Times New Roman" w:hAnsi="Times New Roman" w:cs="Times New Roman"/>
          <w:sz w:val="24"/>
          <w:szCs w:val="24"/>
        </w:rPr>
        <w:t xml:space="preserve">blijft </w:t>
      </w:r>
      <w:r w:rsidRPr="00190F7C" w:rsidR="00EC2EF2">
        <w:rPr>
          <w:rStyle w:val="normaltextrun"/>
          <w:rFonts w:ascii="Times New Roman" w:hAnsi="Times New Roman" w:cs="Times New Roman"/>
          <w:sz w:val="24"/>
          <w:szCs w:val="24"/>
        </w:rPr>
        <w:t>echter</w:t>
      </w:r>
      <w:r w:rsidRPr="00190F7C">
        <w:rPr>
          <w:rStyle w:val="normaltextrun"/>
          <w:rFonts w:ascii="Times New Roman" w:hAnsi="Times New Roman" w:cs="Times New Roman"/>
          <w:sz w:val="24"/>
          <w:szCs w:val="24"/>
        </w:rPr>
        <w:t xml:space="preserve"> vervolgens een </w:t>
      </w:r>
      <w:r w:rsidRPr="00190F7C" w:rsidR="00D740FC">
        <w:rPr>
          <w:rStyle w:val="normaltextrun"/>
          <w:rFonts w:ascii="Times New Roman" w:hAnsi="Times New Roman" w:cs="Times New Roman"/>
          <w:sz w:val="24"/>
          <w:szCs w:val="24"/>
        </w:rPr>
        <w:t>su</w:t>
      </w:r>
      <w:r w:rsidRPr="00190F7C">
        <w:rPr>
          <w:rStyle w:val="normaltextrun"/>
          <w:rFonts w:ascii="Times New Roman" w:hAnsi="Times New Roman" w:cs="Times New Roman"/>
          <w:sz w:val="24"/>
          <w:szCs w:val="24"/>
        </w:rPr>
        <w:t xml:space="preserve">bjectieve beoordeling of een zaak een SLAPP-zaak is of niet. De richtlijn werkt namelijk met termen als </w:t>
      </w:r>
      <w:r w:rsidRPr="00190F7C" w:rsidR="00EC2EF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kennelijk ongegrond</w:t>
      </w:r>
      <w:r w:rsidRPr="00190F7C" w:rsidR="00EC2EF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w:t>
      </w:r>
      <w:r w:rsidRPr="00190F7C" w:rsidR="00EC2EF2">
        <w:rPr>
          <w:rStyle w:val="normaltextrun"/>
          <w:rFonts w:ascii="Times New Roman" w:hAnsi="Times New Roman" w:cs="Times New Roman"/>
          <w:sz w:val="24"/>
          <w:szCs w:val="24"/>
        </w:rPr>
        <w:t>en</w:t>
      </w:r>
      <w:r w:rsidRPr="00190F7C">
        <w:rPr>
          <w:rStyle w:val="normaltextrun"/>
          <w:rFonts w:ascii="Times New Roman" w:hAnsi="Times New Roman" w:cs="Times New Roman"/>
          <w:sz w:val="24"/>
          <w:szCs w:val="24"/>
        </w:rPr>
        <w:t xml:space="preserve"> </w:t>
      </w:r>
      <w:r w:rsidRPr="00190F7C" w:rsidR="00EC2EF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misbruik van procesrecht</w:t>
      </w:r>
      <w:r w:rsidRPr="00190F7C" w:rsidR="00EC2EF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maar laat veel ruimte aan interpretatie.</w:t>
      </w:r>
      <w:r w:rsidRPr="00190F7C">
        <w:rPr>
          <w:rStyle w:val="eop"/>
          <w:rFonts w:ascii="Times New Roman" w:hAnsi="Times New Roman" w:cs="Times New Roman"/>
          <w:sz w:val="24"/>
          <w:szCs w:val="24"/>
        </w:rPr>
        <w:t> </w:t>
      </w:r>
      <w:r w:rsidRPr="00190F7C">
        <w:rPr>
          <w:rStyle w:val="normaltextrun"/>
          <w:rFonts w:ascii="Times New Roman" w:hAnsi="Times New Roman" w:cs="Times New Roman"/>
          <w:sz w:val="24"/>
          <w:szCs w:val="24"/>
        </w:rPr>
        <w:t>Dit kan leiden tot rechtsongelijkheid én willekeur bij rechters, zeker als er politieke of gevoelige maatschappelijke onderwerpen spelen. Kan de regering hier een reactie op geven?</w:t>
      </w:r>
      <w:r w:rsidRPr="00190F7C" w:rsidR="00AE6589">
        <w:rPr>
          <w:rStyle w:val="normaltextrun"/>
          <w:rFonts w:ascii="Times New Roman" w:hAnsi="Times New Roman" w:cs="Times New Roman"/>
          <w:sz w:val="24"/>
          <w:szCs w:val="24"/>
        </w:rPr>
        <w:t xml:space="preserve"> </w:t>
      </w:r>
      <w:r w:rsidRPr="00190F7C" w:rsidR="00EC2EF2">
        <w:rPr>
          <w:rStyle w:val="normaltextrun"/>
          <w:rFonts w:ascii="Times New Roman" w:hAnsi="Times New Roman" w:cs="Times New Roman"/>
          <w:sz w:val="24"/>
          <w:szCs w:val="24"/>
        </w:rPr>
        <w:br/>
      </w:r>
      <w:r w:rsidRPr="00190F7C" w:rsidR="00EC2EF2">
        <w:rPr>
          <w:rStyle w:val="normaltextrun"/>
          <w:rFonts w:ascii="Times New Roman" w:hAnsi="Times New Roman" w:cs="Times New Roman"/>
          <w:sz w:val="24"/>
          <w:szCs w:val="24"/>
        </w:rPr>
        <w:br/>
        <w:t>De leden van de BBB-fractie merken op dat d</w:t>
      </w:r>
      <w:r w:rsidRPr="00190F7C">
        <w:rPr>
          <w:rStyle w:val="normaltextrun"/>
          <w:rFonts w:ascii="Times New Roman" w:hAnsi="Times New Roman" w:cs="Times New Roman"/>
          <w:sz w:val="24"/>
          <w:szCs w:val="24"/>
        </w:rPr>
        <w:t xml:space="preserve">e richtlijn personen </w:t>
      </w:r>
      <w:r w:rsidRPr="00190F7C" w:rsidR="00EC2EF2">
        <w:rPr>
          <w:rStyle w:val="normaltextrun"/>
          <w:rFonts w:ascii="Times New Roman" w:hAnsi="Times New Roman" w:cs="Times New Roman"/>
          <w:sz w:val="24"/>
          <w:szCs w:val="24"/>
        </w:rPr>
        <w:t xml:space="preserve">beschermt </w:t>
      </w:r>
      <w:r w:rsidRPr="00190F7C">
        <w:rPr>
          <w:rStyle w:val="normaltextrun"/>
          <w:rFonts w:ascii="Times New Roman" w:hAnsi="Times New Roman" w:cs="Times New Roman"/>
          <w:sz w:val="24"/>
          <w:szCs w:val="24"/>
        </w:rPr>
        <w:t xml:space="preserve">die zich uitspreken in het publieke debat, maar mogelijk te weinig bescherming </w:t>
      </w:r>
      <w:r w:rsidRPr="00190F7C" w:rsidR="000A6CB6">
        <w:rPr>
          <w:rStyle w:val="normaltextrun"/>
          <w:rFonts w:ascii="Times New Roman" w:hAnsi="Times New Roman" w:cs="Times New Roman"/>
          <w:sz w:val="24"/>
          <w:szCs w:val="24"/>
        </w:rPr>
        <w:t xml:space="preserve">biedt </w:t>
      </w:r>
      <w:r w:rsidRPr="00190F7C">
        <w:rPr>
          <w:rStyle w:val="normaltextrun"/>
          <w:rFonts w:ascii="Times New Roman" w:hAnsi="Times New Roman" w:cs="Times New Roman"/>
          <w:sz w:val="24"/>
          <w:szCs w:val="24"/>
        </w:rPr>
        <w:t>aan personen of bedrijven die zich terecht benadeeld voelen door bijvoorbeeld laster, smaad of onjuiste beschuldigingen.</w:t>
      </w:r>
      <w:r w:rsidRPr="00190F7C" w:rsidR="00EC2EF2">
        <w:rPr>
          <w:rStyle w:val="eop"/>
          <w:rFonts w:ascii="Times New Roman" w:hAnsi="Times New Roman" w:cs="Times New Roman"/>
          <w:sz w:val="24"/>
          <w:szCs w:val="24"/>
        </w:rPr>
        <w:t xml:space="preserve"> </w:t>
      </w:r>
      <w:r w:rsidRPr="00190F7C">
        <w:rPr>
          <w:rStyle w:val="normaltextrun"/>
          <w:rFonts w:ascii="Times New Roman" w:hAnsi="Times New Roman" w:cs="Times New Roman"/>
          <w:sz w:val="24"/>
          <w:szCs w:val="24"/>
        </w:rPr>
        <w:t xml:space="preserve">De vrijheid van meningsuiting is namelijk niet absoluut. Als iemand onterecht beschuldigd wordt van bijvoorbeeld corruptie, moet diegene ook effectief naar de rechter kunnen stappen zonder meteen als </w:t>
      </w:r>
      <w:r w:rsidRPr="00190F7C" w:rsidR="004E735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misbruiker van het procesrecht</w:t>
      </w:r>
      <w:r w:rsidRPr="00190F7C" w:rsidR="004E7352">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te worden bestempeld. Kan de regering aangeven hoe zij hiernaar kijkt?</w:t>
      </w:r>
      <w:r w:rsidRPr="00190F7C" w:rsidR="00AE6589">
        <w:rPr>
          <w:rStyle w:val="normaltextrun"/>
          <w:rFonts w:ascii="Times New Roman" w:hAnsi="Times New Roman" w:cs="Times New Roman"/>
          <w:sz w:val="24"/>
          <w:szCs w:val="24"/>
        </w:rPr>
        <w:br/>
      </w:r>
      <w:r w:rsidRPr="00190F7C" w:rsidR="00AE6589">
        <w:rPr>
          <w:rStyle w:val="normaltextrun"/>
          <w:rFonts w:ascii="Times New Roman" w:hAnsi="Times New Roman" w:cs="Times New Roman"/>
          <w:sz w:val="24"/>
          <w:szCs w:val="24"/>
        </w:rPr>
        <w:br/>
      </w:r>
      <w:r w:rsidRPr="00190F7C">
        <w:rPr>
          <w:rStyle w:val="normaltextrun"/>
          <w:rFonts w:ascii="Times New Roman" w:hAnsi="Times New Roman" w:cs="Times New Roman"/>
          <w:sz w:val="24"/>
          <w:szCs w:val="24"/>
        </w:rPr>
        <w:t>De verweerder kan een verzoek tot vroegtijdige afwijzing doen zodra hij is gedagvaard</w:t>
      </w:r>
      <w:r w:rsidRPr="00190F7C" w:rsidR="00571CD2">
        <w:rPr>
          <w:rStyle w:val="normaltextrun"/>
          <w:rFonts w:ascii="Times New Roman" w:hAnsi="Times New Roman" w:cs="Times New Roman"/>
          <w:sz w:val="24"/>
          <w:szCs w:val="24"/>
        </w:rPr>
        <w:t>, zo merken de leden van de BBB-fractie op</w:t>
      </w:r>
      <w:r w:rsidRPr="00190F7C">
        <w:rPr>
          <w:rStyle w:val="normaltextrun"/>
          <w:rFonts w:ascii="Times New Roman" w:hAnsi="Times New Roman" w:cs="Times New Roman"/>
          <w:sz w:val="24"/>
          <w:szCs w:val="24"/>
        </w:rPr>
        <w:t>. De rechter moet dit verzoek met voorrang behandelen en kan dus voordat de inhoudelijke behandeling plaatsvindt, oordelen tot vroegtijdige afwijzing. De behandeling is bedoeld om snelheid te garanderen en verdere schade of intimidatie te voorkomen. Een belangrijke waarborg om bovengenoemde soepel te laten verlopen</w:t>
      </w:r>
      <w:r w:rsidRPr="00190F7C" w:rsidR="00C074E6">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is voldoende capaciteit bij de rechtspraak. Kan de regering zeggen of dit gewaarborgd is in deze gevallen?</w:t>
      </w:r>
      <w:r w:rsidRPr="00190F7C">
        <w:rPr>
          <w:rStyle w:val="eop"/>
          <w:rFonts w:ascii="Times New Roman" w:hAnsi="Times New Roman" w:cs="Times New Roman"/>
          <w:sz w:val="24"/>
          <w:szCs w:val="24"/>
        </w:rPr>
        <w:t> </w:t>
      </w:r>
      <w:r w:rsidRPr="00190F7C" w:rsidR="00AE6589">
        <w:rPr>
          <w:rStyle w:val="eop"/>
          <w:rFonts w:ascii="Times New Roman" w:hAnsi="Times New Roman" w:cs="Times New Roman"/>
          <w:sz w:val="24"/>
          <w:szCs w:val="24"/>
        </w:rPr>
        <w:br/>
      </w:r>
      <w:r w:rsidRPr="00190F7C" w:rsidR="00AE6589">
        <w:rPr>
          <w:rStyle w:val="eop"/>
          <w:rFonts w:ascii="Times New Roman" w:hAnsi="Times New Roman" w:cs="Times New Roman"/>
          <w:sz w:val="24"/>
          <w:szCs w:val="24"/>
        </w:rPr>
        <w:br/>
      </w:r>
      <w:r w:rsidRPr="00190F7C">
        <w:rPr>
          <w:rFonts w:ascii="Times New Roman" w:hAnsi="Times New Roman" w:cs="Times New Roman"/>
          <w:sz w:val="24"/>
          <w:szCs w:val="24"/>
          <w:lang w:eastAsia="nl-NL" w:bidi="nl-NL"/>
        </w:rPr>
        <w:t xml:space="preserve">De leden van de SP-fractie lezen dat verschillende partijen het terechte punt maken dat de definitie van dit hele </w:t>
      </w:r>
      <w:r w:rsidRPr="00190F7C" w:rsidR="00C074E6">
        <w:rPr>
          <w:rFonts w:ascii="Times New Roman" w:hAnsi="Times New Roman" w:cs="Times New Roman"/>
          <w:sz w:val="24"/>
          <w:szCs w:val="24"/>
          <w:lang w:eastAsia="nl-NL" w:bidi="nl-NL"/>
        </w:rPr>
        <w:t>wets</w:t>
      </w:r>
      <w:r w:rsidRPr="00190F7C">
        <w:rPr>
          <w:rFonts w:ascii="Times New Roman" w:hAnsi="Times New Roman" w:cs="Times New Roman"/>
          <w:sz w:val="24"/>
          <w:szCs w:val="24"/>
          <w:lang w:eastAsia="nl-NL" w:bidi="nl-NL"/>
        </w:rPr>
        <w:t>voorstel te nauw is</w:t>
      </w:r>
      <w:r w:rsidRPr="00190F7C" w:rsidR="00C074E6">
        <w:rPr>
          <w:rFonts w:ascii="Times New Roman" w:hAnsi="Times New Roman" w:cs="Times New Roman"/>
          <w:sz w:val="24"/>
          <w:szCs w:val="24"/>
          <w:lang w:eastAsia="nl-NL" w:bidi="nl-NL"/>
        </w:rPr>
        <w:t>, n</w:t>
      </w:r>
      <w:r w:rsidRPr="00190F7C">
        <w:rPr>
          <w:rFonts w:ascii="Times New Roman" w:hAnsi="Times New Roman" w:cs="Times New Roman"/>
          <w:sz w:val="24"/>
          <w:szCs w:val="24"/>
          <w:lang w:eastAsia="nl-NL" w:bidi="nl-NL"/>
        </w:rPr>
        <w:t xml:space="preserve">amelijk dat er alleen sprake kan zijn van een SLAPP als er elementen in zitten van een internationaal karakter. Meerdere geconsulteerde partijen geven aan dat </w:t>
      </w:r>
      <w:r w:rsidRPr="00190F7C" w:rsidR="00C074E6">
        <w:rPr>
          <w:rFonts w:ascii="Times New Roman" w:hAnsi="Times New Roman" w:cs="Times New Roman"/>
          <w:sz w:val="24"/>
          <w:szCs w:val="24"/>
          <w:lang w:eastAsia="nl-NL" w:bidi="nl-NL"/>
        </w:rPr>
        <w:t xml:space="preserve">de </w:t>
      </w:r>
      <w:r w:rsidRPr="00190F7C">
        <w:rPr>
          <w:rFonts w:ascii="Times New Roman" w:hAnsi="Times New Roman" w:cs="Times New Roman"/>
          <w:sz w:val="24"/>
          <w:szCs w:val="24"/>
          <w:lang w:eastAsia="nl-NL" w:bidi="nl-NL"/>
        </w:rPr>
        <w:t>SLAPP</w:t>
      </w:r>
      <w:r w:rsidRPr="00190F7C" w:rsidR="00C074E6">
        <w:rPr>
          <w:rFonts w:ascii="Times New Roman" w:hAnsi="Times New Roman" w:cs="Times New Roman"/>
          <w:sz w:val="24"/>
          <w:szCs w:val="24"/>
          <w:lang w:eastAsia="nl-NL" w:bidi="nl-NL"/>
        </w:rPr>
        <w:t>-regelgeving</w:t>
      </w:r>
      <w:r w:rsidRPr="00190F7C">
        <w:rPr>
          <w:rFonts w:ascii="Times New Roman" w:hAnsi="Times New Roman" w:cs="Times New Roman"/>
          <w:sz w:val="24"/>
          <w:szCs w:val="24"/>
          <w:lang w:eastAsia="nl-NL" w:bidi="nl-NL"/>
        </w:rPr>
        <w:t xml:space="preserve"> ook van toepassing moet zijn op strikt nationale zaken. De regering geeft in reactie hierop aan dat dit in de praktijk al zo is</w:t>
      </w:r>
      <w:r w:rsidRPr="00190F7C" w:rsidR="001E7BBF">
        <w:rPr>
          <w:rFonts w:ascii="Times New Roman" w:hAnsi="Times New Roman" w:cs="Times New Roman"/>
          <w:sz w:val="24"/>
          <w:szCs w:val="24"/>
          <w:lang w:eastAsia="nl-NL" w:bidi="nl-NL"/>
        </w:rPr>
        <w:t>,</w:t>
      </w:r>
      <w:r w:rsidRPr="00190F7C">
        <w:rPr>
          <w:rFonts w:ascii="Times New Roman" w:hAnsi="Times New Roman" w:cs="Times New Roman"/>
          <w:sz w:val="24"/>
          <w:szCs w:val="24"/>
          <w:lang w:eastAsia="nl-NL" w:bidi="nl-NL"/>
        </w:rPr>
        <w:t xml:space="preserve"> omdat de overige procedurele bepalingen al in te roepen zijn. De</w:t>
      </w:r>
      <w:r w:rsidRPr="00190F7C" w:rsidR="001E7BBF">
        <w:rPr>
          <w:rFonts w:ascii="Times New Roman" w:hAnsi="Times New Roman" w:cs="Times New Roman"/>
          <w:sz w:val="24"/>
          <w:szCs w:val="24"/>
          <w:lang w:eastAsia="nl-NL" w:bidi="nl-NL"/>
        </w:rPr>
        <w:t>ze</w:t>
      </w:r>
      <w:r w:rsidRPr="00190F7C">
        <w:rPr>
          <w:rFonts w:ascii="Times New Roman" w:hAnsi="Times New Roman" w:cs="Times New Roman"/>
          <w:sz w:val="24"/>
          <w:szCs w:val="24"/>
          <w:lang w:eastAsia="nl-NL" w:bidi="nl-NL"/>
        </w:rPr>
        <w:t xml:space="preserve"> leden hebben het idee dat dit wel minder ver gaat dan wat de geconsulteerde partijen bedoelen. Is het feit dat dit bij overige procedurele bepalingen in te roepen is, hetzelfde als in de wetgeving opnemen dat deze SLAPP</w:t>
      </w:r>
      <w:r w:rsidRPr="00190F7C" w:rsidR="001E7BBF">
        <w:rPr>
          <w:rFonts w:ascii="Times New Roman" w:hAnsi="Times New Roman" w:cs="Times New Roman"/>
          <w:sz w:val="24"/>
          <w:szCs w:val="24"/>
          <w:lang w:eastAsia="nl-NL" w:bidi="nl-NL"/>
        </w:rPr>
        <w:t>-regelgeving</w:t>
      </w:r>
      <w:r w:rsidRPr="00190F7C">
        <w:rPr>
          <w:rFonts w:ascii="Times New Roman" w:hAnsi="Times New Roman" w:cs="Times New Roman"/>
          <w:sz w:val="24"/>
          <w:szCs w:val="24"/>
          <w:lang w:eastAsia="nl-NL" w:bidi="nl-NL"/>
        </w:rPr>
        <w:t xml:space="preserve"> ook op strikt nationale zaken van toepassing is? Waarom kiest de regering er niet voor dit als zodanig op te schrijven in wetgeving? Is de regering het met deze leden eens dat dit </w:t>
      </w:r>
      <w:r w:rsidRPr="00190F7C" w:rsidR="00F10B57">
        <w:rPr>
          <w:rFonts w:ascii="Times New Roman" w:hAnsi="Times New Roman" w:cs="Times New Roman"/>
          <w:sz w:val="24"/>
          <w:szCs w:val="24"/>
          <w:lang w:eastAsia="nl-NL" w:bidi="nl-NL"/>
        </w:rPr>
        <w:t xml:space="preserve">mogelijk </w:t>
      </w:r>
      <w:r w:rsidRPr="00190F7C">
        <w:rPr>
          <w:rFonts w:ascii="Times New Roman" w:hAnsi="Times New Roman" w:cs="Times New Roman"/>
          <w:sz w:val="24"/>
          <w:szCs w:val="24"/>
          <w:lang w:eastAsia="nl-NL" w:bidi="nl-NL"/>
        </w:rPr>
        <w:t>wel meer duidelijkheid kan scheppen?</w:t>
      </w:r>
      <w:r w:rsidRPr="00190F7C" w:rsidR="00AE6589">
        <w:rPr>
          <w:rFonts w:ascii="Times New Roman" w:hAnsi="Times New Roman" w:cs="Times New Roman"/>
          <w:sz w:val="24"/>
          <w:szCs w:val="24"/>
          <w:lang w:eastAsia="nl-NL" w:bidi="nl-NL"/>
        </w:rPr>
        <w:br/>
      </w:r>
      <w:r w:rsidRPr="00190F7C" w:rsidR="00AE6589">
        <w:rPr>
          <w:rFonts w:ascii="Times New Roman" w:hAnsi="Times New Roman" w:cs="Times New Roman"/>
          <w:sz w:val="24"/>
          <w:szCs w:val="24"/>
          <w:lang w:eastAsia="nl-NL" w:bidi="nl-NL"/>
        </w:rPr>
        <w:br/>
      </w:r>
      <w:r w:rsidRPr="00190F7C">
        <w:rPr>
          <w:rFonts w:ascii="Times New Roman" w:hAnsi="Times New Roman" w:cs="Times New Roman"/>
          <w:sz w:val="24"/>
          <w:szCs w:val="24"/>
          <w:lang w:eastAsia="nl-NL" w:bidi="nl-NL"/>
        </w:rPr>
        <w:t xml:space="preserve">De leden van de SP-fractie constateren dat de Raad voor de </w:t>
      </w:r>
      <w:r w:rsidRPr="00190F7C" w:rsidR="001E7BBF">
        <w:rPr>
          <w:rFonts w:ascii="Times New Roman" w:hAnsi="Times New Roman" w:cs="Times New Roman"/>
          <w:sz w:val="24"/>
          <w:szCs w:val="24"/>
          <w:lang w:eastAsia="nl-NL" w:bidi="nl-NL"/>
        </w:rPr>
        <w:t>r</w:t>
      </w:r>
      <w:r w:rsidRPr="00190F7C">
        <w:rPr>
          <w:rFonts w:ascii="Times New Roman" w:hAnsi="Times New Roman" w:cs="Times New Roman"/>
          <w:sz w:val="24"/>
          <w:szCs w:val="24"/>
          <w:lang w:eastAsia="nl-NL" w:bidi="nl-NL"/>
        </w:rPr>
        <w:t>echtspraak een suggestie doet om de SLAPP</w:t>
      </w:r>
      <w:r w:rsidRPr="00190F7C" w:rsidR="001E7BBF">
        <w:rPr>
          <w:rFonts w:ascii="Times New Roman" w:hAnsi="Times New Roman" w:cs="Times New Roman"/>
          <w:sz w:val="24"/>
          <w:szCs w:val="24"/>
          <w:lang w:eastAsia="nl-NL" w:bidi="nl-NL"/>
        </w:rPr>
        <w:t>-</w:t>
      </w:r>
      <w:r w:rsidRPr="00190F7C">
        <w:rPr>
          <w:rFonts w:ascii="Times New Roman" w:hAnsi="Times New Roman" w:cs="Times New Roman"/>
          <w:sz w:val="24"/>
          <w:szCs w:val="24"/>
          <w:lang w:eastAsia="nl-NL" w:bidi="nl-NL"/>
        </w:rPr>
        <w:t>zaken ook te publiceren op rechtspraak.nl</w:t>
      </w:r>
      <w:r w:rsidRPr="00190F7C" w:rsidR="001E7BBF">
        <w:rPr>
          <w:rFonts w:ascii="Times New Roman" w:hAnsi="Times New Roman" w:cs="Times New Roman"/>
          <w:sz w:val="24"/>
          <w:szCs w:val="24"/>
          <w:lang w:eastAsia="nl-NL" w:bidi="nl-NL"/>
        </w:rPr>
        <w:t xml:space="preserve">, </w:t>
      </w:r>
      <w:r w:rsidRPr="00190F7C">
        <w:rPr>
          <w:rFonts w:ascii="Times New Roman" w:hAnsi="Times New Roman" w:cs="Times New Roman"/>
          <w:sz w:val="24"/>
          <w:szCs w:val="24"/>
          <w:lang w:eastAsia="nl-NL" w:bidi="nl-NL"/>
        </w:rPr>
        <w:t>aangezien dit de transparantie en duidelijkheid ten goede zal komen. De</w:t>
      </w:r>
      <w:r w:rsidRPr="00190F7C" w:rsidR="001E7BBF">
        <w:rPr>
          <w:rFonts w:ascii="Times New Roman" w:hAnsi="Times New Roman" w:cs="Times New Roman"/>
          <w:sz w:val="24"/>
          <w:szCs w:val="24"/>
          <w:lang w:eastAsia="nl-NL" w:bidi="nl-NL"/>
        </w:rPr>
        <w:t>ze</w:t>
      </w:r>
      <w:r w:rsidRPr="00190F7C">
        <w:rPr>
          <w:rFonts w:ascii="Times New Roman" w:hAnsi="Times New Roman" w:cs="Times New Roman"/>
          <w:sz w:val="24"/>
          <w:szCs w:val="24"/>
          <w:lang w:eastAsia="nl-NL" w:bidi="nl-NL"/>
        </w:rPr>
        <w:t xml:space="preserve"> leden zien deze suggestie niet duidelijk terugkomen in de memorie van toelichting. Kan de regering op deze suggestie reflecteren? Mocht de </w:t>
      </w:r>
      <w:r w:rsidRPr="00190F7C">
        <w:rPr>
          <w:rFonts w:ascii="Times New Roman" w:hAnsi="Times New Roman" w:cs="Times New Roman"/>
          <w:sz w:val="24"/>
          <w:szCs w:val="24"/>
          <w:lang w:eastAsia="nl-NL" w:bidi="nl-NL"/>
        </w:rPr>
        <w:lastRenderedPageBreak/>
        <w:t>regering deze niet willen opvolgen</w:t>
      </w:r>
      <w:r w:rsidRPr="00190F7C" w:rsidR="00FA4961">
        <w:rPr>
          <w:rFonts w:ascii="Times New Roman" w:hAnsi="Times New Roman" w:cs="Times New Roman"/>
          <w:sz w:val="24"/>
          <w:szCs w:val="24"/>
          <w:lang w:eastAsia="nl-NL" w:bidi="nl-NL"/>
        </w:rPr>
        <w:t>:</w:t>
      </w:r>
      <w:r w:rsidRPr="00190F7C">
        <w:rPr>
          <w:rFonts w:ascii="Times New Roman" w:hAnsi="Times New Roman" w:cs="Times New Roman"/>
          <w:sz w:val="24"/>
          <w:szCs w:val="24"/>
          <w:lang w:eastAsia="nl-NL" w:bidi="nl-NL"/>
        </w:rPr>
        <w:t xml:space="preserve"> waarom </w:t>
      </w:r>
      <w:r w:rsidRPr="00190F7C" w:rsidR="00FA4961">
        <w:rPr>
          <w:rFonts w:ascii="Times New Roman" w:hAnsi="Times New Roman" w:cs="Times New Roman"/>
          <w:sz w:val="24"/>
          <w:szCs w:val="24"/>
          <w:lang w:eastAsia="nl-NL" w:bidi="nl-NL"/>
        </w:rPr>
        <w:t xml:space="preserve">wil zij dat </w:t>
      </w:r>
      <w:r w:rsidRPr="00190F7C">
        <w:rPr>
          <w:rFonts w:ascii="Times New Roman" w:hAnsi="Times New Roman" w:cs="Times New Roman"/>
          <w:sz w:val="24"/>
          <w:szCs w:val="24"/>
          <w:lang w:eastAsia="nl-NL" w:bidi="nl-NL"/>
        </w:rPr>
        <w:t xml:space="preserve">niet? </w:t>
      </w:r>
      <w:r w:rsidRPr="00190F7C" w:rsidR="00AE6589">
        <w:rPr>
          <w:rFonts w:ascii="Times New Roman" w:hAnsi="Times New Roman" w:cs="Times New Roman"/>
          <w:sz w:val="24"/>
          <w:szCs w:val="24"/>
          <w:lang w:eastAsia="nl-NL" w:bidi="nl-NL"/>
        </w:rPr>
        <w:br/>
      </w:r>
      <w:r w:rsidRPr="00190F7C" w:rsidR="00AE6589">
        <w:rPr>
          <w:rFonts w:ascii="Times New Roman" w:hAnsi="Times New Roman" w:cs="Times New Roman"/>
          <w:sz w:val="24"/>
          <w:szCs w:val="24"/>
          <w:lang w:eastAsia="nl-NL" w:bidi="nl-NL"/>
        </w:rPr>
        <w:br/>
      </w:r>
      <w:r w:rsidRPr="00190F7C">
        <w:rPr>
          <w:rFonts w:ascii="Times New Roman" w:hAnsi="Times New Roman" w:cs="Times New Roman"/>
          <w:bCs/>
          <w:i/>
          <w:iCs/>
          <w:sz w:val="24"/>
          <w:szCs w:val="24"/>
          <w:lang w:eastAsia="nl-NL"/>
        </w:rPr>
        <w:t>3.2 Zekerheidstelling (artikel 6, eerste lid, onder a, en artikel 10 van de richtlijn)</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sidR="00446540">
        <w:rPr>
          <w:rFonts w:ascii="Times New Roman" w:hAnsi="Times New Roman" w:cs="Times New Roman"/>
          <w:sz w:val="24"/>
          <w:szCs w:val="24"/>
        </w:rPr>
        <w:t xml:space="preserve">De leden van de </w:t>
      </w:r>
      <w:r w:rsidRPr="00190F7C" w:rsidR="0050414A">
        <w:rPr>
          <w:rFonts w:ascii="Times New Roman" w:hAnsi="Times New Roman" w:cs="Times New Roman"/>
          <w:sz w:val="24"/>
          <w:szCs w:val="24"/>
        </w:rPr>
        <w:t>NSC-</w:t>
      </w:r>
      <w:r w:rsidRPr="00190F7C" w:rsidR="00446540">
        <w:rPr>
          <w:rFonts w:ascii="Times New Roman" w:hAnsi="Times New Roman" w:cs="Times New Roman"/>
          <w:sz w:val="24"/>
          <w:szCs w:val="24"/>
        </w:rPr>
        <w:t>fractie wijzen erop dat, omdat het voorgestelde artikel waarin de zekerheidstelling wordt gecodificeerd</w:t>
      </w:r>
      <w:r w:rsidRPr="00190F7C" w:rsidR="0050414A">
        <w:rPr>
          <w:rFonts w:ascii="Times New Roman" w:hAnsi="Times New Roman" w:cs="Times New Roman"/>
          <w:sz w:val="24"/>
          <w:szCs w:val="24"/>
        </w:rPr>
        <w:t>,</w:t>
      </w:r>
      <w:r w:rsidRPr="00190F7C" w:rsidR="00446540">
        <w:rPr>
          <w:rFonts w:ascii="Times New Roman" w:hAnsi="Times New Roman" w:cs="Times New Roman"/>
          <w:sz w:val="24"/>
          <w:szCs w:val="24"/>
        </w:rPr>
        <w:t xml:space="preserve"> gebaseerd is op de richtlijn en hier ook naar verwijst, dit instrument alleen geldt in situaties met grensoverschrijdende aspecten. Het College voor de Rechten van de Mens, CASE, de Nederlandse anti-SLAPP-werkgroep, de Adviescommissie voor burgerlijk procesrecht en de Raad voor de </w:t>
      </w:r>
      <w:r w:rsidRPr="00190F7C" w:rsidR="0050414A">
        <w:rPr>
          <w:rFonts w:ascii="Times New Roman" w:hAnsi="Times New Roman" w:cs="Times New Roman"/>
          <w:sz w:val="24"/>
          <w:szCs w:val="24"/>
        </w:rPr>
        <w:t>r</w:t>
      </w:r>
      <w:r w:rsidRPr="00190F7C" w:rsidR="00446540">
        <w:rPr>
          <w:rFonts w:ascii="Times New Roman" w:hAnsi="Times New Roman" w:cs="Times New Roman"/>
          <w:sz w:val="24"/>
          <w:szCs w:val="24"/>
        </w:rPr>
        <w:t xml:space="preserve">echtspraak hebben geadviseerd te regelen dat dit instrument door rechters ook in nationale gevallen kan worden gebruikt. Deze leden kunnen zich goed vinden in deze suggestie, omdat het beschermingsniveau bij </w:t>
      </w:r>
      <w:proofErr w:type="spellStart"/>
      <w:r w:rsidRPr="00190F7C" w:rsidR="00446540">
        <w:rPr>
          <w:rFonts w:ascii="Times New Roman" w:hAnsi="Times New Roman" w:cs="Times New Roman"/>
          <w:sz w:val="24"/>
          <w:szCs w:val="24"/>
        </w:rPr>
        <w:t>SLAPPs</w:t>
      </w:r>
      <w:proofErr w:type="spellEnd"/>
      <w:r w:rsidRPr="00190F7C" w:rsidR="00446540">
        <w:rPr>
          <w:rFonts w:ascii="Times New Roman" w:hAnsi="Times New Roman" w:cs="Times New Roman"/>
          <w:sz w:val="24"/>
          <w:szCs w:val="24"/>
        </w:rPr>
        <w:t xml:space="preserve"> in grensoverschrijdende gevallen en nationale gevallen dan gelijk wordt getrokken. Op die manier hoeft bovendien niet te worden onderzocht of een zaak grensoverschrijdende aspecten heeft of niet. De regering geeft aan dat wordt bezien bij welke afzonderlijke gelegenheid kan worden voorzien in eenzelfde voorziening tot zekerheidstelling voor nationale gevallen. Kan de regering hier al wat over zeggen en kan zij aangeven waarom dat niet in het onderhavige wetsvoorstel kan?</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sidR="00446540">
        <w:rPr>
          <w:rFonts w:ascii="Times New Roman" w:hAnsi="Times New Roman" w:eastAsia="Calibri" w:cs="Times New Roman"/>
          <w:bCs/>
          <w:sz w:val="24"/>
          <w:szCs w:val="24"/>
        </w:rPr>
        <w:t xml:space="preserve">De leden van de CDA-fractie lezen dat in navolging </w:t>
      </w:r>
      <w:r w:rsidRPr="00190F7C" w:rsidR="0050414A">
        <w:rPr>
          <w:rFonts w:ascii="Times New Roman" w:hAnsi="Times New Roman" w:eastAsia="Calibri" w:cs="Times New Roman"/>
          <w:bCs/>
          <w:sz w:val="24"/>
          <w:szCs w:val="24"/>
        </w:rPr>
        <w:t>van</w:t>
      </w:r>
      <w:r w:rsidRPr="00190F7C" w:rsidR="00446540">
        <w:rPr>
          <w:rFonts w:ascii="Times New Roman" w:hAnsi="Times New Roman" w:eastAsia="Calibri" w:cs="Times New Roman"/>
          <w:bCs/>
          <w:sz w:val="24"/>
          <w:szCs w:val="24"/>
        </w:rPr>
        <w:t xml:space="preserve"> de adviezen van de Adviescommissie voor burgerlijk procesrecht, het College</w:t>
      </w:r>
      <w:r w:rsidRPr="00190F7C" w:rsidR="00C1032C">
        <w:rPr>
          <w:rFonts w:ascii="Times New Roman" w:hAnsi="Times New Roman" w:eastAsia="Calibri" w:cs="Times New Roman"/>
          <w:bCs/>
          <w:sz w:val="24"/>
          <w:szCs w:val="24"/>
        </w:rPr>
        <w:t xml:space="preserve"> </w:t>
      </w:r>
      <w:r w:rsidRPr="00190F7C" w:rsidR="00C1032C">
        <w:rPr>
          <w:rFonts w:ascii="Times New Roman" w:hAnsi="Times New Roman" w:cs="Times New Roman"/>
          <w:sz w:val="24"/>
          <w:szCs w:val="24"/>
        </w:rPr>
        <w:t>voor de Rechten van de Mens</w:t>
      </w:r>
      <w:r w:rsidRPr="00190F7C" w:rsidR="00446540">
        <w:rPr>
          <w:rFonts w:ascii="Times New Roman" w:hAnsi="Times New Roman" w:eastAsia="Calibri" w:cs="Times New Roman"/>
          <w:bCs/>
          <w:sz w:val="24"/>
          <w:szCs w:val="24"/>
        </w:rPr>
        <w:t>, CASE, de Nederlandse anti-SLAPP</w:t>
      </w:r>
      <w:r w:rsidRPr="00190F7C" w:rsidR="00C1032C">
        <w:rPr>
          <w:rFonts w:ascii="Times New Roman" w:hAnsi="Times New Roman" w:eastAsia="Calibri" w:cs="Times New Roman"/>
          <w:bCs/>
          <w:sz w:val="24"/>
          <w:szCs w:val="24"/>
        </w:rPr>
        <w:t>-</w:t>
      </w:r>
      <w:r w:rsidRPr="00190F7C" w:rsidR="00446540">
        <w:rPr>
          <w:rFonts w:ascii="Times New Roman" w:hAnsi="Times New Roman" w:eastAsia="Calibri" w:cs="Times New Roman"/>
          <w:bCs/>
          <w:sz w:val="24"/>
          <w:szCs w:val="24"/>
        </w:rPr>
        <w:t xml:space="preserve">werkgroep en de Raad voor de </w:t>
      </w:r>
      <w:r w:rsidRPr="00190F7C" w:rsidR="00323E07">
        <w:rPr>
          <w:rFonts w:ascii="Times New Roman" w:hAnsi="Times New Roman" w:eastAsia="Calibri" w:cs="Times New Roman"/>
          <w:bCs/>
          <w:sz w:val="24"/>
          <w:szCs w:val="24"/>
        </w:rPr>
        <w:t>r</w:t>
      </w:r>
      <w:r w:rsidRPr="00190F7C" w:rsidR="00446540">
        <w:rPr>
          <w:rFonts w:ascii="Times New Roman" w:hAnsi="Times New Roman" w:eastAsia="Calibri" w:cs="Times New Roman"/>
          <w:bCs/>
          <w:sz w:val="24"/>
          <w:szCs w:val="24"/>
        </w:rPr>
        <w:t>echtspraak wordt bezien bij welke afzonderlijke gelegenheid kan worden voorzien in eenzelfde voorziening tot zekerheidstelling voor nationale gevallen. De</w:t>
      </w:r>
      <w:r w:rsidRPr="00190F7C" w:rsidR="00323E07">
        <w:rPr>
          <w:rFonts w:ascii="Times New Roman" w:hAnsi="Times New Roman" w:eastAsia="Calibri" w:cs="Times New Roman"/>
          <w:bCs/>
          <w:sz w:val="24"/>
          <w:szCs w:val="24"/>
        </w:rPr>
        <w:t>ze</w:t>
      </w:r>
      <w:r w:rsidRPr="00190F7C" w:rsidR="00446540">
        <w:rPr>
          <w:rFonts w:ascii="Times New Roman" w:hAnsi="Times New Roman" w:eastAsia="Calibri" w:cs="Times New Roman"/>
          <w:bCs/>
          <w:sz w:val="24"/>
          <w:szCs w:val="24"/>
        </w:rPr>
        <w:t xml:space="preserve"> leden vragen of de regering kan uitweiden over deze zogezegde afzonderlijke gelegenheid. Begrijpen deze leden het goed dat de regering nog geen uitsluitsel heeft over bij welke afzonderlijke gelegenheid kan worden voorzien in eenzelfde voorziening tot zekerheidstelling voor nationale gevallen? Indien deze leden dit juist hebben begrepen, willen zij vragen of de regering dan wel kan toezeggen dat er eenzelfde voorziening tot zekerheidstelling voor nationale gevallen als voor grensoverschrijdende gevallen gaat komen.</w:t>
      </w:r>
      <w:r w:rsidRPr="00190F7C" w:rsidR="00AE6589">
        <w:rPr>
          <w:rFonts w:ascii="Times New Roman" w:hAnsi="Times New Roman" w:eastAsia="Calibri" w:cs="Times New Roman"/>
          <w:bCs/>
          <w:i/>
          <w:iCs/>
          <w:sz w:val="24"/>
          <w:szCs w:val="24"/>
        </w:rPr>
        <w:br/>
      </w:r>
      <w:r w:rsidRPr="00190F7C" w:rsidR="00AE6589">
        <w:rPr>
          <w:rFonts w:ascii="Times New Roman" w:hAnsi="Times New Roman" w:eastAsia="Calibri" w:cs="Times New Roman"/>
          <w:bCs/>
          <w:i/>
          <w:iCs/>
          <w:sz w:val="24"/>
          <w:szCs w:val="24"/>
        </w:rPr>
        <w:br/>
      </w:r>
      <w:r w:rsidRPr="00190F7C">
        <w:rPr>
          <w:rFonts w:ascii="Times New Roman" w:hAnsi="Times New Roman" w:cs="Times New Roman"/>
          <w:bCs/>
          <w:i/>
          <w:iCs/>
          <w:sz w:val="24"/>
          <w:szCs w:val="24"/>
          <w:lang w:eastAsia="nl-NL"/>
        </w:rPr>
        <w:t>3.3 Vroegtijdige afwijzing (artikel 6, eerste lid, onder b, en artikel 11 van de richtlijn)</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sidR="00E662ED">
        <w:rPr>
          <w:rFonts w:ascii="Times New Roman" w:hAnsi="Times New Roman" w:cs="Times New Roman"/>
          <w:bCs/>
          <w:sz w:val="24"/>
          <w:szCs w:val="24"/>
          <w:lang w:eastAsia="nl-NL"/>
        </w:rPr>
        <w:t xml:space="preserve">De leden van de D66-fractie lezen in de memorie </w:t>
      </w:r>
      <w:r w:rsidRPr="00190F7C" w:rsidR="001A6918">
        <w:rPr>
          <w:rFonts w:ascii="Times New Roman" w:hAnsi="Times New Roman" w:cs="Times New Roman"/>
          <w:bCs/>
          <w:sz w:val="24"/>
          <w:szCs w:val="24"/>
          <w:lang w:eastAsia="nl-NL"/>
        </w:rPr>
        <w:t xml:space="preserve">van toelichting </w:t>
      </w:r>
      <w:r w:rsidRPr="00190F7C" w:rsidR="00E662ED">
        <w:rPr>
          <w:rFonts w:ascii="Times New Roman" w:hAnsi="Times New Roman" w:cs="Times New Roman"/>
          <w:bCs/>
          <w:sz w:val="24"/>
          <w:szCs w:val="24"/>
          <w:lang w:eastAsia="nl-NL"/>
        </w:rPr>
        <w:t>dat een vermeend SLAPP-slachtoffer middels een kort geding vroegtijdige afwijzing kan vorderen. Hiermee wordt echter niet de bodemprocedure beëindig</w:t>
      </w:r>
      <w:r w:rsidRPr="00190F7C" w:rsidR="00E02B7D">
        <w:rPr>
          <w:rFonts w:ascii="Times New Roman" w:hAnsi="Times New Roman" w:cs="Times New Roman"/>
          <w:bCs/>
          <w:sz w:val="24"/>
          <w:szCs w:val="24"/>
          <w:lang w:eastAsia="nl-NL"/>
        </w:rPr>
        <w:t>d</w:t>
      </w:r>
      <w:r w:rsidRPr="00190F7C" w:rsidR="00E662ED">
        <w:rPr>
          <w:rFonts w:ascii="Times New Roman" w:hAnsi="Times New Roman" w:cs="Times New Roman"/>
          <w:bCs/>
          <w:sz w:val="24"/>
          <w:szCs w:val="24"/>
          <w:lang w:eastAsia="nl-NL"/>
        </w:rPr>
        <w:t xml:space="preserve">, waardoor het SLAPP-slachtoffer alsnog voor een langere periode in juridische onzekerheid verkeert. Daar komt bij dat er ook kosten zijn verbonden aan het starten van een kort geding, wat door sommige doelwitten wellicht als drempel kan worden gezien. Kan de regering toelichten hoe het starten van een kort geding in dit kader betere rechtsbescherming biedt dan een versnelde behandeling van het hoofdbeding, bijvoorbeeld middels een vroegtijdige toets aan het begin van de hoofdprocedure? </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Pr>
          <w:rFonts w:ascii="Times New Roman" w:hAnsi="Times New Roman" w:cs="Times New Roman"/>
          <w:sz w:val="24"/>
          <w:szCs w:val="24"/>
          <w:lang w:eastAsia="nl-NL" w:bidi="nl-NL"/>
        </w:rPr>
        <w:t xml:space="preserve">De leden van de SP-fractie zien vanuit de Raad voor de </w:t>
      </w:r>
      <w:r w:rsidRPr="00190F7C" w:rsidR="00F4765A">
        <w:rPr>
          <w:rFonts w:ascii="Times New Roman" w:hAnsi="Times New Roman" w:cs="Times New Roman"/>
          <w:sz w:val="24"/>
          <w:szCs w:val="24"/>
          <w:lang w:eastAsia="nl-NL" w:bidi="nl-NL"/>
        </w:rPr>
        <w:t>r</w:t>
      </w:r>
      <w:r w:rsidRPr="00190F7C">
        <w:rPr>
          <w:rFonts w:ascii="Times New Roman" w:hAnsi="Times New Roman" w:cs="Times New Roman"/>
          <w:sz w:val="24"/>
          <w:szCs w:val="24"/>
          <w:lang w:eastAsia="nl-NL" w:bidi="nl-NL"/>
        </w:rPr>
        <w:t xml:space="preserve">echtspraak nog enige zorgen als het gaat over het beginsel van hoor en wederhoor. </w:t>
      </w:r>
      <w:r w:rsidRPr="00190F7C" w:rsidR="00F4765A">
        <w:rPr>
          <w:rFonts w:ascii="Times New Roman" w:hAnsi="Times New Roman" w:cs="Times New Roman"/>
          <w:sz w:val="24"/>
          <w:szCs w:val="24"/>
          <w:lang w:eastAsia="nl-NL" w:bidi="nl-NL"/>
        </w:rPr>
        <w:t>Deze leden</w:t>
      </w:r>
      <w:r w:rsidRPr="00190F7C">
        <w:rPr>
          <w:rFonts w:ascii="Times New Roman" w:hAnsi="Times New Roman" w:cs="Times New Roman"/>
          <w:sz w:val="24"/>
          <w:szCs w:val="24"/>
          <w:lang w:eastAsia="nl-NL" w:bidi="nl-NL"/>
        </w:rPr>
        <w:t xml:space="preserve"> zien dat de passage in paragraaf 3</w:t>
      </w:r>
      <w:r w:rsidRPr="00190F7C" w:rsidR="00F4765A">
        <w:rPr>
          <w:rFonts w:ascii="Times New Roman" w:hAnsi="Times New Roman" w:cs="Times New Roman"/>
          <w:sz w:val="24"/>
          <w:szCs w:val="24"/>
          <w:lang w:eastAsia="nl-NL" w:bidi="nl-NL"/>
        </w:rPr>
        <w:t>.</w:t>
      </w:r>
      <w:r w:rsidRPr="00190F7C">
        <w:rPr>
          <w:rFonts w:ascii="Times New Roman" w:hAnsi="Times New Roman" w:cs="Times New Roman"/>
          <w:sz w:val="24"/>
          <w:szCs w:val="24"/>
          <w:lang w:eastAsia="nl-NL" w:bidi="nl-NL"/>
        </w:rPr>
        <w:t xml:space="preserve">3 van de </w:t>
      </w:r>
      <w:r w:rsidRPr="00190F7C" w:rsidR="00F4765A">
        <w:rPr>
          <w:rFonts w:ascii="Times New Roman" w:hAnsi="Times New Roman" w:cs="Times New Roman"/>
          <w:sz w:val="24"/>
          <w:szCs w:val="24"/>
          <w:lang w:eastAsia="nl-NL" w:bidi="nl-NL"/>
        </w:rPr>
        <w:t xml:space="preserve">memorie van </w:t>
      </w:r>
      <w:r w:rsidRPr="00190F7C">
        <w:rPr>
          <w:rFonts w:ascii="Times New Roman" w:hAnsi="Times New Roman" w:cs="Times New Roman"/>
          <w:sz w:val="24"/>
          <w:szCs w:val="24"/>
          <w:lang w:eastAsia="nl-NL" w:bidi="nl-NL"/>
        </w:rPr>
        <w:t>toelichting niet voldoende refereert aan dat principe en dat de SLAPP</w:t>
      </w:r>
      <w:r w:rsidRPr="00190F7C" w:rsidR="000A533E">
        <w:rPr>
          <w:rFonts w:ascii="Times New Roman" w:hAnsi="Times New Roman" w:cs="Times New Roman"/>
          <w:sz w:val="24"/>
          <w:szCs w:val="24"/>
          <w:lang w:eastAsia="nl-NL" w:bidi="nl-NL"/>
        </w:rPr>
        <w:t>-regelgeving</w:t>
      </w:r>
      <w:r w:rsidRPr="00190F7C">
        <w:rPr>
          <w:rFonts w:ascii="Times New Roman" w:hAnsi="Times New Roman" w:cs="Times New Roman"/>
          <w:sz w:val="24"/>
          <w:szCs w:val="24"/>
          <w:lang w:eastAsia="nl-NL" w:bidi="nl-NL"/>
        </w:rPr>
        <w:t xml:space="preserve"> hierin niet in voldoende waarborgen voorziet in sommige gevallen. Begrijpt de regering deze zorgen? Op welke manier is er tegemoetgekomen aan deze zorgen?</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lastRenderedPageBreak/>
        <w:br/>
      </w:r>
      <w:r w:rsidRPr="00190F7C">
        <w:rPr>
          <w:rFonts w:ascii="Times New Roman" w:hAnsi="Times New Roman" w:cs="Times New Roman"/>
          <w:sz w:val="24"/>
          <w:szCs w:val="24"/>
          <w:lang w:eastAsia="nl-NL" w:bidi="nl-NL"/>
        </w:rPr>
        <w:t xml:space="preserve">De leden van de SP-fractie zien dat de Raad voor de </w:t>
      </w:r>
      <w:r w:rsidRPr="00190F7C" w:rsidR="0026325D">
        <w:rPr>
          <w:rFonts w:ascii="Times New Roman" w:hAnsi="Times New Roman" w:cs="Times New Roman"/>
          <w:sz w:val="24"/>
          <w:szCs w:val="24"/>
          <w:lang w:eastAsia="nl-NL" w:bidi="nl-NL"/>
        </w:rPr>
        <w:t>r</w:t>
      </w:r>
      <w:r w:rsidRPr="00190F7C">
        <w:rPr>
          <w:rFonts w:ascii="Times New Roman" w:hAnsi="Times New Roman" w:cs="Times New Roman"/>
          <w:sz w:val="24"/>
          <w:szCs w:val="24"/>
          <w:lang w:eastAsia="nl-NL" w:bidi="nl-NL"/>
        </w:rPr>
        <w:t xml:space="preserve">echtspraak vraagtekens zet bij </w:t>
      </w:r>
      <w:r w:rsidRPr="00190F7C">
        <w:rPr>
          <w:rFonts w:ascii="Times New Roman" w:hAnsi="Times New Roman" w:cs="Times New Roman"/>
          <w:bCs/>
          <w:sz w:val="24"/>
          <w:szCs w:val="24"/>
        </w:rPr>
        <w:t xml:space="preserve">een vroegtijdige afwijzing middels enkel een kort geding. De Raad geeft aan </w:t>
      </w:r>
      <w:r w:rsidRPr="00190F7C" w:rsidR="0026325D">
        <w:rPr>
          <w:rFonts w:ascii="Times New Roman" w:hAnsi="Times New Roman" w:cs="Times New Roman"/>
          <w:bCs/>
          <w:sz w:val="24"/>
          <w:szCs w:val="24"/>
        </w:rPr>
        <w:t xml:space="preserve">dat </w:t>
      </w:r>
      <w:r w:rsidRPr="00190F7C">
        <w:rPr>
          <w:rFonts w:ascii="Times New Roman" w:hAnsi="Times New Roman" w:cs="Times New Roman"/>
          <w:bCs/>
          <w:sz w:val="24"/>
          <w:szCs w:val="24"/>
        </w:rPr>
        <w:t>dit middel wellicht te zwaar is en ook niet nodig is</w:t>
      </w:r>
      <w:r w:rsidRPr="00190F7C" w:rsidR="0026325D">
        <w:rPr>
          <w:rFonts w:ascii="Times New Roman" w:hAnsi="Times New Roman" w:cs="Times New Roman"/>
          <w:bCs/>
          <w:sz w:val="24"/>
          <w:szCs w:val="24"/>
        </w:rPr>
        <w:t xml:space="preserve"> en het</w:t>
      </w:r>
      <w:r w:rsidRPr="00190F7C">
        <w:rPr>
          <w:rFonts w:ascii="Times New Roman" w:hAnsi="Times New Roman" w:cs="Times New Roman"/>
          <w:bCs/>
          <w:sz w:val="24"/>
          <w:szCs w:val="24"/>
        </w:rPr>
        <w:t xml:space="preserve"> de voorkeur geeft in te zetten op de incidentele vordering en dat dit ook nog effectiever is. De Raad geeft aan dat dit als mogelijkheid ook een plek moet krijgen in de </w:t>
      </w:r>
      <w:r w:rsidRPr="00190F7C" w:rsidR="0026325D">
        <w:rPr>
          <w:rFonts w:ascii="Times New Roman" w:hAnsi="Times New Roman" w:cs="Times New Roman"/>
          <w:bCs/>
          <w:sz w:val="24"/>
          <w:szCs w:val="24"/>
        </w:rPr>
        <w:t xml:space="preserve">memorie van </w:t>
      </w:r>
      <w:r w:rsidRPr="00190F7C">
        <w:rPr>
          <w:rFonts w:ascii="Times New Roman" w:hAnsi="Times New Roman" w:cs="Times New Roman"/>
          <w:bCs/>
          <w:sz w:val="24"/>
          <w:szCs w:val="24"/>
        </w:rPr>
        <w:t>toelichting. Kan de regering op deze analyse reflecteren? Is de regering ertoe bereid dit alsnog toe te voegen aan de memorie van toelichting?</w:t>
      </w:r>
      <w:r w:rsidRPr="00190F7C" w:rsidR="00AE6589">
        <w:rPr>
          <w:rFonts w:ascii="Times New Roman" w:hAnsi="Times New Roman" w:cs="Times New Roman"/>
          <w:bCs/>
          <w:sz w:val="24"/>
          <w:szCs w:val="24"/>
        </w:rPr>
        <w:br/>
      </w:r>
      <w:r w:rsidRPr="00190F7C" w:rsidR="00AE6589">
        <w:rPr>
          <w:rFonts w:ascii="Times New Roman" w:hAnsi="Times New Roman" w:cs="Times New Roman"/>
          <w:bCs/>
          <w:sz w:val="24"/>
          <w:szCs w:val="24"/>
        </w:rPr>
        <w:br/>
      </w:r>
      <w:r w:rsidRPr="00190F7C">
        <w:rPr>
          <w:rFonts w:ascii="Times New Roman" w:hAnsi="Times New Roman" w:cs="Times New Roman"/>
          <w:bCs/>
          <w:i/>
          <w:iCs/>
          <w:sz w:val="24"/>
          <w:szCs w:val="24"/>
          <w:lang w:eastAsia="nl-NL"/>
        </w:rPr>
        <w:t>3.4 Voorzieningen in rechte tegen misbruik van procesrecht gericht tegen publieke participatie (artikel 6, eerste lid, onder c, en artikel 14 en 15 van de richtlijn)</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sidR="0026325D">
        <w:rPr>
          <w:rFonts w:ascii="Times New Roman" w:hAnsi="Times New Roman" w:cs="Times New Roman"/>
          <w:bCs/>
          <w:sz w:val="24"/>
          <w:szCs w:val="24"/>
          <w:lang w:eastAsia="nl-NL"/>
        </w:rPr>
        <w:t xml:space="preserve">De leden van de </w:t>
      </w:r>
      <w:r w:rsidRPr="00190F7C" w:rsidR="00446540">
        <w:rPr>
          <w:rFonts w:ascii="Times New Roman" w:hAnsi="Times New Roman" w:cs="Times New Roman"/>
          <w:bCs/>
          <w:sz w:val="24"/>
          <w:szCs w:val="24"/>
          <w:lang w:eastAsia="nl-NL"/>
        </w:rPr>
        <w:t>G</w:t>
      </w:r>
      <w:r w:rsidRPr="00190F7C" w:rsidR="0026325D">
        <w:rPr>
          <w:rFonts w:ascii="Times New Roman" w:hAnsi="Times New Roman" w:cs="Times New Roman"/>
          <w:bCs/>
          <w:sz w:val="24"/>
          <w:szCs w:val="24"/>
          <w:lang w:eastAsia="nl-NL"/>
        </w:rPr>
        <w:t>roen</w:t>
      </w:r>
      <w:r w:rsidRPr="00190F7C" w:rsidR="00446540">
        <w:rPr>
          <w:rFonts w:ascii="Times New Roman" w:hAnsi="Times New Roman" w:cs="Times New Roman"/>
          <w:bCs/>
          <w:sz w:val="24"/>
          <w:szCs w:val="24"/>
          <w:lang w:eastAsia="nl-NL"/>
        </w:rPr>
        <w:t>L</w:t>
      </w:r>
      <w:r w:rsidRPr="00190F7C" w:rsidR="0026325D">
        <w:rPr>
          <w:rFonts w:ascii="Times New Roman" w:hAnsi="Times New Roman" w:cs="Times New Roman"/>
          <w:bCs/>
          <w:sz w:val="24"/>
          <w:szCs w:val="24"/>
          <w:lang w:eastAsia="nl-NL"/>
        </w:rPr>
        <w:t>inks</w:t>
      </w:r>
      <w:r w:rsidRPr="00190F7C" w:rsidR="00446540">
        <w:rPr>
          <w:rFonts w:ascii="Times New Roman" w:hAnsi="Times New Roman" w:cs="Times New Roman"/>
          <w:bCs/>
          <w:sz w:val="24"/>
          <w:szCs w:val="24"/>
          <w:lang w:eastAsia="nl-NL"/>
        </w:rPr>
        <w:t>-PvdA</w:t>
      </w:r>
      <w:r w:rsidRPr="00190F7C" w:rsidR="0026325D">
        <w:rPr>
          <w:rFonts w:ascii="Times New Roman" w:hAnsi="Times New Roman" w:cs="Times New Roman"/>
          <w:bCs/>
          <w:sz w:val="24"/>
          <w:szCs w:val="24"/>
          <w:lang w:eastAsia="nl-NL"/>
        </w:rPr>
        <w:t>-fractie merken op dat d</w:t>
      </w:r>
      <w:r w:rsidRPr="00190F7C" w:rsidR="00446540">
        <w:rPr>
          <w:rFonts w:ascii="Times New Roman" w:hAnsi="Times New Roman" w:cs="Times New Roman"/>
          <w:bCs/>
          <w:sz w:val="24"/>
          <w:szCs w:val="24"/>
          <w:lang w:eastAsia="nl-NL"/>
        </w:rPr>
        <w:t xml:space="preserve">e regering </w:t>
      </w:r>
      <w:r w:rsidRPr="00190F7C" w:rsidR="00045E7A">
        <w:rPr>
          <w:rFonts w:ascii="Times New Roman" w:hAnsi="Times New Roman" w:cs="Times New Roman"/>
          <w:bCs/>
          <w:sz w:val="24"/>
          <w:szCs w:val="24"/>
          <w:lang w:eastAsia="nl-NL"/>
        </w:rPr>
        <w:t xml:space="preserve">erop </w:t>
      </w:r>
      <w:r w:rsidRPr="00190F7C" w:rsidR="00446540">
        <w:rPr>
          <w:rFonts w:ascii="Times New Roman" w:hAnsi="Times New Roman" w:cs="Times New Roman"/>
          <w:bCs/>
          <w:sz w:val="24"/>
          <w:szCs w:val="24"/>
          <w:lang w:eastAsia="nl-NL"/>
        </w:rPr>
        <w:t>wijst dat de Nederlandse wetgeving al voldoet aan de eis uit artikel 14 van de richtlijn</w:t>
      </w:r>
      <w:r w:rsidRPr="00190F7C" w:rsidR="00045E7A">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dat een SLAPP-doelwit de volledige kosten van vertegenwoordiging in rechte vergoed moet kunnen krijgen. De regering wijst daarbij op de ruimte die de rechter heeft om af te wijken van het gangbare puntenstelsel dat gehanteerd wordt bij proceskostenveroordelingen door een volledige proceskostenveroordeling op te leggen. Dat is mogelijk in het geval van misbruik van het procesrecht zoals bij </w:t>
      </w:r>
      <w:proofErr w:type="spellStart"/>
      <w:r w:rsidRPr="00190F7C" w:rsidR="00446540">
        <w:rPr>
          <w:rFonts w:ascii="Times New Roman" w:hAnsi="Times New Roman" w:cs="Times New Roman"/>
          <w:bCs/>
          <w:sz w:val="24"/>
          <w:szCs w:val="24"/>
          <w:lang w:eastAsia="nl-NL"/>
        </w:rPr>
        <w:t>SLAPPs</w:t>
      </w:r>
      <w:proofErr w:type="spellEnd"/>
      <w:r w:rsidRPr="00190F7C" w:rsidR="00446540">
        <w:rPr>
          <w:rFonts w:ascii="Times New Roman" w:hAnsi="Times New Roman" w:cs="Times New Roman"/>
          <w:bCs/>
          <w:sz w:val="24"/>
          <w:szCs w:val="24"/>
          <w:lang w:eastAsia="nl-NL"/>
        </w:rPr>
        <w:t>. De Nederlandse anti-SLAPP</w:t>
      </w:r>
      <w:r w:rsidRPr="00190F7C" w:rsidR="00045E7A">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werkgroep wijst er echter op dat ook als een rechter in uitzonderlijke gevallen een schending van art</w:t>
      </w:r>
      <w:r w:rsidRPr="00190F7C" w:rsidR="00045E7A">
        <w:rPr>
          <w:rFonts w:ascii="Times New Roman" w:hAnsi="Times New Roman" w:cs="Times New Roman"/>
          <w:bCs/>
          <w:sz w:val="24"/>
          <w:szCs w:val="24"/>
          <w:lang w:eastAsia="nl-NL"/>
        </w:rPr>
        <w:t>ikel</w:t>
      </w:r>
      <w:r w:rsidRPr="00190F7C" w:rsidR="00446540">
        <w:rPr>
          <w:rFonts w:ascii="Times New Roman" w:hAnsi="Times New Roman" w:cs="Times New Roman"/>
          <w:bCs/>
          <w:sz w:val="24"/>
          <w:szCs w:val="24"/>
          <w:lang w:eastAsia="nl-NL"/>
        </w:rPr>
        <w:t xml:space="preserve"> 3:13 </w:t>
      </w:r>
      <w:r w:rsidRPr="00190F7C" w:rsidR="00045E7A">
        <w:rPr>
          <w:rFonts w:ascii="Times New Roman" w:hAnsi="Times New Roman" w:cs="Times New Roman"/>
          <w:bCs/>
          <w:sz w:val="24"/>
          <w:szCs w:val="24"/>
          <w:lang w:eastAsia="nl-NL"/>
        </w:rPr>
        <w:t xml:space="preserve">van het </w:t>
      </w:r>
      <w:r w:rsidRPr="00190F7C" w:rsidR="00446540">
        <w:rPr>
          <w:rFonts w:ascii="Times New Roman" w:hAnsi="Times New Roman" w:cs="Times New Roman"/>
          <w:bCs/>
          <w:sz w:val="24"/>
          <w:szCs w:val="24"/>
          <w:lang w:eastAsia="nl-NL"/>
        </w:rPr>
        <w:t xml:space="preserve">BW (misbruik van procesrecht) toewijst, dit in de praktijk toch zelden leidt tot een volledige kostenveroordeling. Kan de regering hier nader op ingaan? En hoe denkt de regering over een specifieke kostenregeling voor </w:t>
      </w:r>
      <w:proofErr w:type="spellStart"/>
      <w:r w:rsidRPr="00190F7C" w:rsidR="00446540">
        <w:rPr>
          <w:rFonts w:ascii="Times New Roman" w:hAnsi="Times New Roman" w:cs="Times New Roman"/>
          <w:bCs/>
          <w:sz w:val="24"/>
          <w:szCs w:val="24"/>
          <w:lang w:eastAsia="nl-NL"/>
        </w:rPr>
        <w:t>SLAPPs</w:t>
      </w:r>
      <w:proofErr w:type="spellEnd"/>
      <w:r w:rsidRPr="00190F7C" w:rsidR="00446540">
        <w:rPr>
          <w:rFonts w:ascii="Times New Roman" w:hAnsi="Times New Roman" w:cs="Times New Roman"/>
          <w:bCs/>
          <w:sz w:val="24"/>
          <w:szCs w:val="24"/>
          <w:lang w:eastAsia="nl-NL"/>
        </w:rPr>
        <w:t xml:space="preserve"> vergelijkbaar met intellectuele eigendomszaken waarin de in het ongelijk gestelde partij veroordeeld kan worden tot betaling van redelijke en evenredige gerechtskosten en andere kosten die de in het gelijk gestelde partij heeft gemaakt (art</w:t>
      </w:r>
      <w:r w:rsidRPr="00190F7C" w:rsidR="00045E7A">
        <w:rPr>
          <w:rFonts w:ascii="Times New Roman" w:hAnsi="Times New Roman" w:cs="Times New Roman"/>
          <w:bCs/>
          <w:sz w:val="24"/>
          <w:szCs w:val="24"/>
          <w:lang w:eastAsia="nl-NL"/>
        </w:rPr>
        <w:t>ikel</w:t>
      </w:r>
      <w:r w:rsidRPr="00190F7C" w:rsidR="00446540">
        <w:rPr>
          <w:rFonts w:ascii="Times New Roman" w:hAnsi="Times New Roman" w:cs="Times New Roman"/>
          <w:bCs/>
          <w:sz w:val="24"/>
          <w:szCs w:val="24"/>
          <w:lang w:eastAsia="nl-NL"/>
        </w:rPr>
        <w:t xml:space="preserve"> 1019h </w:t>
      </w:r>
      <w:r w:rsidRPr="00190F7C" w:rsidR="00045E7A">
        <w:rPr>
          <w:rFonts w:ascii="Times New Roman" w:hAnsi="Times New Roman" w:cs="Times New Roman"/>
          <w:bCs/>
          <w:sz w:val="24"/>
          <w:szCs w:val="24"/>
          <w:lang w:eastAsia="nl-NL"/>
        </w:rPr>
        <w:t>van het W</w:t>
      </w:r>
      <w:r w:rsidRPr="00190F7C" w:rsidR="00446540">
        <w:rPr>
          <w:rFonts w:ascii="Times New Roman" w:hAnsi="Times New Roman" w:cs="Times New Roman"/>
          <w:bCs/>
          <w:sz w:val="24"/>
          <w:szCs w:val="24"/>
          <w:lang w:eastAsia="nl-NL"/>
        </w:rPr>
        <w:t xml:space="preserve">etboek van </w:t>
      </w:r>
      <w:r w:rsidRPr="00190F7C" w:rsidR="0041261D">
        <w:rPr>
          <w:rFonts w:ascii="Times New Roman" w:hAnsi="Times New Roman" w:cs="Times New Roman"/>
          <w:bCs/>
          <w:sz w:val="24"/>
          <w:szCs w:val="24"/>
          <w:lang w:eastAsia="nl-NL"/>
        </w:rPr>
        <w:t xml:space="preserve">Burgerlijke </w:t>
      </w:r>
      <w:r w:rsidRPr="00190F7C" w:rsidR="00446540">
        <w:rPr>
          <w:rFonts w:ascii="Times New Roman" w:hAnsi="Times New Roman" w:cs="Times New Roman"/>
          <w:bCs/>
          <w:sz w:val="24"/>
          <w:szCs w:val="24"/>
          <w:lang w:eastAsia="nl-NL"/>
        </w:rPr>
        <w:t>Rechtsvordering)?</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sidR="00E662ED">
        <w:rPr>
          <w:rFonts w:ascii="Times New Roman" w:hAnsi="Times New Roman" w:cs="Times New Roman"/>
          <w:bCs/>
          <w:sz w:val="24"/>
          <w:szCs w:val="24"/>
          <w:lang w:eastAsia="nl-NL"/>
        </w:rPr>
        <w:t xml:space="preserve">De leden van de D66-fractie erkennen dat, hoewel het huidige Nederlandse procesrecht op grond van artikel 3:13 </w:t>
      </w:r>
      <w:r w:rsidRPr="00190F7C" w:rsidR="00146674">
        <w:rPr>
          <w:rFonts w:ascii="Times New Roman" w:hAnsi="Times New Roman" w:cs="Times New Roman"/>
          <w:bCs/>
          <w:sz w:val="24"/>
          <w:szCs w:val="24"/>
          <w:lang w:eastAsia="nl-NL"/>
        </w:rPr>
        <w:t xml:space="preserve">van het </w:t>
      </w:r>
      <w:r w:rsidRPr="00190F7C" w:rsidR="00E662ED">
        <w:rPr>
          <w:rFonts w:ascii="Times New Roman" w:hAnsi="Times New Roman" w:cs="Times New Roman"/>
          <w:bCs/>
          <w:sz w:val="24"/>
          <w:szCs w:val="24"/>
          <w:lang w:eastAsia="nl-NL"/>
        </w:rPr>
        <w:t xml:space="preserve">BW de mogelijkheid biedt tot volledige kostenveroordeling bij misbruik van het procesrecht, hier door rechters in de praktijk niet altijd gebruik van wordt gemaakt. Doorgaans worden slechts de forfaitaire proceskosten toegekend op basis van het liquidatietarief. Deze vergoeding staat vaak niet gelijk aan de in werkelijkheid gemaakte kosten. Een volledige kostenvergoeding gebeurt dan ook zelden. Kan de regering toelichten waarom de bestaande rechtsmiddelen in de praktijk voldoende bescherming bieden tegen de financiële druk van SLAPP-zaken? Waarom is, in licht van bovenstaande, niet gekozen voor een aparte wettelijke bepaling dat de rechter in SLAPP-zaken expliciet een volledige proceskostenvergoeding moet overwegen (tenzij de billijkheid zich daartegen verzet)? </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Pr>
          <w:rFonts w:ascii="Times New Roman" w:hAnsi="Times New Roman" w:cs="Times New Roman"/>
          <w:bCs/>
          <w:i/>
          <w:iCs/>
          <w:sz w:val="24"/>
          <w:szCs w:val="24"/>
          <w:lang w:eastAsia="nl-NL"/>
        </w:rPr>
        <w:t>3.5 Diversen</w:t>
      </w:r>
      <w:r w:rsidRPr="00190F7C" w:rsidR="00AE6589">
        <w:rPr>
          <w:rFonts w:ascii="Times New Roman" w:hAnsi="Times New Roman" w:cs="Times New Roman"/>
          <w:bCs/>
          <w:i/>
          <w:iCs/>
          <w:sz w:val="24"/>
          <w:szCs w:val="24"/>
          <w:lang w:eastAsia="nl-NL"/>
        </w:rPr>
        <w:br/>
      </w:r>
      <w:r w:rsidRPr="00190F7C" w:rsidR="00AE6589">
        <w:rPr>
          <w:rFonts w:ascii="Times New Roman" w:hAnsi="Times New Roman" w:cs="Times New Roman"/>
          <w:bCs/>
          <w:i/>
          <w:iCs/>
          <w:sz w:val="24"/>
          <w:szCs w:val="24"/>
          <w:lang w:eastAsia="nl-NL"/>
        </w:rPr>
        <w:br/>
      </w:r>
      <w:r w:rsidRPr="00190F7C" w:rsidR="00446540">
        <w:rPr>
          <w:rFonts w:ascii="Times New Roman" w:hAnsi="Times New Roman" w:cs="Times New Roman"/>
          <w:bCs/>
          <w:sz w:val="24"/>
          <w:szCs w:val="24"/>
          <w:lang w:eastAsia="nl-NL"/>
        </w:rPr>
        <w:t xml:space="preserve">De leden van de </w:t>
      </w:r>
      <w:r w:rsidRPr="00190F7C" w:rsidR="00146674">
        <w:rPr>
          <w:rFonts w:ascii="Times New Roman" w:hAnsi="Times New Roman" w:cs="Times New Roman"/>
          <w:bCs/>
          <w:sz w:val="24"/>
          <w:szCs w:val="24"/>
          <w:lang w:eastAsia="nl-NL"/>
        </w:rPr>
        <w:t>GroenLinks-PvdA-</w:t>
      </w:r>
      <w:r w:rsidRPr="00190F7C" w:rsidR="00446540">
        <w:rPr>
          <w:rFonts w:ascii="Times New Roman" w:hAnsi="Times New Roman" w:cs="Times New Roman"/>
          <w:bCs/>
          <w:sz w:val="24"/>
          <w:szCs w:val="24"/>
          <w:lang w:eastAsia="nl-NL"/>
        </w:rPr>
        <w:t>fractie begrijpen dat de regering van mening is dat in de door de richtlijn voorgeschreven versnelde procedure al is voorzien</w:t>
      </w:r>
      <w:r w:rsidRPr="00190F7C" w:rsidR="00160F2B">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omdat de verwachting is dat</w:t>
      </w:r>
      <w:r w:rsidRPr="00190F7C" w:rsidR="00AE6589">
        <w:rPr>
          <w:rFonts w:ascii="Times New Roman" w:hAnsi="Times New Roman" w:cs="Times New Roman"/>
          <w:bCs/>
          <w:sz w:val="24"/>
          <w:szCs w:val="24"/>
          <w:lang w:eastAsia="nl-NL"/>
        </w:rPr>
        <w:t xml:space="preserve"> </w:t>
      </w:r>
      <w:r w:rsidRPr="00190F7C" w:rsidR="00446540">
        <w:rPr>
          <w:rFonts w:ascii="Times New Roman" w:hAnsi="Times New Roman" w:cs="Times New Roman"/>
          <w:bCs/>
          <w:sz w:val="24"/>
          <w:szCs w:val="24"/>
          <w:lang w:eastAsia="nl-NL"/>
        </w:rPr>
        <w:t>de rechter op een vordering tot zekerheidstelling met voorrang zal beslissen en omdat een persoon die meent doelwit van een SLAPP te zijn</w:t>
      </w:r>
      <w:r w:rsidRPr="00190F7C" w:rsidR="00160F2B">
        <w:rPr>
          <w:rFonts w:ascii="Times New Roman" w:hAnsi="Times New Roman" w:cs="Times New Roman"/>
          <w:bCs/>
          <w:sz w:val="24"/>
          <w:szCs w:val="24"/>
          <w:lang w:eastAsia="nl-NL"/>
        </w:rPr>
        <w:t>,</w:t>
      </w:r>
      <w:r w:rsidRPr="00190F7C" w:rsidR="00446540">
        <w:rPr>
          <w:rFonts w:ascii="Times New Roman" w:hAnsi="Times New Roman" w:cs="Times New Roman"/>
          <w:bCs/>
          <w:sz w:val="24"/>
          <w:szCs w:val="24"/>
          <w:lang w:eastAsia="nl-NL"/>
        </w:rPr>
        <w:t xml:space="preserve"> een kort geding aanhangig kan maken. Het starten van een kort geding kan voor een weinig financieel draagkrachtige partij al snel bezwaarlijk zijn. Bovendien is ook niet zeker of een rechter snel zal beslissen over het beroep </w:t>
      </w:r>
      <w:r w:rsidRPr="00190F7C" w:rsidR="00446540">
        <w:rPr>
          <w:rFonts w:ascii="Times New Roman" w:hAnsi="Times New Roman" w:cs="Times New Roman"/>
          <w:bCs/>
          <w:sz w:val="24"/>
          <w:szCs w:val="24"/>
          <w:lang w:eastAsia="nl-NL"/>
        </w:rPr>
        <w:lastRenderedPageBreak/>
        <w:t xml:space="preserve">op misbruik van procesrecht. Waarom is er niet gekozen voor een specifieke wettelijke voorziening voor versnelde behandeling van vroegtijdige afwijzing bij </w:t>
      </w:r>
      <w:proofErr w:type="spellStart"/>
      <w:r w:rsidRPr="00190F7C" w:rsidR="00446540">
        <w:rPr>
          <w:rFonts w:ascii="Times New Roman" w:hAnsi="Times New Roman" w:cs="Times New Roman"/>
          <w:bCs/>
          <w:sz w:val="24"/>
          <w:szCs w:val="24"/>
          <w:lang w:eastAsia="nl-NL"/>
        </w:rPr>
        <w:t>SLAPPs</w:t>
      </w:r>
      <w:proofErr w:type="spellEnd"/>
      <w:r w:rsidRPr="00190F7C" w:rsidR="00446540">
        <w:rPr>
          <w:rFonts w:ascii="Times New Roman" w:hAnsi="Times New Roman" w:cs="Times New Roman"/>
          <w:bCs/>
          <w:sz w:val="24"/>
          <w:szCs w:val="24"/>
          <w:lang w:eastAsia="nl-NL"/>
        </w:rPr>
        <w:t>?</w:t>
      </w:r>
      <w:r w:rsidRPr="00190F7C" w:rsidR="00AE6589">
        <w:rPr>
          <w:rFonts w:ascii="Times New Roman" w:hAnsi="Times New Roman" w:cs="Times New Roman"/>
          <w:bCs/>
          <w:sz w:val="24"/>
          <w:szCs w:val="24"/>
          <w:lang w:eastAsia="nl-NL"/>
        </w:rPr>
        <w:br/>
      </w:r>
      <w:r w:rsidRPr="00190F7C" w:rsidR="00AE6589">
        <w:rPr>
          <w:rFonts w:ascii="Times New Roman" w:hAnsi="Times New Roman" w:cs="Times New Roman"/>
          <w:bCs/>
          <w:sz w:val="24"/>
          <w:szCs w:val="24"/>
          <w:lang w:eastAsia="nl-NL"/>
        </w:rPr>
        <w:br/>
      </w:r>
      <w:r w:rsidRPr="00190F7C" w:rsidR="00160F2B">
        <w:rPr>
          <w:rStyle w:val="normaltextrun"/>
          <w:rFonts w:ascii="Times New Roman" w:hAnsi="Times New Roman" w:cs="Times New Roman"/>
          <w:sz w:val="24"/>
          <w:szCs w:val="24"/>
        </w:rPr>
        <w:t xml:space="preserve">De leden van de </w:t>
      </w:r>
      <w:r w:rsidRPr="00190F7C">
        <w:rPr>
          <w:rStyle w:val="normaltextrun"/>
          <w:rFonts w:ascii="Times New Roman" w:hAnsi="Times New Roman" w:cs="Times New Roman"/>
          <w:sz w:val="24"/>
          <w:szCs w:val="24"/>
        </w:rPr>
        <w:t>BBB</w:t>
      </w:r>
      <w:r w:rsidRPr="00190F7C" w:rsidR="00160F2B">
        <w:rPr>
          <w:rStyle w:val="normaltextrun"/>
          <w:rFonts w:ascii="Times New Roman" w:hAnsi="Times New Roman" w:cs="Times New Roman"/>
          <w:sz w:val="24"/>
          <w:szCs w:val="24"/>
        </w:rPr>
        <w:t xml:space="preserve">-fractie vragen of </w:t>
      </w:r>
      <w:r w:rsidRPr="00190F7C">
        <w:rPr>
          <w:rStyle w:val="normaltextrun"/>
          <w:rFonts w:ascii="Times New Roman" w:hAnsi="Times New Roman" w:cs="Times New Roman"/>
          <w:sz w:val="24"/>
          <w:szCs w:val="24"/>
        </w:rPr>
        <w:t xml:space="preserve">de regering ook </w:t>
      </w:r>
      <w:r w:rsidRPr="00190F7C" w:rsidR="00160F2B">
        <w:rPr>
          <w:rStyle w:val="normaltextrun"/>
          <w:rFonts w:ascii="Times New Roman" w:hAnsi="Times New Roman" w:cs="Times New Roman"/>
          <w:sz w:val="24"/>
          <w:szCs w:val="24"/>
        </w:rPr>
        <w:t xml:space="preserve">kan </w:t>
      </w:r>
      <w:r w:rsidRPr="00190F7C">
        <w:rPr>
          <w:rStyle w:val="normaltextrun"/>
          <w:rFonts w:ascii="Times New Roman" w:hAnsi="Times New Roman" w:cs="Times New Roman"/>
          <w:sz w:val="24"/>
          <w:szCs w:val="24"/>
        </w:rPr>
        <w:t xml:space="preserve">toelichten of zij in kaart heeft gebracht om hoeveel zaken </w:t>
      </w:r>
      <w:r w:rsidRPr="00190F7C" w:rsidR="00C6694A">
        <w:rPr>
          <w:rStyle w:val="normaltextrun"/>
          <w:rFonts w:ascii="Times New Roman" w:hAnsi="Times New Roman" w:cs="Times New Roman"/>
          <w:sz w:val="24"/>
          <w:szCs w:val="24"/>
        </w:rPr>
        <w:t>he</w:t>
      </w:r>
      <w:r w:rsidRPr="00190F7C">
        <w:rPr>
          <w:rStyle w:val="normaltextrun"/>
          <w:rFonts w:ascii="Times New Roman" w:hAnsi="Times New Roman" w:cs="Times New Roman"/>
          <w:sz w:val="24"/>
          <w:szCs w:val="24"/>
        </w:rPr>
        <w:t>t mogelijk kan gaan</w:t>
      </w:r>
      <w:r w:rsidRPr="00190F7C" w:rsidR="00A30DF4">
        <w:rPr>
          <w:rStyle w:val="normaltextrun"/>
          <w:rFonts w:ascii="Times New Roman" w:hAnsi="Times New Roman" w:cs="Times New Roman"/>
          <w:sz w:val="24"/>
          <w:szCs w:val="24"/>
        </w:rPr>
        <w:t>.</w:t>
      </w:r>
      <w:r w:rsidRPr="00190F7C">
        <w:rPr>
          <w:rStyle w:val="normaltextrun"/>
          <w:rFonts w:ascii="Times New Roman" w:hAnsi="Times New Roman" w:cs="Times New Roman"/>
          <w:sz w:val="24"/>
          <w:szCs w:val="24"/>
        </w:rPr>
        <w:t xml:space="preserve"> Zo niet, kan de regering dit in kaart brengen en de Kamer hierover informeren?</w:t>
      </w:r>
      <w:r w:rsidRPr="00190F7C">
        <w:rPr>
          <w:rStyle w:val="eop"/>
          <w:rFonts w:ascii="Times New Roman" w:hAnsi="Times New Roman" w:cs="Times New Roman"/>
          <w:sz w:val="24"/>
          <w:szCs w:val="24"/>
        </w:rPr>
        <w:t> </w:t>
      </w:r>
      <w:r w:rsidRPr="00190F7C" w:rsidR="00AE6589">
        <w:rPr>
          <w:rStyle w:val="eop"/>
          <w:rFonts w:ascii="Times New Roman" w:hAnsi="Times New Roman" w:cs="Times New Roman"/>
          <w:sz w:val="24"/>
          <w:szCs w:val="24"/>
        </w:rPr>
        <w:br/>
      </w:r>
      <w:r w:rsidRPr="00190F7C" w:rsidR="00AE6589">
        <w:rPr>
          <w:rStyle w:val="eop"/>
          <w:rFonts w:ascii="Times New Roman" w:hAnsi="Times New Roman" w:cs="Times New Roman"/>
          <w:sz w:val="24"/>
          <w:szCs w:val="24"/>
        </w:rPr>
        <w:br/>
      </w:r>
      <w:r w:rsidRPr="00190F7C" w:rsidR="00C6694A">
        <w:rPr>
          <w:rStyle w:val="normaltextrun"/>
          <w:rFonts w:ascii="Times New Roman" w:hAnsi="Times New Roman" w:cs="Times New Roman"/>
          <w:sz w:val="24"/>
          <w:szCs w:val="24"/>
        </w:rPr>
        <w:t>De leden van de BBB-fractie merken op dat i</w:t>
      </w:r>
      <w:r w:rsidRPr="00190F7C">
        <w:rPr>
          <w:rStyle w:val="normaltextrun"/>
          <w:rFonts w:ascii="Times New Roman" w:hAnsi="Times New Roman" w:cs="Times New Roman"/>
          <w:sz w:val="24"/>
          <w:szCs w:val="24"/>
        </w:rPr>
        <w:t xml:space="preserve">n het wetsvoorstel geen evaluatiebepaling </w:t>
      </w:r>
      <w:r w:rsidRPr="00190F7C" w:rsidR="00C6694A">
        <w:rPr>
          <w:rStyle w:val="normaltextrun"/>
          <w:rFonts w:ascii="Times New Roman" w:hAnsi="Times New Roman" w:cs="Times New Roman"/>
          <w:sz w:val="24"/>
          <w:szCs w:val="24"/>
        </w:rPr>
        <w:t xml:space="preserve">is </w:t>
      </w:r>
      <w:r w:rsidRPr="00190F7C">
        <w:rPr>
          <w:rStyle w:val="normaltextrun"/>
          <w:rFonts w:ascii="Times New Roman" w:hAnsi="Times New Roman" w:cs="Times New Roman"/>
          <w:sz w:val="24"/>
          <w:szCs w:val="24"/>
        </w:rPr>
        <w:t>opgenomen. Vanwege bovengenoemde zorgen achten de</w:t>
      </w:r>
      <w:r w:rsidRPr="00190F7C" w:rsidR="00C6694A">
        <w:rPr>
          <w:rStyle w:val="normaltextrun"/>
          <w:rFonts w:ascii="Times New Roman" w:hAnsi="Times New Roman" w:cs="Times New Roman"/>
          <w:sz w:val="24"/>
          <w:szCs w:val="24"/>
        </w:rPr>
        <w:t>ze</w:t>
      </w:r>
      <w:r w:rsidRPr="00190F7C">
        <w:rPr>
          <w:rStyle w:val="normaltextrun"/>
          <w:rFonts w:ascii="Times New Roman" w:hAnsi="Times New Roman" w:cs="Times New Roman"/>
          <w:sz w:val="24"/>
          <w:szCs w:val="24"/>
        </w:rPr>
        <w:t xml:space="preserve"> leden een dergelijke evaluatie van belang. Kan de regering uitleggen waarom er geen evaluatiebepaling is opgenomen? En zou de regering bereid zijn deze in het wetsvoorstel op te nemen?</w:t>
      </w:r>
      <w:r w:rsidRPr="00190F7C">
        <w:rPr>
          <w:rStyle w:val="eop"/>
          <w:rFonts w:ascii="Times New Roman" w:hAnsi="Times New Roman" w:cs="Times New Roman"/>
          <w:sz w:val="24"/>
          <w:szCs w:val="24"/>
        </w:rPr>
        <w:t> </w:t>
      </w:r>
      <w:r w:rsidRPr="00190F7C" w:rsidR="00AE6589">
        <w:rPr>
          <w:rStyle w:val="eop"/>
          <w:rFonts w:ascii="Times New Roman" w:hAnsi="Times New Roman" w:cs="Times New Roman"/>
          <w:sz w:val="24"/>
          <w:szCs w:val="24"/>
        </w:rPr>
        <w:br/>
      </w:r>
      <w:r w:rsidRPr="00190F7C" w:rsidR="00AE6589">
        <w:rPr>
          <w:rStyle w:val="eop"/>
          <w:rFonts w:ascii="Times New Roman" w:hAnsi="Times New Roman" w:cs="Times New Roman"/>
          <w:sz w:val="24"/>
          <w:szCs w:val="24"/>
        </w:rPr>
        <w:br/>
      </w:r>
      <w:r w:rsidRPr="00190F7C">
        <w:rPr>
          <w:rFonts w:ascii="Times New Roman" w:hAnsi="Times New Roman" w:cs="Times New Roman"/>
          <w:b/>
          <w:sz w:val="24"/>
          <w:szCs w:val="24"/>
          <w:lang w:eastAsia="nl-NL"/>
        </w:rPr>
        <w:t>4. Consultatie</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 xml:space="preserve">De leden van de VVD-fractie lezen in het advies van de Nederlandse </w:t>
      </w:r>
      <w:r w:rsidRPr="00190F7C" w:rsidR="008B186F">
        <w:rPr>
          <w:rFonts w:ascii="Times New Roman" w:hAnsi="Times New Roman" w:cs="Times New Roman"/>
          <w:sz w:val="24"/>
          <w:szCs w:val="24"/>
        </w:rPr>
        <w:t>o</w:t>
      </w:r>
      <w:r w:rsidRPr="00190F7C">
        <w:rPr>
          <w:rFonts w:ascii="Times New Roman" w:hAnsi="Times New Roman" w:cs="Times New Roman"/>
          <w:sz w:val="24"/>
          <w:szCs w:val="24"/>
        </w:rPr>
        <w:t xml:space="preserve">rde van </w:t>
      </w:r>
      <w:r w:rsidRPr="00190F7C" w:rsidR="008B186F">
        <w:rPr>
          <w:rFonts w:ascii="Times New Roman" w:hAnsi="Times New Roman" w:cs="Times New Roman"/>
          <w:sz w:val="24"/>
          <w:szCs w:val="24"/>
        </w:rPr>
        <w:t>a</w:t>
      </w:r>
      <w:r w:rsidRPr="00190F7C">
        <w:rPr>
          <w:rFonts w:ascii="Times New Roman" w:hAnsi="Times New Roman" w:cs="Times New Roman"/>
          <w:sz w:val="24"/>
          <w:szCs w:val="24"/>
        </w:rPr>
        <w:t xml:space="preserve">dvocaten (hierna: </w:t>
      </w:r>
      <w:proofErr w:type="spellStart"/>
      <w:r w:rsidRPr="00190F7C">
        <w:rPr>
          <w:rFonts w:ascii="Times New Roman" w:hAnsi="Times New Roman" w:cs="Times New Roman"/>
          <w:sz w:val="24"/>
          <w:szCs w:val="24"/>
        </w:rPr>
        <w:t>NOvA</w:t>
      </w:r>
      <w:proofErr w:type="spellEnd"/>
      <w:r w:rsidRPr="00190F7C">
        <w:rPr>
          <w:rFonts w:ascii="Times New Roman" w:hAnsi="Times New Roman" w:cs="Times New Roman"/>
          <w:sz w:val="24"/>
          <w:szCs w:val="24"/>
        </w:rPr>
        <w:t>) dat volgens artikel 224a</w:t>
      </w:r>
      <w:r w:rsidRPr="00190F7C" w:rsidR="008B186F">
        <w:rPr>
          <w:rFonts w:ascii="Times New Roman" w:hAnsi="Times New Roman" w:cs="Times New Roman"/>
          <w:sz w:val="24"/>
          <w:szCs w:val="24"/>
        </w:rPr>
        <w:t>, tweede</w:t>
      </w:r>
      <w:r w:rsidRPr="00190F7C">
        <w:rPr>
          <w:rFonts w:ascii="Times New Roman" w:hAnsi="Times New Roman" w:cs="Times New Roman"/>
          <w:sz w:val="24"/>
          <w:szCs w:val="24"/>
        </w:rPr>
        <w:t xml:space="preserve"> lid</w:t>
      </w:r>
      <w:r w:rsidRPr="00190F7C" w:rsidR="008B186F">
        <w:rPr>
          <w:rFonts w:ascii="Times New Roman" w:hAnsi="Times New Roman" w:cs="Times New Roman"/>
          <w:sz w:val="24"/>
          <w:szCs w:val="24"/>
        </w:rPr>
        <w:t xml:space="preserve">, van het Wetboek van Burgerlijke Rechtsvordering </w:t>
      </w:r>
      <w:r w:rsidRPr="00190F7C">
        <w:rPr>
          <w:rFonts w:ascii="Times New Roman" w:hAnsi="Times New Roman" w:cs="Times New Roman"/>
          <w:sz w:val="24"/>
          <w:szCs w:val="24"/>
        </w:rPr>
        <w:t xml:space="preserve">de rechter geen verplichting tot zekerheidstelling kan opleggen aan de eiser in een SLAPP-zaak indien </w:t>
      </w:r>
      <w:r w:rsidRPr="00190F7C" w:rsidR="002323F4">
        <w:rPr>
          <w:rFonts w:ascii="Times New Roman" w:hAnsi="Times New Roman" w:cs="Times New Roman"/>
          <w:sz w:val="24"/>
          <w:szCs w:val="24"/>
        </w:rPr>
        <w:t>“</w:t>
      </w:r>
      <w:r w:rsidRPr="00190F7C">
        <w:rPr>
          <w:rFonts w:ascii="Times New Roman" w:hAnsi="Times New Roman" w:cs="Times New Roman"/>
          <w:sz w:val="24"/>
          <w:szCs w:val="24"/>
        </w:rPr>
        <w:t>dit voortvloeit uit een bilateraal of multilateraal verdrag tussen een derde land, enerzijds, en de Europese Unie of Nederland, anderzijds dat voor 6 mei 2024 is gesloten</w:t>
      </w:r>
      <w:r w:rsidRPr="00190F7C" w:rsidR="002323F4">
        <w:rPr>
          <w:rFonts w:ascii="Times New Roman" w:hAnsi="Times New Roman" w:cs="Times New Roman"/>
          <w:sz w:val="24"/>
          <w:szCs w:val="24"/>
        </w:rPr>
        <w:t>.</w:t>
      </w:r>
      <w:r w:rsidRPr="00190F7C">
        <w:rPr>
          <w:rFonts w:ascii="Times New Roman" w:hAnsi="Times New Roman" w:cs="Times New Roman"/>
          <w:sz w:val="24"/>
          <w:szCs w:val="24"/>
        </w:rPr>
        <w:t>"</w:t>
      </w:r>
      <w:r w:rsidRPr="00190F7C" w:rsidR="002323F4">
        <w:rPr>
          <w:rStyle w:val="Voetnootmarkering"/>
          <w:rFonts w:ascii="Times New Roman" w:hAnsi="Times New Roman" w:cs="Times New Roman"/>
          <w:sz w:val="24"/>
          <w:szCs w:val="24"/>
        </w:rPr>
        <w:footnoteReference w:id="6"/>
      </w:r>
      <w:r w:rsidRPr="00190F7C">
        <w:rPr>
          <w:rFonts w:ascii="Times New Roman" w:hAnsi="Times New Roman" w:cs="Times New Roman"/>
          <w:sz w:val="24"/>
          <w:szCs w:val="24"/>
        </w:rPr>
        <w:t xml:space="preserve"> Kan de regering reageren op het punt dat de </w:t>
      </w:r>
      <w:proofErr w:type="spellStart"/>
      <w:r w:rsidRPr="00190F7C">
        <w:rPr>
          <w:rFonts w:ascii="Times New Roman" w:hAnsi="Times New Roman" w:cs="Times New Roman"/>
          <w:sz w:val="24"/>
          <w:szCs w:val="24"/>
        </w:rPr>
        <w:t>NOvA</w:t>
      </w:r>
      <w:proofErr w:type="spellEnd"/>
      <w:r w:rsidRPr="00190F7C">
        <w:rPr>
          <w:rFonts w:ascii="Times New Roman" w:hAnsi="Times New Roman" w:cs="Times New Roman"/>
          <w:sz w:val="24"/>
          <w:szCs w:val="24"/>
        </w:rPr>
        <w:t xml:space="preserve"> hierover heeft aangestipt? Kan de regering daarnaast een overzicht verstrekken van de verdragen die zekerheidstelling zouden verhinderen? </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Pr>
          <w:rFonts w:ascii="Times New Roman" w:hAnsi="Times New Roman" w:cs="Times New Roman"/>
          <w:sz w:val="24"/>
          <w:szCs w:val="24"/>
        </w:rPr>
        <w:t>De leden van de VVD-fractie merken op dat tijdens de onderhandelingen in Brussel Nederland heeft ingezet op aanpassingen om het richtlijnvoorstel beter werkbaar te maken in de rechtspraktijk en om de doelwitten van strategische rechtszaken beter te beschermen.</w:t>
      </w:r>
      <w:r w:rsidRPr="00190F7C">
        <w:rPr>
          <w:rStyle w:val="Voetnootmarkering"/>
          <w:rFonts w:ascii="Times New Roman" w:hAnsi="Times New Roman" w:cs="Times New Roman"/>
          <w:sz w:val="24"/>
          <w:szCs w:val="24"/>
        </w:rPr>
        <w:footnoteReference w:id="7"/>
      </w:r>
      <w:r w:rsidRPr="00190F7C">
        <w:rPr>
          <w:rFonts w:ascii="Times New Roman" w:hAnsi="Times New Roman" w:cs="Times New Roman"/>
          <w:sz w:val="24"/>
          <w:szCs w:val="24"/>
        </w:rPr>
        <w:t xml:space="preserve"> Kan de regering aangeven wat de resultaten zijn geweest van deze inspanningen? </w:t>
      </w:r>
      <w:r w:rsidRPr="00190F7C" w:rsidR="00AE6589">
        <w:rPr>
          <w:rFonts w:ascii="Times New Roman" w:hAnsi="Times New Roman" w:cs="Times New Roman"/>
          <w:sz w:val="24"/>
          <w:szCs w:val="24"/>
        </w:rPr>
        <w:br/>
      </w:r>
      <w:r w:rsidRPr="00190F7C" w:rsidR="00AE6589">
        <w:rPr>
          <w:rFonts w:ascii="Times New Roman" w:hAnsi="Times New Roman" w:cs="Times New Roman"/>
          <w:sz w:val="24"/>
          <w:szCs w:val="24"/>
        </w:rPr>
        <w:br/>
      </w:r>
      <w:r w:rsidRPr="00190F7C" w:rsidR="00446540">
        <w:rPr>
          <w:rFonts w:ascii="Times New Roman" w:hAnsi="Times New Roman" w:eastAsia="Calibri" w:cs="Times New Roman"/>
          <w:bCs/>
          <w:sz w:val="24"/>
          <w:szCs w:val="24"/>
        </w:rPr>
        <w:t xml:space="preserve">De leden van de CDA-fractie vragen aan de regering in hoeverre het advies van </w:t>
      </w:r>
      <w:r w:rsidRPr="00190F7C" w:rsidR="00446540">
        <w:rPr>
          <w:rFonts w:ascii="Times New Roman" w:hAnsi="Times New Roman" w:eastAsia="Calibri" w:cs="Times New Roman"/>
          <w:bCs/>
          <w:sz w:val="24"/>
          <w:szCs w:val="24"/>
          <w:lang w:bidi="nl-NL"/>
        </w:rPr>
        <w:t>het College</w:t>
      </w:r>
      <w:r w:rsidRPr="00190F7C" w:rsidR="00096CEE">
        <w:rPr>
          <w:rFonts w:ascii="Times New Roman" w:hAnsi="Times New Roman" w:eastAsia="Calibri" w:cs="Times New Roman"/>
          <w:bCs/>
          <w:sz w:val="24"/>
          <w:szCs w:val="24"/>
          <w:lang w:bidi="nl-NL"/>
        </w:rPr>
        <w:t xml:space="preserve"> </w:t>
      </w:r>
      <w:r w:rsidRPr="00190F7C" w:rsidR="00096CEE">
        <w:rPr>
          <w:rFonts w:ascii="Times New Roman" w:hAnsi="Times New Roman" w:cs="Times New Roman"/>
          <w:sz w:val="24"/>
          <w:szCs w:val="24"/>
        </w:rPr>
        <w:t>voor de Rechten van de Mens</w:t>
      </w:r>
      <w:r w:rsidRPr="00190F7C" w:rsidR="00446540">
        <w:rPr>
          <w:rFonts w:ascii="Times New Roman" w:hAnsi="Times New Roman" w:eastAsia="Calibri" w:cs="Times New Roman"/>
          <w:bCs/>
          <w:sz w:val="24"/>
          <w:szCs w:val="24"/>
          <w:lang w:bidi="nl-NL"/>
        </w:rPr>
        <w:t xml:space="preserve">, CASE en de Nederlandse anti-SLAPP-werkgroep om de waarborgen uit de </w:t>
      </w:r>
      <w:r w:rsidRPr="00190F7C" w:rsidR="00CD2BE1">
        <w:rPr>
          <w:rFonts w:ascii="Times New Roman" w:hAnsi="Times New Roman" w:eastAsia="Calibri" w:cs="Times New Roman"/>
          <w:bCs/>
          <w:sz w:val="24"/>
          <w:szCs w:val="24"/>
          <w:lang w:bidi="nl-NL"/>
        </w:rPr>
        <w:t>r</w:t>
      </w:r>
      <w:r w:rsidRPr="00190F7C" w:rsidR="00446540">
        <w:rPr>
          <w:rFonts w:ascii="Times New Roman" w:hAnsi="Times New Roman" w:eastAsia="Calibri" w:cs="Times New Roman"/>
          <w:bCs/>
          <w:sz w:val="24"/>
          <w:szCs w:val="24"/>
          <w:lang w:bidi="nl-NL"/>
        </w:rPr>
        <w:t>ichtlijn</w:t>
      </w:r>
      <w:r w:rsidRPr="00190F7C" w:rsidR="00CD2BE1">
        <w:rPr>
          <w:rFonts w:ascii="Times New Roman" w:hAnsi="Times New Roman" w:eastAsia="Calibri" w:cs="Times New Roman"/>
          <w:bCs/>
          <w:sz w:val="24"/>
          <w:szCs w:val="24"/>
          <w:lang w:bidi="nl-NL"/>
        </w:rPr>
        <w:t xml:space="preserve">, </w:t>
      </w:r>
      <w:r w:rsidRPr="00190F7C" w:rsidR="00446540">
        <w:rPr>
          <w:rFonts w:ascii="Times New Roman" w:hAnsi="Times New Roman" w:eastAsia="Calibri" w:cs="Times New Roman"/>
          <w:bCs/>
          <w:sz w:val="24"/>
          <w:szCs w:val="24"/>
          <w:lang w:bidi="nl-NL"/>
        </w:rPr>
        <w:t>die alleen zien op grensoverschrijdende gevallen, ook voor nationale gevallen in te voeren</w:t>
      </w:r>
      <w:r w:rsidRPr="00190F7C" w:rsidR="00CD2BE1">
        <w:rPr>
          <w:rFonts w:ascii="Times New Roman" w:hAnsi="Times New Roman" w:eastAsia="Calibri" w:cs="Times New Roman"/>
          <w:bCs/>
          <w:sz w:val="24"/>
          <w:szCs w:val="24"/>
          <w:lang w:bidi="nl-NL"/>
        </w:rPr>
        <w:t>,</w:t>
      </w:r>
      <w:r w:rsidRPr="00190F7C" w:rsidR="00446540">
        <w:rPr>
          <w:rFonts w:ascii="Times New Roman" w:hAnsi="Times New Roman" w:eastAsia="Calibri" w:cs="Times New Roman"/>
          <w:bCs/>
          <w:sz w:val="24"/>
          <w:szCs w:val="24"/>
          <w:lang w:bidi="nl-NL"/>
        </w:rPr>
        <w:t xml:space="preserve"> leidend is geweest in de overweging om hierop in te zetten.</w:t>
      </w:r>
      <w:r w:rsidRPr="00190F7C">
        <w:rPr>
          <w:rFonts w:ascii="Times New Roman" w:hAnsi="Times New Roman" w:cs="Times New Roman"/>
          <w:b/>
          <w:sz w:val="24"/>
          <w:szCs w:val="24"/>
        </w:rPr>
        <w:br/>
      </w:r>
      <w:r w:rsidRPr="00190F7C">
        <w:rPr>
          <w:rFonts w:ascii="Times New Roman" w:hAnsi="Times New Roman" w:cs="Times New Roman"/>
          <w:b/>
          <w:sz w:val="24"/>
          <w:szCs w:val="24"/>
        </w:rPr>
        <w:br/>
        <w:t>OVERIG</w:t>
      </w:r>
      <w:r w:rsidRPr="00190F7C" w:rsidR="00AE6589">
        <w:rPr>
          <w:rFonts w:ascii="Times New Roman" w:hAnsi="Times New Roman" w:cs="Times New Roman"/>
          <w:b/>
          <w:sz w:val="24"/>
          <w:szCs w:val="24"/>
        </w:rPr>
        <w:br/>
      </w:r>
      <w:r w:rsidRPr="00190F7C" w:rsidR="00AE6589">
        <w:rPr>
          <w:rFonts w:ascii="Times New Roman" w:hAnsi="Times New Roman" w:cs="Times New Roman"/>
          <w:b/>
          <w:sz w:val="24"/>
          <w:szCs w:val="24"/>
        </w:rPr>
        <w:br/>
      </w:r>
      <w:r w:rsidRPr="00190F7C" w:rsidR="00446540">
        <w:rPr>
          <w:rFonts w:ascii="Times New Roman" w:hAnsi="Times New Roman" w:cs="Times New Roman"/>
          <w:bCs/>
          <w:sz w:val="24"/>
          <w:szCs w:val="24"/>
        </w:rPr>
        <w:t xml:space="preserve">De leden van de </w:t>
      </w:r>
      <w:r w:rsidRPr="00190F7C" w:rsidR="00CD2BE1">
        <w:rPr>
          <w:rFonts w:ascii="Times New Roman" w:hAnsi="Times New Roman" w:cs="Times New Roman"/>
          <w:bCs/>
          <w:sz w:val="24"/>
          <w:szCs w:val="24"/>
        </w:rPr>
        <w:t>NSC-</w:t>
      </w:r>
      <w:r w:rsidRPr="00190F7C" w:rsidR="00446540">
        <w:rPr>
          <w:rFonts w:ascii="Times New Roman" w:hAnsi="Times New Roman" w:cs="Times New Roman"/>
          <w:bCs/>
          <w:sz w:val="24"/>
          <w:szCs w:val="24"/>
        </w:rPr>
        <w:t xml:space="preserve">fractie zijn benieuwd naar de gang van zaken omtrent het SLAPP-meldpunt dat de toezichthouder op de advocatuur heeft opgericht. Wordt daar gebruik van gemaakt? Zo ja, hoeveel en wat voor meldingen komen er binnen? Wat gebeurt er vervolgens met die meldingen? </w:t>
      </w:r>
      <w:r w:rsidRPr="00190F7C" w:rsidR="00AE6589">
        <w:rPr>
          <w:rFonts w:ascii="Times New Roman" w:hAnsi="Times New Roman" w:cs="Times New Roman"/>
          <w:bCs/>
          <w:sz w:val="24"/>
          <w:szCs w:val="24"/>
        </w:rPr>
        <w:br/>
      </w:r>
      <w:r w:rsidRPr="00190F7C" w:rsidR="00AE6589">
        <w:rPr>
          <w:rFonts w:ascii="Times New Roman" w:hAnsi="Times New Roman" w:cs="Times New Roman"/>
          <w:bCs/>
          <w:sz w:val="24"/>
          <w:szCs w:val="24"/>
        </w:rPr>
        <w:br/>
      </w:r>
      <w:r w:rsidRPr="00190F7C" w:rsidR="00581731">
        <w:rPr>
          <w:rFonts w:ascii="Times New Roman" w:hAnsi="Times New Roman" w:cs="Times New Roman"/>
          <w:bCs/>
          <w:sz w:val="24"/>
          <w:szCs w:val="24"/>
          <w:lang w:eastAsia="nl-NL"/>
        </w:rPr>
        <w:t xml:space="preserve">De voorzitter van de commissie, </w:t>
      </w:r>
      <w:r w:rsidRPr="00190F7C" w:rsidR="00581731">
        <w:rPr>
          <w:rFonts w:ascii="Times New Roman" w:hAnsi="Times New Roman" w:cs="Times New Roman"/>
          <w:bCs/>
          <w:sz w:val="24"/>
          <w:szCs w:val="24"/>
          <w:lang w:eastAsia="nl-NL"/>
        </w:rPr>
        <w:br/>
        <w:t xml:space="preserve">Pool </w:t>
      </w:r>
      <w:r w:rsidRPr="00190F7C" w:rsidR="003836E1">
        <w:rPr>
          <w:rFonts w:ascii="Times New Roman" w:hAnsi="Times New Roman" w:cs="Times New Roman"/>
          <w:bCs/>
          <w:sz w:val="24"/>
          <w:szCs w:val="24"/>
          <w:lang w:eastAsia="nl-NL"/>
        </w:rPr>
        <w:br/>
      </w:r>
      <w:r w:rsidRPr="00190F7C" w:rsidR="003836E1">
        <w:rPr>
          <w:rFonts w:ascii="Times New Roman" w:hAnsi="Times New Roman" w:cs="Times New Roman"/>
          <w:bCs/>
          <w:sz w:val="24"/>
          <w:szCs w:val="24"/>
          <w:lang w:eastAsia="nl-NL"/>
        </w:rPr>
        <w:br/>
      </w:r>
      <w:r w:rsidRPr="00190F7C" w:rsidR="00581731">
        <w:rPr>
          <w:rFonts w:ascii="Times New Roman" w:hAnsi="Times New Roman" w:cs="Times New Roman"/>
          <w:bCs/>
          <w:sz w:val="24"/>
          <w:szCs w:val="24"/>
          <w:lang w:eastAsia="nl-NL"/>
        </w:rPr>
        <w:lastRenderedPageBreak/>
        <w:t xml:space="preserve">Adjunct-griffier van de commissie, </w:t>
      </w:r>
      <w:r w:rsidRPr="00190F7C" w:rsidR="00581731">
        <w:rPr>
          <w:rFonts w:ascii="Times New Roman" w:hAnsi="Times New Roman" w:cs="Times New Roman"/>
          <w:bCs/>
          <w:sz w:val="24"/>
          <w:szCs w:val="24"/>
          <w:lang w:eastAsia="nl-NL"/>
        </w:rPr>
        <w:br/>
        <w:t>Paauwe</w:t>
      </w:r>
    </w:p>
    <w:sectPr w:rsidRPr="00190F7C" w:rsidR="001653B4">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AF41" w14:textId="77777777" w:rsidR="00326AA4" w:rsidRDefault="00326AA4" w:rsidP="00326AA4">
      <w:pPr>
        <w:spacing w:after="0" w:line="240" w:lineRule="auto"/>
      </w:pPr>
      <w:r>
        <w:separator/>
      </w:r>
    </w:p>
  </w:endnote>
  <w:endnote w:type="continuationSeparator" w:id="0">
    <w:p w14:paraId="0654FED1" w14:textId="77777777" w:rsidR="00326AA4" w:rsidRDefault="00326AA4" w:rsidP="00326AA4">
      <w:pPr>
        <w:spacing w:after="0" w:line="240" w:lineRule="auto"/>
      </w:pPr>
      <w:r>
        <w:continuationSeparator/>
      </w:r>
    </w:p>
  </w:endnote>
  <w:endnote w:type="continuationNotice" w:id="1">
    <w:p w14:paraId="31E387CB" w14:textId="77777777" w:rsidR="004513EB" w:rsidRDefault="00451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4577"/>
      <w:docPartObj>
        <w:docPartGallery w:val="Page Numbers (Bottom of Page)"/>
        <w:docPartUnique/>
      </w:docPartObj>
    </w:sdtPr>
    <w:sdtEndPr>
      <w:rPr>
        <w:rFonts w:ascii="Times New Roman" w:hAnsi="Times New Roman" w:cs="Times New Roman"/>
      </w:rPr>
    </w:sdtEndPr>
    <w:sdtContent>
      <w:p w14:paraId="6D7B8DEB" w14:textId="026A5A7C" w:rsidR="0084449E" w:rsidRPr="0084449E" w:rsidRDefault="0084449E">
        <w:pPr>
          <w:pStyle w:val="Voettekst"/>
          <w:jc w:val="right"/>
          <w:rPr>
            <w:rFonts w:ascii="Times New Roman" w:hAnsi="Times New Roman" w:cs="Times New Roman"/>
          </w:rPr>
        </w:pPr>
        <w:r w:rsidRPr="0084449E">
          <w:rPr>
            <w:rFonts w:ascii="Times New Roman" w:hAnsi="Times New Roman" w:cs="Times New Roman"/>
          </w:rPr>
          <w:fldChar w:fldCharType="begin"/>
        </w:r>
        <w:r w:rsidRPr="0084449E">
          <w:rPr>
            <w:rFonts w:ascii="Times New Roman" w:hAnsi="Times New Roman" w:cs="Times New Roman"/>
          </w:rPr>
          <w:instrText>PAGE   \* MERGEFORMAT</w:instrText>
        </w:r>
        <w:r w:rsidRPr="0084449E">
          <w:rPr>
            <w:rFonts w:ascii="Times New Roman" w:hAnsi="Times New Roman" w:cs="Times New Roman"/>
          </w:rPr>
          <w:fldChar w:fldCharType="separate"/>
        </w:r>
        <w:r w:rsidRPr="0084449E">
          <w:rPr>
            <w:rFonts w:ascii="Times New Roman" w:hAnsi="Times New Roman" w:cs="Times New Roman"/>
          </w:rPr>
          <w:t>2</w:t>
        </w:r>
        <w:r w:rsidRPr="0084449E">
          <w:rPr>
            <w:rFonts w:ascii="Times New Roman" w:hAnsi="Times New Roman" w:cs="Times New Roman"/>
          </w:rPr>
          <w:fldChar w:fldCharType="end"/>
        </w:r>
      </w:p>
    </w:sdtContent>
  </w:sdt>
  <w:p w14:paraId="648F71A3" w14:textId="1BC4F1C3" w:rsidR="0084449E" w:rsidRDefault="00844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C4E6" w14:textId="77777777" w:rsidR="00326AA4" w:rsidRDefault="00326AA4" w:rsidP="00326AA4">
      <w:pPr>
        <w:spacing w:after="0" w:line="240" w:lineRule="auto"/>
      </w:pPr>
      <w:r>
        <w:separator/>
      </w:r>
    </w:p>
  </w:footnote>
  <w:footnote w:type="continuationSeparator" w:id="0">
    <w:p w14:paraId="0BD33C1D" w14:textId="77777777" w:rsidR="00326AA4" w:rsidRDefault="00326AA4" w:rsidP="00326AA4">
      <w:pPr>
        <w:spacing w:after="0" w:line="240" w:lineRule="auto"/>
      </w:pPr>
      <w:r>
        <w:continuationSeparator/>
      </w:r>
    </w:p>
  </w:footnote>
  <w:footnote w:type="continuationNotice" w:id="1">
    <w:p w14:paraId="7783E962" w14:textId="77777777" w:rsidR="004513EB" w:rsidRDefault="004513EB">
      <w:pPr>
        <w:spacing w:after="0" w:line="240" w:lineRule="auto"/>
      </w:pPr>
    </w:p>
  </w:footnote>
  <w:footnote w:id="2">
    <w:p w14:paraId="26BA3E95" w14:textId="6ED09625" w:rsidR="00BA7D37" w:rsidRPr="00BA7D37" w:rsidRDefault="00BA7D37">
      <w:pPr>
        <w:pStyle w:val="Voetnoottekst"/>
        <w:rPr>
          <w:rFonts w:ascii="Times New Roman" w:hAnsi="Times New Roman" w:cs="Times New Roman"/>
        </w:rPr>
      </w:pPr>
      <w:r w:rsidRPr="00BA7D37">
        <w:rPr>
          <w:rStyle w:val="Voetnootmarkering"/>
          <w:rFonts w:ascii="Times New Roman" w:hAnsi="Times New Roman" w:cs="Times New Roman"/>
        </w:rPr>
        <w:footnoteRef/>
      </w:r>
      <w:r w:rsidRPr="00BA7D37">
        <w:rPr>
          <w:rFonts w:ascii="Times New Roman" w:hAnsi="Times New Roman" w:cs="Times New Roman"/>
        </w:rPr>
        <w:t xml:space="preserve"> </w:t>
      </w:r>
      <w:r>
        <w:rPr>
          <w:rFonts w:ascii="Times New Roman" w:hAnsi="Times New Roman" w:cs="Times New Roman"/>
        </w:rPr>
        <w:t xml:space="preserve">Fiche </w:t>
      </w:r>
      <w:r w:rsidRPr="00BA7D37">
        <w:rPr>
          <w:rFonts w:ascii="Times New Roman" w:hAnsi="Times New Roman" w:cs="Times New Roman"/>
        </w:rPr>
        <w:t>Beoordeling Nieuwe Commissievoorstellen</w:t>
      </w:r>
      <w:r>
        <w:rPr>
          <w:rFonts w:ascii="Times New Roman" w:hAnsi="Times New Roman" w:cs="Times New Roman"/>
        </w:rPr>
        <w:t>.</w:t>
      </w:r>
    </w:p>
  </w:footnote>
  <w:footnote w:id="3">
    <w:p w14:paraId="62EE5034" w14:textId="1887D820" w:rsidR="003418C4" w:rsidRDefault="003418C4">
      <w:pPr>
        <w:pStyle w:val="Voetnoottekst"/>
      </w:pPr>
      <w:r>
        <w:rPr>
          <w:rStyle w:val="Voetnootmarkering"/>
        </w:rPr>
        <w:footnoteRef/>
      </w:r>
      <w:r>
        <w:t xml:space="preserve"> </w:t>
      </w:r>
      <w:r w:rsidRPr="003418C4">
        <w:rPr>
          <w:rFonts w:ascii="Times New Roman" w:hAnsi="Times New Roman" w:cs="Times New Roman"/>
          <w:i/>
          <w:iCs/>
        </w:rPr>
        <w:t>Kamerstukken II</w:t>
      </w:r>
      <w:r w:rsidRPr="00F0405E">
        <w:rPr>
          <w:rFonts w:ascii="Times New Roman" w:hAnsi="Times New Roman" w:cs="Times New Roman"/>
        </w:rPr>
        <w:t xml:space="preserve"> 2021</w:t>
      </w:r>
      <w:r>
        <w:rPr>
          <w:rFonts w:ascii="Times New Roman" w:hAnsi="Times New Roman" w:cs="Times New Roman"/>
        </w:rPr>
        <w:t>/</w:t>
      </w:r>
      <w:r w:rsidRPr="00F0405E">
        <w:rPr>
          <w:rFonts w:ascii="Times New Roman" w:hAnsi="Times New Roman" w:cs="Times New Roman"/>
        </w:rPr>
        <w:t>22, 22112</w:t>
      </w:r>
      <w:r>
        <w:rPr>
          <w:rFonts w:ascii="Times New Roman" w:hAnsi="Times New Roman" w:cs="Times New Roman"/>
        </w:rPr>
        <w:t>,</w:t>
      </w:r>
      <w:r w:rsidRPr="00F0405E">
        <w:rPr>
          <w:rFonts w:ascii="Times New Roman" w:hAnsi="Times New Roman" w:cs="Times New Roman"/>
        </w:rPr>
        <w:t xml:space="preserve"> nr. 3457, p. </w:t>
      </w:r>
      <w:r>
        <w:rPr>
          <w:rFonts w:ascii="Times New Roman" w:hAnsi="Times New Roman" w:cs="Times New Roman"/>
        </w:rPr>
        <w:t>4</w:t>
      </w:r>
      <w:r w:rsidRPr="00F0405E">
        <w:rPr>
          <w:rFonts w:ascii="Times New Roman" w:hAnsi="Times New Roman" w:cs="Times New Roman"/>
        </w:rPr>
        <w:t>.</w:t>
      </w:r>
    </w:p>
  </w:footnote>
  <w:footnote w:id="4">
    <w:p w14:paraId="7A4A743E" w14:textId="6818CF8C" w:rsidR="005C1774" w:rsidRPr="00F0405E" w:rsidRDefault="005C1774" w:rsidP="005C1774">
      <w:pPr>
        <w:pStyle w:val="Voetnoottekst"/>
        <w:rPr>
          <w:rFonts w:ascii="Times New Roman" w:hAnsi="Times New Roman" w:cs="Times New Roman"/>
        </w:rPr>
      </w:pPr>
      <w:r w:rsidRPr="00F0405E">
        <w:rPr>
          <w:rStyle w:val="Voetnootmarkering"/>
          <w:rFonts w:ascii="Times New Roman" w:hAnsi="Times New Roman" w:cs="Times New Roman"/>
        </w:rPr>
        <w:footnoteRef/>
      </w:r>
      <w:r w:rsidRPr="00F0405E">
        <w:rPr>
          <w:rFonts w:ascii="Times New Roman" w:hAnsi="Times New Roman" w:cs="Times New Roman"/>
        </w:rPr>
        <w:t xml:space="preserve"> </w:t>
      </w:r>
      <w:r w:rsidRPr="005C1774">
        <w:rPr>
          <w:rFonts w:ascii="Times New Roman" w:hAnsi="Times New Roman" w:cs="Times New Roman"/>
          <w:i/>
          <w:iCs/>
        </w:rPr>
        <w:t>Kamerstukken II</w:t>
      </w:r>
      <w:r w:rsidRPr="00F0405E">
        <w:rPr>
          <w:rFonts w:ascii="Times New Roman" w:hAnsi="Times New Roman" w:cs="Times New Roman"/>
        </w:rPr>
        <w:t xml:space="preserve"> 2021</w:t>
      </w:r>
      <w:r>
        <w:rPr>
          <w:rFonts w:ascii="Times New Roman" w:hAnsi="Times New Roman" w:cs="Times New Roman"/>
        </w:rPr>
        <w:t>/</w:t>
      </w:r>
      <w:r w:rsidRPr="00F0405E">
        <w:rPr>
          <w:rFonts w:ascii="Times New Roman" w:hAnsi="Times New Roman" w:cs="Times New Roman"/>
        </w:rPr>
        <w:t>22, 22112</w:t>
      </w:r>
      <w:r>
        <w:rPr>
          <w:rFonts w:ascii="Times New Roman" w:hAnsi="Times New Roman" w:cs="Times New Roman"/>
        </w:rPr>
        <w:t>,</w:t>
      </w:r>
      <w:r w:rsidRPr="00F0405E">
        <w:rPr>
          <w:rFonts w:ascii="Times New Roman" w:hAnsi="Times New Roman" w:cs="Times New Roman"/>
        </w:rPr>
        <w:t xml:space="preserve"> nr. 3457, p. 3.</w:t>
      </w:r>
    </w:p>
  </w:footnote>
  <w:footnote w:id="5">
    <w:p w14:paraId="6FD7882F" w14:textId="314CC86B" w:rsidR="00326AA4" w:rsidRDefault="00326AA4" w:rsidP="00326AA4">
      <w:pPr>
        <w:pStyle w:val="Voetnoottekst"/>
      </w:pPr>
      <w:r w:rsidRPr="00F0405E">
        <w:rPr>
          <w:rStyle w:val="Voetnootmarkering"/>
          <w:rFonts w:ascii="Times New Roman" w:hAnsi="Times New Roman" w:cs="Times New Roman"/>
        </w:rPr>
        <w:footnoteRef/>
      </w:r>
      <w:r w:rsidRPr="00F0405E">
        <w:rPr>
          <w:rFonts w:ascii="Times New Roman" w:hAnsi="Times New Roman" w:cs="Times New Roman"/>
        </w:rPr>
        <w:t xml:space="preserve"> </w:t>
      </w:r>
      <w:r w:rsidRPr="000446AB">
        <w:rPr>
          <w:rFonts w:ascii="Times New Roman" w:hAnsi="Times New Roman" w:cs="Times New Roman"/>
          <w:i/>
          <w:iCs/>
        </w:rPr>
        <w:t>Kamerstukken II</w:t>
      </w:r>
      <w:r w:rsidRPr="00F0405E">
        <w:rPr>
          <w:rFonts w:ascii="Times New Roman" w:hAnsi="Times New Roman" w:cs="Times New Roman"/>
        </w:rPr>
        <w:t xml:space="preserve"> 2021</w:t>
      </w:r>
      <w:r w:rsidR="000446AB">
        <w:rPr>
          <w:rFonts w:ascii="Times New Roman" w:hAnsi="Times New Roman" w:cs="Times New Roman"/>
        </w:rPr>
        <w:t>/</w:t>
      </w:r>
      <w:r w:rsidRPr="00F0405E">
        <w:rPr>
          <w:rFonts w:ascii="Times New Roman" w:hAnsi="Times New Roman" w:cs="Times New Roman"/>
        </w:rPr>
        <w:t>22, 22112, nr. 3457, p. 6-7.</w:t>
      </w:r>
    </w:p>
  </w:footnote>
  <w:footnote w:id="6">
    <w:p w14:paraId="6B70A68E" w14:textId="273BEA5F" w:rsidR="002323F4" w:rsidRPr="002323F4" w:rsidRDefault="002323F4">
      <w:pPr>
        <w:pStyle w:val="Voetnoottekst"/>
        <w:rPr>
          <w:rFonts w:ascii="Times New Roman" w:hAnsi="Times New Roman" w:cs="Times New Roman"/>
        </w:rPr>
      </w:pPr>
      <w:r w:rsidRPr="002323F4">
        <w:rPr>
          <w:rStyle w:val="Voetnootmarkering"/>
          <w:rFonts w:ascii="Times New Roman" w:hAnsi="Times New Roman" w:cs="Times New Roman"/>
        </w:rPr>
        <w:footnoteRef/>
      </w:r>
      <w:r w:rsidRPr="002323F4">
        <w:rPr>
          <w:rFonts w:ascii="Times New Roman" w:hAnsi="Times New Roman" w:cs="Times New Roman"/>
        </w:rPr>
        <w:t xml:space="preserve"> </w:t>
      </w:r>
      <w:r>
        <w:rPr>
          <w:rFonts w:ascii="Times New Roman" w:hAnsi="Times New Roman" w:cs="Times New Roman"/>
        </w:rPr>
        <w:t xml:space="preserve">Advies van de </w:t>
      </w:r>
      <w:proofErr w:type="spellStart"/>
      <w:r>
        <w:rPr>
          <w:rFonts w:ascii="Times New Roman" w:hAnsi="Times New Roman" w:cs="Times New Roman"/>
        </w:rPr>
        <w:t>NOvA</w:t>
      </w:r>
      <w:proofErr w:type="spellEnd"/>
      <w:r>
        <w:rPr>
          <w:rFonts w:ascii="Times New Roman" w:hAnsi="Times New Roman" w:cs="Times New Roman"/>
        </w:rPr>
        <w:t xml:space="preserve"> van 11 november 2024</w:t>
      </w:r>
      <w:r w:rsidR="00091F80">
        <w:rPr>
          <w:rFonts w:ascii="Times New Roman" w:hAnsi="Times New Roman" w:cs="Times New Roman"/>
        </w:rPr>
        <w:t xml:space="preserve"> i</w:t>
      </w:r>
      <w:r w:rsidR="00091F80" w:rsidRPr="00091F80">
        <w:rPr>
          <w:rFonts w:ascii="Times New Roman" w:hAnsi="Times New Roman" w:cs="Times New Roman"/>
        </w:rPr>
        <w:t>ngediend via www.internetconsultatie.nl</w:t>
      </w:r>
      <w:r w:rsidR="00091F80">
        <w:rPr>
          <w:rFonts w:ascii="Times New Roman" w:hAnsi="Times New Roman" w:cs="Times New Roman"/>
        </w:rPr>
        <w:t>, p. 2</w:t>
      </w:r>
      <w:r>
        <w:rPr>
          <w:rFonts w:ascii="Times New Roman" w:hAnsi="Times New Roman" w:cs="Times New Roman"/>
        </w:rPr>
        <w:t>.</w:t>
      </w:r>
    </w:p>
  </w:footnote>
  <w:footnote w:id="7">
    <w:p w14:paraId="184F16AA" w14:textId="6280FD8B" w:rsidR="00326AA4" w:rsidRPr="00F0405E" w:rsidRDefault="00326AA4" w:rsidP="00326AA4">
      <w:pPr>
        <w:pStyle w:val="Voetnoottekst"/>
        <w:rPr>
          <w:rFonts w:ascii="Times New Roman" w:hAnsi="Times New Roman" w:cs="Times New Roman"/>
        </w:rPr>
      </w:pPr>
      <w:r w:rsidRPr="002323F4">
        <w:rPr>
          <w:rStyle w:val="Voetnootmarkering"/>
          <w:rFonts w:ascii="Times New Roman" w:hAnsi="Times New Roman" w:cs="Times New Roman"/>
        </w:rPr>
        <w:footnoteRef/>
      </w:r>
      <w:r w:rsidRPr="002323F4">
        <w:rPr>
          <w:rFonts w:ascii="Times New Roman" w:hAnsi="Times New Roman" w:cs="Times New Roman"/>
        </w:rPr>
        <w:t xml:space="preserve"> Zie onder andere </w:t>
      </w:r>
      <w:r w:rsidR="00096CEE" w:rsidRPr="00096CEE">
        <w:rPr>
          <w:rFonts w:ascii="Times New Roman" w:hAnsi="Times New Roman" w:cs="Times New Roman"/>
          <w:i/>
          <w:iCs/>
        </w:rPr>
        <w:t>Kamerstukken II</w:t>
      </w:r>
      <w:r w:rsidR="00096CEE">
        <w:rPr>
          <w:rFonts w:ascii="Times New Roman" w:hAnsi="Times New Roman" w:cs="Times New Roman"/>
        </w:rPr>
        <w:t xml:space="preserve"> 2022/23, </w:t>
      </w:r>
      <w:r w:rsidRPr="002323F4">
        <w:rPr>
          <w:rFonts w:ascii="Times New Roman" w:hAnsi="Times New Roman" w:cs="Times New Roman"/>
        </w:rPr>
        <w:t>32317, nr. 799</w:t>
      </w:r>
      <w:r w:rsidR="00096CEE">
        <w:rPr>
          <w:rFonts w:ascii="Times New Roman" w:hAnsi="Times New Roman" w:cs="Times New Roman"/>
        </w:rPr>
        <w:t>,</w:t>
      </w:r>
      <w:r w:rsidRPr="002323F4">
        <w:rPr>
          <w:rFonts w:ascii="Times New Roman" w:hAnsi="Times New Roman" w:cs="Times New Roman"/>
        </w:rPr>
        <w:t xml:space="preserve"> p. 11</w:t>
      </w:r>
      <w:r w:rsidR="00F0405E" w:rsidRPr="002323F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E9E01"/>
    <w:rsid w:val="000446AB"/>
    <w:rsid w:val="00045E7A"/>
    <w:rsid w:val="00091F80"/>
    <w:rsid w:val="000947D0"/>
    <w:rsid w:val="00096CEE"/>
    <w:rsid w:val="000A533E"/>
    <w:rsid w:val="000A5732"/>
    <w:rsid w:val="000A6CB6"/>
    <w:rsid w:val="000F00CC"/>
    <w:rsid w:val="00137B30"/>
    <w:rsid w:val="00146674"/>
    <w:rsid w:val="00160F2B"/>
    <w:rsid w:val="001653B4"/>
    <w:rsid w:val="00171C1A"/>
    <w:rsid w:val="00181722"/>
    <w:rsid w:val="00182992"/>
    <w:rsid w:val="00184E70"/>
    <w:rsid w:val="00190F7C"/>
    <w:rsid w:val="001A6918"/>
    <w:rsid w:val="001B2AFB"/>
    <w:rsid w:val="001D746F"/>
    <w:rsid w:val="001E7BBF"/>
    <w:rsid w:val="001F58F5"/>
    <w:rsid w:val="002323F4"/>
    <w:rsid w:val="0025736B"/>
    <w:rsid w:val="0026325D"/>
    <w:rsid w:val="00263CC1"/>
    <w:rsid w:val="002814A1"/>
    <w:rsid w:val="002A343E"/>
    <w:rsid w:val="002A7CA4"/>
    <w:rsid w:val="00301E35"/>
    <w:rsid w:val="00323E07"/>
    <w:rsid w:val="00326AA4"/>
    <w:rsid w:val="003418C4"/>
    <w:rsid w:val="00356407"/>
    <w:rsid w:val="00365A53"/>
    <w:rsid w:val="003836E1"/>
    <w:rsid w:val="003951B3"/>
    <w:rsid w:val="003E025C"/>
    <w:rsid w:val="003F6CBB"/>
    <w:rsid w:val="0041261D"/>
    <w:rsid w:val="00446540"/>
    <w:rsid w:val="004513EB"/>
    <w:rsid w:val="00453C88"/>
    <w:rsid w:val="00457DE8"/>
    <w:rsid w:val="00473B21"/>
    <w:rsid w:val="00473CA2"/>
    <w:rsid w:val="004861C3"/>
    <w:rsid w:val="004C01C7"/>
    <w:rsid w:val="004C1DBB"/>
    <w:rsid w:val="004E7352"/>
    <w:rsid w:val="0050414A"/>
    <w:rsid w:val="005540E2"/>
    <w:rsid w:val="00571CD2"/>
    <w:rsid w:val="00581731"/>
    <w:rsid w:val="005C1774"/>
    <w:rsid w:val="005D1250"/>
    <w:rsid w:val="005E3A27"/>
    <w:rsid w:val="0060790A"/>
    <w:rsid w:val="006179F0"/>
    <w:rsid w:val="006B1998"/>
    <w:rsid w:val="006E3EA5"/>
    <w:rsid w:val="006E7467"/>
    <w:rsid w:val="007048D0"/>
    <w:rsid w:val="00737660"/>
    <w:rsid w:val="00742035"/>
    <w:rsid w:val="00802D96"/>
    <w:rsid w:val="0084449E"/>
    <w:rsid w:val="00875402"/>
    <w:rsid w:val="008B186F"/>
    <w:rsid w:val="008D17E0"/>
    <w:rsid w:val="0092171C"/>
    <w:rsid w:val="00930803"/>
    <w:rsid w:val="00935C53"/>
    <w:rsid w:val="0095336C"/>
    <w:rsid w:val="00960592"/>
    <w:rsid w:val="009C3959"/>
    <w:rsid w:val="00A30DF4"/>
    <w:rsid w:val="00A53835"/>
    <w:rsid w:val="00AC65FD"/>
    <w:rsid w:val="00AE6589"/>
    <w:rsid w:val="00B01EF5"/>
    <w:rsid w:val="00B266B6"/>
    <w:rsid w:val="00B90A2F"/>
    <w:rsid w:val="00BA7D37"/>
    <w:rsid w:val="00BB4E2D"/>
    <w:rsid w:val="00BE4337"/>
    <w:rsid w:val="00C074E6"/>
    <w:rsid w:val="00C1032C"/>
    <w:rsid w:val="00C31BCD"/>
    <w:rsid w:val="00C40E07"/>
    <w:rsid w:val="00C6694A"/>
    <w:rsid w:val="00C87D5F"/>
    <w:rsid w:val="00CA14CD"/>
    <w:rsid w:val="00CD2BE1"/>
    <w:rsid w:val="00CE2F8B"/>
    <w:rsid w:val="00CE54A2"/>
    <w:rsid w:val="00D02562"/>
    <w:rsid w:val="00D06929"/>
    <w:rsid w:val="00D31A77"/>
    <w:rsid w:val="00D71A07"/>
    <w:rsid w:val="00D740FC"/>
    <w:rsid w:val="00DC6DE7"/>
    <w:rsid w:val="00E02B7D"/>
    <w:rsid w:val="00E0351F"/>
    <w:rsid w:val="00E1135A"/>
    <w:rsid w:val="00E15518"/>
    <w:rsid w:val="00E662ED"/>
    <w:rsid w:val="00EA532B"/>
    <w:rsid w:val="00EB6766"/>
    <w:rsid w:val="00EC2EF2"/>
    <w:rsid w:val="00F0405E"/>
    <w:rsid w:val="00F10B57"/>
    <w:rsid w:val="00F173CD"/>
    <w:rsid w:val="00F34F2B"/>
    <w:rsid w:val="00F4765A"/>
    <w:rsid w:val="00F5052A"/>
    <w:rsid w:val="00FA4961"/>
    <w:rsid w:val="00FC6BE5"/>
    <w:rsid w:val="7D7E9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9E01"/>
  <w15:chartTrackingRefBased/>
  <w15:docId w15:val="{F753A5FF-FA11-4E9A-88E1-A3F8CFFF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0790A"/>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Geenafstand">
    <w:name w:val="No Spacing"/>
    <w:uiPriority w:val="1"/>
    <w:qFormat/>
    <w:rsid w:val="0060790A"/>
    <w:pPr>
      <w:spacing w:after="0" w:line="240" w:lineRule="auto"/>
    </w:pPr>
  </w:style>
  <w:style w:type="paragraph" w:styleId="Lijstalinea">
    <w:name w:val="List Paragraph"/>
    <w:basedOn w:val="Standaard"/>
    <w:uiPriority w:val="34"/>
    <w:qFormat/>
    <w:rsid w:val="00326AA4"/>
    <w:pPr>
      <w:ind w:left="720"/>
      <w:contextualSpacing/>
    </w:pPr>
  </w:style>
  <w:style w:type="paragraph" w:styleId="Voetnoottekst">
    <w:name w:val="footnote text"/>
    <w:basedOn w:val="Standaard"/>
    <w:link w:val="VoetnoottekstChar"/>
    <w:uiPriority w:val="99"/>
    <w:semiHidden/>
    <w:unhideWhenUsed/>
    <w:rsid w:val="00326AA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26AA4"/>
    <w:rPr>
      <w:kern w:val="2"/>
      <w:sz w:val="20"/>
      <w:szCs w:val="20"/>
      <w14:ligatures w14:val="standardContextual"/>
    </w:rPr>
  </w:style>
  <w:style w:type="character" w:styleId="Voetnootmarkering">
    <w:name w:val="footnote reference"/>
    <w:basedOn w:val="Standaardalinea-lettertype"/>
    <w:uiPriority w:val="99"/>
    <w:semiHidden/>
    <w:unhideWhenUsed/>
    <w:rsid w:val="00326AA4"/>
    <w:rPr>
      <w:vertAlign w:val="superscript"/>
    </w:rPr>
  </w:style>
  <w:style w:type="paragraph" w:customStyle="1" w:styleId="paragraph">
    <w:name w:val="paragraph"/>
    <w:basedOn w:val="Standaard"/>
    <w:rsid w:val="00326A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6AA4"/>
  </w:style>
  <w:style w:type="character" w:customStyle="1" w:styleId="eop">
    <w:name w:val="eop"/>
    <w:basedOn w:val="Standaardalinea-lettertype"/>
    <w:rsid w:val="00326AA4"/>
  </w:style>
  <w:style w:type="character" w:customStyle="1" w:styleId="tabchar">
    <w:name w:val="tabchar"/>
    <w:basedOn w:val="Standaardalinea-lettertype"/>
    <w:rsid w:val="00326AA4"/>
  </w:style>
  <w:style w:type="paragraph" w:styleId="Koptekst">
    <w:name w:val="header"/>
    <w:basedOn w:val="Standaard"/>
    <w:link w:val="KoptekstChar"/>
    <w:uiPriority w:val="99"/>
    <w:unhideWhenUsed/>
    <w:rsid w:val="00844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449E"/>
  </w:style>
  <w:style w:type="paragraph" w:styleId="Voettekst">
    <w:name w:val="footer"/>
    <w:basedOn w:val="Standaard"/>
    <w:link w:val="VoettekstChar"/>
    <w:uiPriority w:val="99"/>
    <w:unhideWhenUsed/>
    <w:rsid w:val="00844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449E"/>
  </w:style>
  <w:style w:type="character" w:styleId="Hyperlink">
    <w:name w:val="Hyperlink"/>
    <w:basedOn w:val="Standaardalinea-lettertype"/>
    <w:uiPriority w:val="99"/>
    <w:unhideWhenUsed/>
    <w:rsid w:val="00091F80"/>
    <w:rPr>
      <w:color w:val="0563C1" w:themeColor="hyperlink"/>
      <w:u w:val="single"/>
    </w:rPr>
  </w:style>
  <w:style w:type="character" w:styleId="Onopgelostemelding">
    <w:name w:val="Unresolved Mention"/>
    <w:basedOn w:val="Standaardalinea-lettertype"/>
    <w:uiPriority w:val="99"/>
    <w:semiHidden/>
    <w:unhideWhenUsed/>
    <w:rsid w:val="00091F80"/>
    <w:rPr>
      <w:color w:val="605E5C"/>
      <w:shd w:val="clear" w:color="auto" w:fill="E1DFDD"/>
    </w:rPr>
  </w:style>
  <w:style w:type="paragraph" w:styleId="Revisie">
    <w:name w:val="Revision"/>
    <w:hidden/>
    <w:uiPriority w:val="99"/>
    <w:semiHidden/>
    <w:rsid w:val="004513EB"/>
    <w:pPr>
      <w:spacing w:after="0" w:line="240" w:lineRule="auto"/>
    </w:pPr>
  </w:style>
  <w:style w:type="character" w:styleId="Verwijzingopmerking">
    <w:name w:val="annotation reference"/>
    <w:basedOn w:val="Standaardalinea-lettertype"/>
    <w:uiPriority w:val="99"/>
    <w:semiHidden/>
    <w:unhideWhenUsed/>
    <w:rsid w:val="004513EB"/>
    <w:rPr>
      <w:sz w:val="16"/>
      <w:szCs w:val="16"/>
    </w:rPr>
  </w:style>
  <w:style w:type="paragraph" w:styleId="Tekstopmerking">
    <w:name w:val="annotation text"/>
    <w:basedOn w:val="Standaard"/>
    <w:link w:val="TekstopmerkingChar"/>
    <w:uiPriority w:val="99"/>
    <w:unhideWhenUsed/>
    <w:rsid w:val="004513EB"/>
    <w:pPr>
      <w:spacing w:line="240" w:lineRule="auto"/>
    </w:pPr>
    <w:rPr>
      <w:sz w:val="20"/>
      <w:szCs w:val="20"/>
    </w:rPr>
  </w:style>
  <w:style w:type="character" w:customStyle="1" w:styleId="TekstopmerkingChar">
    <w:name w:val="Tekst opmerking Char"/>
    <w:basedOn w:val="Standaardalinea-lettertype"/>
    <w:link w:val="Tekstopmerking"/>
    <w:uiPriority w:val="99"/>
    <w:rsid w:val="004513EB"/>
    <w:rPr>
      <w:sz w:val="20"/>
      <w:szCs w:val="20"/>
    </w:rPr>
  </w:style>
  <w:style w:type="paragraph" w:styleId="Onderwerpvanopmerking">
    <w:name w:val="annotation subject"/>
    <w:basedOn w:val="Tekstopmerking"/>
    <w:next w:val="Tekstopmerking"/>
    <w:link w:val="OnderwerpvanopmerkingChar"/>
    <w:uiPriority w:val="99"/>
    <w:semiHidden/>
    <w:unhideWhenUsed/>
    <w:rsid w:val="004513EB"/>
    <w:rPr>
      <w:b/>
      <w:bCs/>
    </w:rPr>
  </w:style>
  <w:style w:type="character" w:customStyle="1" w:styleId="OnderwerpvanopmerkingChar">
    <w:name w:val="Onderwerp van opmerking Char"/>
    <w:basedOn w:val="TekstopmerkingChar"/>
    <w:link w:val="Onderwerpvanopmerking"/>
    <w:uiPriority w:val="99"/>
    <w:semiHidden/>
    <w:rsid w:val="00451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2907">
      <w:bodyDiv w:val="1"/>
      <w:marLeft w:val="0"/>
      <w:marRight w:val="0"/>
      <w:marTop w:val="0"/>
      <w:marBottom w:val="0"/>
      <w:divBdr>
        <w:top w:val="none" w:sz="0" w:space="0" w:color="auto"/>
        <w:left w:val="none" w:sz="0" w:space="0" w:color="auto"/>
        <w:bottom w:val="none" w:sz="0" w:space="0" w:color="auto"/>
        <w:right w:val="none" w:sz="0" w:space="0" w:color="auto"/>
      </w:divBdr>
    </w:div>
    <w:div w:id="630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4674</ap:Words>
  <ap:Characters>25712</ap:Characters>
  <ap:DocSecurity>4</ap:DocSecurity>
  <ap:Lines>214</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2025-05-23T15:01:00.0000000Z</dcterms:created>
  <dcterms:modified xsi:type="dcterms:W3CDTF">2025-05-23T15:01:00.0000000Z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4e6b7577-bde7-45df-8e4f-fa0cea16ad32</vt:lpwstr>
  </property>
</Properties>
</file>