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746" w:rsidR="00325746" w:rsidP="00325746" w:rsidRDefault="00325746" w14:paraId="5088537F" w14:textId="073038AA">
      <w:pPr>
        <w:pStyle w:val="Geenafstand"/>
        <w:rPr>
          <w:b/>
          <w:bCs/>
        </w:rPr>
      </w:pPr>
      <w:r w:rsidRPr="00325746">
        <w:rPr>
          <w:b/>
          <w:bCs/>
        </w:rPr>
        <w:t>AH 2287</w:t>
      </w:r>
    </w:p>
    <w:p w:rsidRPr="00325746" w:rsidR="00325746" w:rsidP="00325746" w:rsidRDefault="00325746" w14:paraId="48A61B31" w14:textId="77777777">
      <w:pPr>
        <w:pStyle w:val="Geenafstand"/>
        <w:rPr>
          <w:b/>
          <w:bCs/>
        </w:rPr>
      </w:pPr>
      <w:r w:rsidRPr="00325746">
        <w:rPr>
          <w:b/>
          <w:bCs/>
        </w:rPr>
        <w:t>2025Z06862</w:t>
      </w:r>
    </w:p>
    <w:p w:rsidRPr="00325746" w:rsidR="00325746" w:rsidP="00325746" w:rsidRDefault="00325746" w14:paraId="4299DF8F" w14:textId="77777777">
      <w:pPr>
        <w:pStyle w:val="Geenafstand"/>
        <w:rPr>
          <w:b/>
          <w:bCs/>
        </w:rPr>
      </w:pPr>
    </w:p>
    <w:p w:rsidR="00325746" w:rsidP="00325746" w:rsidRDefault="00325746" w14:paraId="0458BEF3" w14:textId="7777777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26 mei 2025)</w:t>
      </w:r>
    </w:p>
    <w:p w:rsidR="00325746" w:rsidP="00325746" w:rsidRDefault="00325746" w14:paraId="74E3C48F" w14:textId="77777777">
      <w:pPr>
        <w:pStyle w:val="Geenafstand"/>
      </w:pPr>
    </w:p>
    <w:p w:rsidR="00325746" w:rsidP="00325746" w:rsidRDefault="00325746" w14:paraId="75C83F7B" w14:textId="655EDF5A">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2004</w:t>
      </w:r>
      <w:r>
        <w:br/>
      </w:r>
    </w:p>
    <w:p w:rsidR="00325746" w:rsidP="00325746" w:rsidRDefault="00325746" w14:paraId="1E3855C9" w14:textId="77777777">
      <w:pPr>
        <w:rPr>
          <w:b/>
        </w:rPr>
      </w:pPr>
      <w:r w:rsidRPr="00D77110">
        <w:t>1</w:t>
      </w:r>
    </w:p>
    <w:p w:rsidRPr="00D77110" w:rsidR="00325746" w:rsidP="00325746" w:rsidRDefault="00325746" w14:paraId="723FBC7C" w14:textId="77777777">
      <w:r>
        <w:t>Bent u bekend met het stuk ‘The future of the supply and pricing of electricity in the EU’</w:t>
      </w:r>
      <w:r>
        <w:rPr>
          <w:rStyle w:val="Voetnootmarkering"/>
        </w:rPr>
        <w:footnoteReference w:id="1"/>
      </w:r>
      <w:r>
        <w:t xml:space="preserve"> van het European Economic and Social Committee (EESC) met daarin onder andere het voorstel voor het oprichten van een e-faciliteit? </w:t>
      </w:r>
    </w:p>
    <w:p w:rsidR="00325746" w:rsidP="00325746" w:rsidRDefault="00325746" w14:paraId="122ED14B" w14:textId="77777777">
      <w:pPr>
        <w:rPr>
          <w:rStyle w:val="Zwaar"/>
          <w:b w:val="0"/>
          <w:bCs w:val="0"/>
        </w:rPr>
      </w:pPr>
    </w:p>
    <w:p w:rsidRPr="006B7A36" w:rsidR="00325746" w:rsidP="00325746" w:rsidRDefault="00325746" w14:paraId="291FE19F" w14:textId="77777777">
      <w:pPr>
        <w:rPr>
          <w:b/>
          <w:bCs/>
        </w:rPr>
      </w:pPr>
      <w:r w:rsidRPr="006B7A36">
        <w:rPr>
          <w:rStyle w:val="Zwaar"/>
        </w:rPr>
        <w:t>Antwoord</w:t>
      </w:r>
    </w:p>
    <w:p w:rsidR="00325746" w:rsidP="00325746" w:rsidRDefault="00325746" w14:paraId="471F4D27" w14:textId="77777777">
      <w:r>
        <w:t>Ja.</w:t>
      </w:r>
    </w:p>
    <w:p w:rsidR="00325746" w:rsidP="00325746" w:rsidRDefault="00325746" w14:paraId="16DFBA72" w14:textId="77777777"/>
    <w:p w:rsidR="00325746" w:rsidP="00325746" w:rsidRDefault="00325746" w14:paraId="200062C2" w14:textId="77777777">
      <w:r>
        <w:t>2</w:t>
      </w:r>
    </w:p>
    <w:p w:rsidR="00325746" w:rsidP="00325746" w:rsidRDefault="00325746" w14:paraId="49D980EC" w14:textId="77777777">
      <w:r>
        <w:t>Deelt u de mening dat hervorming van de Europese elektriciteitsmarkt zich naast het doel van klimaatneutraliteit in 2050 ook moet richten op het borgen van leveringszekerheid en stabiele en betaalbare prijzen? Zo nee, waarom niet?</w:t>
      </w:r>
    </w:p>
    <w:p w:rsidR="00325746" w:rsidP="00325746" w:rsidRDefault="00325746" w14:paraId="3833AC69" w14:textId="77777777"/>
    <w:p w:rsidR="00325746" w:rsidP="00325746" w:rsidRDefault="00325746" w14:paraId="316A0758" w14:textId="77777777">
      <w:r>
        <w:t>Antwoord</w:t>
      </w:r>
    </w:p>
    <w:p w:rsidR="00325746" w:rsidP="00325746" w:rsidRDefault="00325746" w14:paraId="4BA89495" w14:textId="77777777">
      <w:r>
        <w:t xml:space="preserve">Ja, het kabinet deelt deze mening. Het in balans houden van de publieke belangen van duurzaamheid, betrouwbaarheid en betaalbaarheid vormt de basis van zowel Europees als nationaal beleid ten aanzien van de elektriciteitsmarkt. </w:t>
      </w:r>
    </w:p>
    <w:p w:rsidR="00325746" w:rsidP="00325746" w:rsidRDefault="00325746" w14:paraId="1D58FB43" w14:textId="77777777">
      <w:r>
        <w:br/>
        <w:t>3</w:t>
      </w:r>
    </w:p>
    <w:p w:rsidR="00325746" w:rsidP="00325746" w:rsidRDefault="00325746" w14:paraId="79ABF8BA" w14:textId="77777777">
      <w:r>
        <w:t>Deelt u tevens de mening dat deze doelen alleen kunnen worden behaald met een combinatie van overheidsoptreden en marktmechanismen?</w:t>
      </w:r>
    </w:p>
    <w:p w:rsidR="00325746" w:rsidP="00325746" w:rsidRDefault="00325746" w14:paraId="5571EB09" w14:textId="77777777"/>
    <w:p w:rsidR="00325746" w:rsidP="00325746" w:rsidRDefault="00325746" w14:paraId="0E528EAA" w14:textId="77777777">
      <w:r>
        <w:t>Antwoord</w:t>
      </w:r>
    </w:p>
    <w:p w:rsidR="00325746" w:rsidP="00325746" w:rsidRDefault="00325746" w14:paraId="1037D3CC" w14:textId="77777777">
      <w:r>
        <w:t xml:space="preserve">Ja, het kabinet deelt deze mening. De ordening en regulering van de elektriciteitsmarkt – die veelal in Europese wetgeving zijn vastgelegd – vormen een belangrijke basis voor een goed functionerende elektriciteitsmarkt. Markt </w:t>
      </w:r>
      <w:r>
        <w:lastRenderedPageBreak/>
        <w:t>en overheid vervullen daar beide een belangrijke rol in. Marktmechanismen hebben een belangrijke rol in die zin dat ze zorgen voor concurrentie, efficiënte prijsvorming en keuzevrijheid voor consumenten. Dit komt de betaalbaarheid van het energiesysteem ten goede. Dit wordt ook onderschreven door Strategy&amp; in het onderzoek naar borging van de publieke belangen in de energiesector</w:t>
      </w:r>
      <w:r>
        <w:rPr>
          <w:rStyle w:val="Voetnootmarkering"/>
        </w:rPr>
        <w:footnoteReference w:id="2"/>
      </w:r>
      <w:r>
        <w:t xml:space="preserve">, </w:t>
      </w:r>
      <w:r w:rsidDel="00F43AB5">
        <w:t xml:space="preserve">waarover </w:t>
      </w:r>
      <w:r>
        <w:t>de minister voor Klimaat en Energie</w:t>
      </w:r>
      <w:r w:rsidDel="00F43AB5">
        <w:t xml:space="preserve"> </w:t>
      </w:r>
      <w:r>
        <w:t>de Kamer</w:t>
      </w:r>
      <w:r w:rsidDel="00F43AB5">
        <w:t xml:space="preserve"> in september 2023</w:t>
      </w:r>
      <w:r>
        <w:t xml:space="preserve"> heeft geïnformeerd</w:t>
      </w:r>
      <w:r w:rsidDel="00F43AB5">
        <w:t xml:space="preserve">. </w:t>
      </w:r>
      <w:r>
        <w:t xml:space="preserve">De overheid is verantwoordelijk voor de </w:t>
      </w:r>
      <w:r w:rsidDel="00F43AB5">
        <w:t>ordening</w:t>
      </w:r>
      <w:r>
        <w:t xml:space="preserve"> en </w:t>
      </w:r>
      <w:r w:rsidDel="00F43AB5">
        <w:t>regulering</w:t>
      </w:r>
      <w:r>
        <w:t xml:space="preserve"> van de energiemarkt en het toezicht daarop om zo eventuele negatieve effecten van marktwerking te mitigeren. Gerichte </w:t>
      </w:r>
      <w:r w:rsidDel="00F43AB5">
        <w:t xml:space="preserve">overheidsinterventies </w:t>
      </w:r>
      <w:r>
        <w:t xml:space="preserve">worden ingezet om </w:t>
      </w:r>
      <w:r w:rsidDel="001E216A">
        <w:t>de publieke belangen te borgen.</w:t>
      </w:r>
    </w:p>
    <w:p w:rsidR="00325746" w:rsidP="00325746" w:rsidRDefault="00325746" w14:paraId="48C4E9E3" w14:textId="77777777"/>
    <w:p w:rsidR="00325746" w:rsidP="00325746" w:rsidRDefault="00325746" w14:paraId="454D8CD2" w14:textId="77777777">
      <w:r>
        <w:t>4</w:t>
      </w:r>
    </w:p>
    <w:p w:rsidR="00325746" w:rsidP="00325746" w:rsidRDefault="00325746" w14:paraId="4B202895" w14:textId="77777777">
      <w:r>
        <w:t>In hoeverre en op welke wijze zou het oprichten van een e-faciliteit, een van overheidswege opgericht bedrijf dat op de elektriciteitsmarkt als marktmaker fungeert met als doel klimaatneutraliteit, voorzieningszekerheid en het realiseren van stabiele en betaalbare prijzen, daarbij volgens u een rol kunnen spelen?</w:t>
      </w:r>
    </w:p>
    <w:p w:rsidR="00325746" w:rsidP="00325746" w:rsidRDefault="00325746" w14:paraId="2BC1C33B" w14:textId="77777777"/>
    <w:p w:rsidR="00325746" w:rsidP="00325746" w:rsidRDefault="00325746" w14:paraId="436B85E0" w14:textId="77777777">
      <w:r>
        <w:t>Antwoord</w:t>
      </w:r>
    </w:p>
    <w:p w:rsidR="00325746" w:rsidP="00325746" w:rsidRDefault="00325746" w14:paraId="0EFBBB3E" w14:textId="77777777">
      <w:r>
        <w:t>Het oprichten van een e-faciliteit zoals deze wordt beschreven in het genoemde EESC-rapport ziet het kabinet als een zeer vergaande wijziging van het huidige marktmodel voor de elektriciteitsmarkt. Dit marktmodel is gebaseerd op vrije concurrentie en prijsvorming. Dit model heeft de afgelopen decennia een grote welvaartswinst opgeleverd voor Europa en Nederland. Het kabinet acht het risicovol om over te stappen naar een model waarbij de overheid een bedrijf opricht dat op de elektriciteitsmarkt als "marktmaker” gaat functioneren, waarbij de toegevoegde waarde hiervan niet evident is. Het kabinet ziet daarom, in de context van de huidige goed functionerende Europese elektriciteitsmarkt en de interventiemogelijkheden die het kabinet op dit moment al tot zijn beschikking heeft, geen reden tot het oprichten van een e-faciliteit. Wel werkt het kabinet aan de vormgeving van nieuw beleid om de leveringszekerheid op langere termijn te borgen, zoals aangegeven in de recente Kamerbrief over leveringszekerheid</w:t>
      </w:r>
      <w:r>
        <w:rPr>
          <w:rStyle w:val="Voetnootmarkering"/>
        </w:rPr>
        <w:footnoteReference w:id="3"/>
      </w:r>
      <w:r>
        <w:t xml:space="preserve"> naar aanleiding van de gepubliceerde Monitor Leveringszekerheid (MLZ) van TenneT</w:t>
      </w:r>
      <w:r>
        <w:rPr>
          <w:rStyle w:val="Voetnootmarkering"/>
        </w:rPr>
        <w:footnoteReference w:id="4"/>
      </w:r>
      <w:r>
        <w:t xml:space="preserve">. Het invoeren van een capaciteitsmechanisme is hierbij één van de beleidsopties die overwogen wordt. In deze afwegingen wordt ook betaalbaarheid als een belangrijke factor meegenomen. </w:t>
      </w:r>
    </w:p>
    <w:p w:rsidR="00325746" w:rsidP="00325746" w:rsidRDefault="00325746" w14:paraId="6A4AFD55" w14:textId="77777777"/>
    <w:p w:rsidR="00325746" w:rsidP="00325746" w:rsidRDefault="00325746" w14:paraId="59E58E7A" w14:textId="77777777">
      <w:r>
        <w:t>5</w:t>
      </w:r>
      <w:bookmarkStart w:name="_Hlk197963605" w:id="0"/>
    </w:p>
    <w:p w:rsidR="00325746" w:rsidP="00325746" w:rsidRDefault="00325746" w14:paraId="5697CE0A" w14:textId="77777777">
      <w:r>
        <w:t xml:space="preserve">Hoe kijkt u aan tegen het voorstel om een dergelijke e-faciliteit (met financiële steun van de staat of via rechtstreeks staatseigendom) via aanbestedingsprocedures langetermijncontracten af te laten sluiten met elektriciteitsproducenten en deze elektriciteit vervolgens te verkopen aan distributiebedrijven en/of rechtstreeks aan grote elektriciteitsgebruikers? </w:t>
      </w:r>
    </w:p>
    <w:bookmarkEnd w:id="0"/>
    <w:p w:rsidR="00325746" w:rsidP="00325746" w:rsidRDefault="00325746" w14:paraId="18C828CE" w14:textId="77777777"/>
    <w:p w:rsidR="00325746" w:rsidP="00325746" w:rsidRDefault="00325746" w14:paraId="51D23223" w14:textId="77777777">
      <w:r>
        <w:t>6</w:t>
      </w:r>
    </w:p>
    <w:p w:rsidR="00325746" w:rsidP="00325746" w:rsidRDefault="00325746" w14:paraId="07DA579D" w14:textId="77777777">
      <w:r>
        <w:t xml:space="preserve">In hoeverre ziet u het model van de e-faciliteit als een goede manier om de grote risico’s die producenten en afnemers van groene elektriciteit nu lopen te verminderen en daarmee ook de kosten van de energietransitie te verlagen? </w:t>
      </w:r>
    </w:p>
    <w:p w:rsidR="00325746" w:rsidP="00325746" w:rsidRDefault="00325746" w14:paraId="5E5FCEEA" w14:textId="77777777"/>
    <w:p w:rsidR="00325746" w:rsidP="00325746" w:rsidRDefault="00325746" w14:paraId="1C91DFA5" w14:textId="77777777">
      <w:r>
        <w:t xml:space="preserve">Antwoord op vraag 5+6 </w:t>
      </w:r>
    </w:p>
    <w:p w:rsidR="00325746" w:rsidP="00325746" w:rsidRDefault="00325746" w14:paraId="233D815A" w14:textId="77777777">
      <w:r>
        <w:t xml:space="preserve">Het kabinet ziet geen reden om aan te nemen dat een dergelijke e-faciliteit beter in staat is om langetermijnrisico’s te beperken dan momenteel door marktpartijen met bestaande instrumenten wordt gedaan. Op dit moment hebben zowel producenten als afnemers van elektriciteit verschillende mogelijkheden om langetermijncontracten af te sluiten, bijvoorbeeld via elektriciteitsbeurzen of door gebruik te maken van </w:t>
      </w:r>
      <w:r w:rsidRPr="3F850716">
        <w:rPr>
          <w:i/>
          <w:iCs/>
        </w:rPr>
        <w:t>Power Purchase Agreements</w:t>
      </w:r>
      <w:r>
        <w:t xml:space="preserve"> (PPA’s) tussen producenten en afnemers. Deze contracten bevatten een marktconforme risicopremie die representatief is voor het risico op lange termijn dat marktpartijen wensen af te dekken. </w:t>
      </w:r>
      <w:r w:rsidDel="003C5604">
        <w:t xml:space="preserve">Ook de huidige SDE++ dekt een groot deel van het prijsrisico af voor wind- en zonprojecten. </w:t>
      </w:r>
      <w:r>
        <w:t xml:space="preserve">Het kabinet is daarmee van mening dat marktpartijen al voldoende mogelijkheden hebben om langetermijnrisico’s af te dekken. </w:t>
      </w:r>
    </w:p>
    <w:p w:rsidR="00325746" w:rsidP="00325746" w:rsidRDefault="00325746" w14:paraId="09982D52" w14:textId="77777777"/>
    <w:p w:rsidR="00325746" w:rsidP="00325746" w:rsidRDefault="00325746" w14:paraId="2E0F4B2D" w14:textId="77777777">
      <w:r>
        <w:t xml:space="preserve">Dit neemt niet weg dat het kabinet positief staat tegenover het versterken van de Europese langetermijnmarkten. In de herziening van de elektriciteitsverordening die in 2024 in werking is getreden (EMD-pakket), is hier al een aanzet voor gedaan. Een aantal van de voorstellen gericht op versterking van Europese lange termijnmarkten zal nader uitgewerkt worden in de herziening van de EU </w:t>
      </w:r>
      <w:r w:rsidRPr="3F850716">
        <w:rPr>
          <w:i/>
          <w:iCs/>
        </w:rPr>
        <w:t>Forward Capacity Allocation Regulation</w:t>
      </w:r>
      <w:r>
        <w:t xml:space="preserve"> (FCA-verordening) die in 2026 wordt verwacht.</w:t>
      </w:r>
    </w:p>
    <w:p w:rsidR="00325746" w:rsidP="00325746" w:rsidRDefault="00325746" w14:paraId="1BC3D385" w14:textId="77777777"/>
    <w:p w:rsidR="00325746" w:rsidP="00325746" w:rsidRDefault="00325746" w14:paraId="42964472" w14:textId="77777777">
      <w:r>
        <w:t>7</w:t>
      </w:r>
    </w:p>
    <w:p w:rsidR="00325746" w:rsidP="00325746" w:rsidRDefault="00325746" w14:paraId="19CCACEC" w14:textId="77777777">
      <w:r>
        <w:t xml:space="preserve">Wat is uw visie op de mogelijkheid om de e-faciliteit te laten bieden op specifieke elektriciteitsbronnen, om een optimale mix te bereiken waarmee de </w:t>
      </w:r>
      <w:r>
        <w:lastRenderedPageBreak/>
        <w:t>vereiste CO</w:t>
      </w:r>
      <w:r w:rsidRPr="00FE20B3">
        <w:rPr>
          <w:vertAlign w:val="subscript"/>
        </w:rPr>
        <w:t>2</w:t>
      </w:r>
      <w:r>
        <w:t>-reductie voor de elektriciteitsmarkt kan worden gehaald? Acht u deze mogelijkheid haalbaar en wenselijk?</w:t>
      </w:r>
    </w:p>
    <w:p w:rsidR="00325746" w:rsidP="00325746" w:rsidRDefault="00325746" w14:paraId="5C12959A" w14:textId="77777777"/>
    <w:p w:rsidR="00325746" w:rsidP="00325746" w:rsidRDefault="00325746" w14:paraId="500213CE" w14:textId="77777777">
      <w:r>
        <w:t>Antwoord</w:t>
      </w:r>
    </w:p>
    <w:p w:rsidR="00325746" w:rsidP="00325746" w:rsidRDefault="00325746" w14:paraId="7ABE9E06" w14:textId="77777777">
      <w:r w:rsidRPr="00B51028">
        <w:t>Via het Europese ETS en ander overheidsbeleid wordt gestuurd op een zo efficiënt mogelijke CO</w:t>
      </w:r>
      <w:r w:rsidRPr="00B51028">
        <w:rPr>
          <w:vertAlign w:val="subscript"/>
        </w:rPr>
        <w:t>2</w:t>
      </w:r>
      <w:r w:rsidRPr="00B51028">
        <w:t>-reductie waarbij eerlijke concurrentie centraal staat om kosten te minimaliseren. Het huidige model maakt hierbij geen onderscheid tussen verschillende technologieën</w:t>
      </w:r>
      <w:r>
        <w:t xml:space="preserve"> (technologieneutraliteit)</w:t>
      </w:r>
      <w:r w:rsidRPr="00B51028">
        <w:t xml:space="preserve">, iets wat ook door Europese regelgeving geborgd wordt. </w:t>
      </w:r>
      <w:r>
        <w:t>Het laten bieden op specifieke elektriciteitsbronnen, zoals voorgesteld in het EESC-rapport, lijkt te impliceren dat bepaalde bronnen de voorkeur krijgen boven andere. Het kabinet geeft er de voorkeur aan om vast te houden aan het genoemde uitgangspunt van technologieneutraliteit</w:t>
      </w:r>
      <w:r w:rsidRPr="00B51028">
        <w:t xml:space="preserve">. </w:t>
      </w:r>
      <w:r>
        <w:t xml:space="preserve">Het stimuleren van specifieke technologieën kan bovendien een negatief effect hebben op nieuwe innovatieve technologieën, die door de voorkeurspositie van bestaande technologieën minder kans zouden maken op eerlijke toetreding tot de markt. </w:t>
      </w:r>
    </w:p>
    <w:p w:rsidR="00325746" w:rsidP="00325746" w:rsidRDefault="00325746" w14:paraId="7DC1445C" w14:textId="77777777"/>
    <w:p w:rsidR="00325746" w:rsidP="00325746" w:rsidRDefault="00325746" w14:paraId="7A688B1C" w14:textId="77777777">
      <w:r>
        <w:t>8</w:t>
      </w:r>
    </w:p>
    <w:p w:rsidR="00325746" w:rsidP="00325746" w:rsidRDefault="00325746" w14:paraId="17AD9D99" w14:textId="77777777">
      <w:r>
        <w:t xml:space="preserve">Kunt u reageren op de drie door het EESC geschetste fasen van het hervormen van elektriciteitsmarkt en de rol die een e-faciliteit in elke fase kan spelen: </w:t>
      </w:r>
    </w:p>
    <w:p w:rsidR="00325746" w:rsidP="00325746" w:rsidRDefault="00325746" w14:paraId="7A83A3C3" w14:textId="77777777">
      <w:r>
        <w:t>- "in fase 1 (nu tot 2030) zal de e-faciliteit haar portefeuille uitbreiden met een gewenste mix van (CO</w:t>
      </w:r>
      <w:r w:rsidRPr="00FE20B3">
        <w:rPr>
          <w:vertAlign w:val="subscript"/>
        </w:rPr>
        <w:t>2</w:t>
      </w:r>
      <w:r>
        <w:t>-vrije) elektriciteitsopwekking. Gedurende deze periode zal de handel in elektriciteit plaatsvinden op basis van day-ahead prijzen, maar zal de invloed van de e-faciliteit op de markt toenemen;</w:t>
      </w:r>
    </w:p>
    <w:p w:rsidR="00325746" w:rsidP="00325746" w:rsidRDefault="00325746" w14:paraId="272E5DFC" w14:textId="77777777">
      <w:r>
        <w:t>- in fase 2 (2030-2040) zal de e-faciliteit haar positie als marktmaker bereiken en een passend deel van de aanbodzijde van de markt door middel van leveringscontracten controleren. De rol van day-ahead handel zal in deze periode veranderen ten gevolge van de positie van de e-faciliteit als marktmaker;</w:t>
      </w:r>
    </w:p>
    <w:p w:rsidR="00325746" w:rsidP="00325746" w:rsidRDefault="00325746" w14:paraId="38D866FC" w14:textId="77777777">
      <w:r>
        <w:t>- in fase 3 (2040-2050) zal de e-faciliteit de aanbodzijde van elektriciteit optimaliseren om vanaf 2050 een duurzame lange termijnlevering van elektriciteit met een netto nul uitstoot van broeikasgassen op een stabiel en voorspelbaar prijsniveau te waarborgen"?</w:t>
      </w:r>
    </w:p>
    <w:p w:rsidR="00325746" w:rsidP="00325746" w:rsidRDefault="00325746" w14:paraId="60F3B49A" w14:textId="77777777"/>
    <w:p w:rsidR="00325746" w:rsidP="00325746" w:rsidRDefault="00325746" w14:paraId="006456BC" w14:textId="77777777">
      <w:r>
        <w:t>Antwoord</w:t>
      </w:r>
    </w:p>
    <w:p w:rsidR="00325746" w:rsidP="00325746" w:rsidRDefault="00325746" w14:paraId="24601528" w14:textId="77777777">
      <w:r>
        <w:t xml:space="preserve">Zoals benoemd in vraag 4 en 5, is het kabinet geen voorstander van het oprichten van een e-faciliteit. Om deze reden vindt het kabinet het niet </w:t>
      </w:r>
      <w:r>
        <w:lastRenderedPageBreak/>
        <w:t xml:space="preserve">opportuun om te reflecteren op de rol </w:t>
      </w:r>
      <w:r w:rsidRPr="009C0FC2">
        <w:t>die een e-faciliteit kan spelen in de geschetste fasen.</w:t>
      </w:r>
      <w:r>
        <w:t xml:space="preserve"> </w:t>
      </w:r>
    </w:p>
    <w:p w:rsidR="00325746" w:rsidP="00325746" w:rsidRDefault="00325746" w14:paraId="1518757A" w14:textId="77777777">
      <w:pPr>
        <w:spacing w:line="240" w:lineRule="auto"/>
      </w:pPr>
    </w:p>
    <w:p w:rsidR="00325746" w:rsidP="00325746" w:rsidRDefault="00325746" w14:paraId="665F984B" w14:textId="77777777">
      <w:pPr>
        <w:spacing w:line="240" w:lineRule="auto"/>
      </w:pPr>
      <w:r>
        <w:br w:type="page"/>
      </w:r>
    </w:p>
    <w:p w:rsidR="00325746" w:rsidP="00325746" w:rsidRDefault="00325746" w14:paraId="7C626051" w14:textId="77777777">
      <w:r>
        <w:lastRenderedPageBreak/>
        <w:t>9</w:t>
      </w:r>
    </w:p>
    <w:p w:rsidR="00325746" w:rsidP="00325746" w:rsidRDefault="00325746" w14:paraId="6515F2EB" w14:textId="77777777">
      <w:r>
        <w:t xml:space="preserve">Deelt u het pleidooi van het EESC voor EU-brede coördinatie over hoe voor de laagst mogelijke en meest stabiele energieprijzen kan worden gezorgd en coördinatie tussen lidstaten over de vereiste capaciteit, de netwerkinfrastructuur en de aanvullende energiemix? Zo nee, waarom niet? </w:t>
      </w:r>
    </w:p>
    <w:p w:rsidR="00325746" w:rsidP="00325746" w:rsidRDefault="00325746" w14:paraId="16150601" w14:textId="77777777"/>
    <w:p w:rsidR="00325746" w:rsidP="00325746" w:rsidRDefault="00325746" w14:paraId="3F9405AB" w14:textId="77777777">
      <w:r>
        <w:t>Antwoord</w:t>
      </w:r>
    </w:p>
    <w:p w:rsidR="00325746" w:rsidP="00325746" w:rsidRDefault="00325746" w14:paraId="2CAA3887" w14:textId="77777777">
      <w:r>
        <w:t>Ja, het kabinet hecht veel waarde aan een brede coördinatie binnen de EU over deze vraagstukken van capaciteit, infrastructuur en de energiemix. Gegeven de onderlinge verbondenheid binnen de Europese elektriciteitsmarkt is het kabinet voorstander van Europese afstemming.</w:t>
      </w:r>
      <w:r w:rsidRPr="006E2369">
        <w:t xml:space="preserve"> </w:t>
      </w:r>
      <w:r>
        <w:t xml:space="preserve">Coördinatie op Europees niveau bevordert lage en stabiele prijzen. Deze afstemming krijgt ook steeds meer vorm op het niveau van de Europese Unie, op bilateraal niveau, maar ook binnen de regionale energiesamenwerking in het Pentalaterale Forum en de North Sea Energy Cooperation (NSEC). </w:t>
      </w:r>
    </w:p>
    <w:p w:rsidR="00325746" w:rsidP="00325746" w:rsidRDefault="00325746" w14:paraId="194770DB" w14:textId="77777777"/>
    <w:p w:rsidR="00325746" w:rsidP="00325746" w:rsidRDefault="00325746" w14:paraId="64C144EB" w14:textId="77777777">
      <w:r>
        <w:t>10</w:t>
      </w:r>
    </w:p>
    <w:p w:rsidR="00325746" w:rsidP="00325746" w:rsidRDefault="00325746" w14:paraId="657DD086" w14:textId="77777777">
      <w:r>
        <w:t>Welke rol zou coördinatie tussen nationale e-faciliteiten in overheidsbezit op EU-niveau kunnen spelen in het verder harmoniseren en optimaliseren van de Europese elektriciteitsmarkt?</w:t>
      </w:r>
    </w:p>
    <w:p w:rsidR="00325746" w:rsidP="00325746" w:rsidRDefault="00325746" w14:paraId="26B586C3" w14:textId="77777777"/>
    <w:p w:rsidR="00325746" w:rsidP="00325746" w:rsidRDefault="00325746" w14:paraId="1CFFB7C4" w14:textId="77777777">
      <w:r>
        <w:t>Antwoord</w:t>
      </w:r>
    </w:p>
    <w:p w:rsidR="00325746" w:rsidP="00325746" w:rsidRDefault="00325746" w14:paraId="19399446" w14:textId="77777777">
      <w:r>
        <w:t xml:space="preserve">Het kabinet heeft geen signalen ontvangen dat in andere lidstaten wordt gewerkt aan het oprichten van een e-faciliteit. Om die reden vindt het kabinet het niet opportuun om een oordeel te vellen over de mogelijke coördinatie tussen dergelijke nationale e-faciliteiten. </w:t>
      </w:r>
    </w:p>
    <w:p w:rsidR="00325746" w:rsidP="00325746" w:rsidRDefault="00325746" w14:paraId="50FA1280" w14:textId="77777777"/>
    <w:p w:rsidR="00325746" w:rsidP="00325746" w:rsidRDefault="00325746" w14:paraId="24A4A6DF" w14:textId="77777777">
      <w:r w:rsidRPr="007866FB">
        <w:t>1</w:t>
      </w:r>
      <w:r>
        <w:t>1</w:t>
      </w:r>
    </w:p>
    <w:p w:rsidRPr="007866FB" w:rsidR="00325746" w:rsidP="00325746" w:rsidRDefault="00325746" w14:paraId="5BA281D7" w14:textId="77777777">
      <w:r w:rsidRPr="007866FB">
        <w:t xml:space="preserve">Klopt het dat het uiteindelijk aan EU-lidstaten zelf is om te beslissen of zij al dan niet een e-faciliteit op willen zetten? </w:t>
      </w:r>
    </w:p>
    <w:p w:rsidRPr="007866FB" w:rsidR="00325746" w:rsidP="00325746" w:rsidRDefault="00325746" w14:paraId="045C043A" w14:textId="77777777"/>
    <w:p w:rsidRPr="007866FB" w:rsidR="00325746" w:rsidP="00325746" w:rsidRDefault="00325746" w14:paraId="591AE6DB" w14:textId="77777777">
      <w:r w:rsidRPr="007866FB">
        <w:t>Antwoord</w:t>
      </w:r>
    </w:p>
    <w:p w:rsidRPr="00B51028" w:rsidR="00325746" w:rsidP="00325746" w:rsidRDefault="00325746" w14:paraId="78174BD4" w14:textId="77777777">
      <w:bookmarkStart w:name="_Hlk197958897" w:id="1"/>
      <w:r w:rsidRPr="007866FB">
        <w:t xml:space="preserve">In beginsel is dit aan lidstaten zelf. Het instellen van een e-faciliteit zoals voorgesteld in het EESC-rapport zou echter een fundamentele wijziging van het huidige marktmodel van de Europese elektriciteitsmarkt betekenen. Elektriciteitsmarkten zijn binnen de EU </w:t>
      </w:r>
      <w:r>
        <w:t>sterk</w:t>
      </w:r>
      <w:r w:rsidRPr="007866FB">
        <w:t xml:space="preserve"> geïntegreerd</w:t>
      </w:r>
      <w:r>
        <w:t>;</w:t>
      </w:r>
      <w:r w:rsidRPr="007866FB">
        <w:t xml:space="preserve"> om die reden is het </w:t>
      </w:r>
      <w:r w:rsidRPr="007866FB">
        <w:lastRenderedPageBreak/>
        <w:t>niet aannemelijk dat lidstaten zelfstandig zullen kiezen voor het inrichten van een e-faciliteit.</w:t>
      </w:r>
      <w:bookmarkEnd w:id="1"/>
      <w:r>
        <w:t xml:space="preserve"> </w:t>
      </w:r>
    </w:p>
    <w:p w:rsidR="00325746" w:rsidP="00325746" w:rsidRDefault="00325746" w14:paraId="30C4EFEA" w14:textId="77777777"/>
    <w:p w:rsidR="00325746" w:rsidP="00325746" w:rsidRDefault="00325746" w14:paraId="0E34AD11" w14:textId="77777777">
      <w:r>
        <w:t>12</w:t>
      </w:r>
    </w:p>
    <w:p w:rsidR="00325746" w:rsidP="00325746" w:rsidRDefault="00325746" w14:paraId="15E01C7A" w14:textId="77777777">
      <w:r>
        <w:t>Wat zijn de belangrijkste afwegingen die gemaakt moeten worden indien Nederland zou overwegen om een e-faciliteit op te richten en welke eventuele obstakels bestaan daarvoor?</w:t>
      </w:r>
    </w:p>
    <w:p w:rsidR="00325746" w:rsidP="00325746" w:rsidRDefault="00325746" w14:paraId="51B129BE" w14:textId="77777777"/>
    <w:p w:rsidR="00325746" w:rsidP="00325746" w:rsidRDefault="00325746" w14:paraId="149B4B6C" w14:textId="77777777">
      <w:r>
        <w:t>Antwoord</w:t>
      </w:r>
    </w:p>
    <w:p w:rsidR="00325746" w:rsidP="00325746" w:rsidRDefault="00325746" w14:paraId="24A92934" w14:textId="77777777">
      <w:r>
        <w:t>De belangrijkste afweging die gemaakt dient te worden, is of het oprichten van een e-faciliteit de borging van de publieke belangen rondom betaalbaarheid, duurzaamheid en betrouwbaarheid in de energiesector ten goede zou komen, en een verbetering ten opzichte van de huidige situatie teweeg zou brengen. Hiervan is het kabinet niet overtuigd en het rapport van het EESC geeft hier onvoldoende onderbouwing voor. Het rapport van Strategy&amp; uit 2023 waarnaar het antwoord op vraag 3 verwijst, laat duidelijk zien dat het huidige marktmodel goed in staat is geweest om deze publieke belangen te borgen.</w:t>
      </w:r>
    </w:p>
    <w:p w:rsidR="002C3023" w:rsidRDefault="002C3023" w14:paraId="089E87DC" w14:textId="77777777"/>
    <w:sectPr w:rsidR="002C3023" w:rsidSect="0032574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10F5" w14:textId="77777777" w:rsidR="00325746" w:rsidRDefault="00325746" w:rsidP="00325746">
      <w:pPr>
        <w:spacing w:after="0" w:line="240" w:lineRule="auto"/>
      </w:pPr>
      <w:r>
        <w:separator/>
      </w:r>
    </w:p>
  </w:endnote>
  <w:endnote w:type="continuationSeparator" w:id="0">
    <w:p w14:paraId="51735FEB" w14:textId="77777777" w:rsidR="00325746" w:rsidRDefault="00325746" w:rsidP="0032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5E81" w14:textId="77777777" w:rsidR="00325746" w:rsidRPr="00325746" w:rsidRDefault="00325746" w:rsidP="003257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2BE2" w14:textId="77777777" w:rsidR="00325746" w:rsidRPr="00325746" w:rsidRDefault="00325746" w:rsidP="003257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A633" w14:textId="77777777" w:rsidR="00325746" w:rsidRPr="00325746" w:rsidRDefault="00325746" w:rsidP="003257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F920" w14:textId="77777777" w:rsidR="00325746" w:rsidRDefault="00325746" w:rsidP="00325746">
      <w:pPr>
        <w:spacing w:after="0" w:line="240" w:lineRule="auto"/>
      </w:pPr>
      <w:r>
        <w:separator/>
      </w:r>
    </w:p>
  </w:footnote>
  <w:footnote w:type="continuationSeparator" w:id="0">
    <w:p w14:paraId="6803062A" w14:textId="77777777" w:rsidR="00325746" w:rsidRDefault="00325746" w:rsidP="00325746">
      <w:pPr>
        <w:spacing w:after="0" w:line="240" w:lineRule="auto"/>
      </w:pPr>
      <w:r>
        <w:continuationSeparator/>
      </w:r>
    </w:p>
  </w:footnote>
  <w:footnote w:id="1">
    <w:p w14:paraId="027A12A4" w14:textId="77777777" w:rsidR="00325746" w:rsidRDefault="00325746" w:rsidP="00325746">
      <w:pPr>
        <w:pStyle w:val="Voetnoottekst"/>
      </w:pPr>
      <w:r>
        <w:rPr>
          <w:rStyle w:val="Voetnootmarkering"/>
        </w:rPr>
        <w:footnoteRef/>
      </w:r>
      <w:r>
        <w:t xml:space="preserve"> </w:t>
      </w:r>
      <w:hyperlink r:id="rId1">
        <w:r w:rsidRPr="00E909EA">
          <w:rPr>
            <w:rStyle w:val="Hyperlink"/>
            <w:lang w:val="en-US"/>
          </w:rPr>
          <w:t>https://www.eesc.europa.eu/en/news-media/news/electricity-market-eesc-proposes-e-facility-regulate-where-necessary-and-privatise-where-possible</w:t>
        </w:r>
      </w:hyperlink>
    </w:p>
  </w:footnote>
  <w:footnote w:id="2">
    <w:p w14:paraId="2029D1E1" w14:textId="77777777" w:rsidR="00325746" w:rsidRDefault="00325746" w:rsidP="00325746">
      <w:pPr>
        <w:pStyle w:val="Voetnoottekst"/>
      </w:pPr>
      <w:r>
        <w:rPr>
          <w:rStyle w:val="Voetnootmarkering"/>
        </w:rPr>
        <w:footnoteRef/>
      </w:r>
      <w:r>
        <w:t xml:space="preserve"> Kamerstukken II 2022/23, 29023, nr. 446.</w:t>
      </w:r>
    </w:p>
  </w:footnote>
  <w:footnote w:id="3">
    <w:p w14:paraId="7F657656" w14:textId="77777777" w:rsidR="00325746" w:rsidRDefault="00325746" w:rsidP="00325746">
      <w:pPr>
        <w:pStyle w:val="Voetnoottekst"/>
      </w:pPr>
      <w:r w:rsidRPr="00F1275F">
        <w:rPr>
          <w:rStyle w:val="Voetnootmarkering"/>
        </w:rPr>
        <w:footnoteRef/>
      </w:r>
      <w:r w:rsidRPr="00F1275F">
        <w:t xml:space="preserve"> Kamerstukken 2025, 29023, nr. 570.</w:t>
      </w:r>
    </w:p>
  </w:footnote>
  <w:footnote w:id="4">
    <w:p w14:paraId="7279AAAA" w14:textId="77777777" w:rsidR="00325746" w:rsidRDefault="00325746" w:rsidP="00325746">
      <w:pPr>
        <w:pStyle w:val="Voetnoottekst"/>
      </w:pPr>
      <w:r>
        <w:rPr>
          <w:rStyle w:val="Voetnootmarkering"/>
        </w:rPr>
        <w:footnoteRef/>
      </w:r>
      <w:r>
        <w:t xml:space="preserve"> </w:t>
      </w:r>
      <w:hyperlink r:id="rId2" w:history="1">
        <w:r w:rsidRPr="00C83D51">
          <w:rPr>
            <w:rStyle w:val="Hyperlink"/>
          </w:rPr>
          <w:t>https://tennet-drupal.s3.eu-central-1.amazonaws.com/default/2025-05/20250515%20TenneT%20Monitor%20Leveringszekerheid%202025%20final.pdf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A715" w14:textId="77777777" w:rsidR="00325746" w:rsidRPr="00325746" w:rsidRDefault="00325746" w:rsidP="00325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5A64" w14:textId="77777777" w:rsidR="00325746" w:rsidRPr="00325746" w:rsidRDefault="00325746" w:rsidP="003257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A45" w14:textId="77777777" w:rsidR="00325746" w:rsidRPr="00325746" w:rsidRDefault="00325746" w:rsidP="003257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46"/>
    <w:rsid w:val="002C3023"/>
    <w:rsid w:val="00325746"/>
    <w:rsid w:val="00DF7A30"/>
    <w:rsid w:val="00EE2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AE3F"/>
  <w15:chartTrackingRefBased/>
  <w15:docId w15:val="{C3AA8937-6BB4-4B4F-ADBD-4D08D2FB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7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7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7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7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746"/>
    <w:rPr>
      <w:rFonts w:eastAsiaTheme="majorEastAsia" w:cstheme="majorBidi"/>
      <w:color w:val="272727" w:themeColor="text1" w:themeTint="D8"/>
    </w:rPr>
  </w:style>
  <w:style w:type="paragraph" w:styleId="Titel">
    <w:name w:val="Title"/>
    <w:basedOn w:val="Standaard"/>
    <w:next w:val="Standaard"/>
    <w:link w:val="TitelChar"/>
    <w:uiPriority w:val="10"/>
    <w:qFormat/>
    <w:rsid w:val="00325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746"/>
    <w:rPr>
      <w:i/>
      <w:iCs/>
      <w:color w:val="404040" w:themeColor="text1" w:themeTint="BF"/>
    </w:rPr>
  </w:style>
  <w:style w:type="paragraph" w:styleId="Lijstalinea">
    <w:name w:val="List Paragraph"/>
    <w:basedOn w:val="Standaard"/>
    <w:uiPriority w:val="34"/>
    <w:qFormat/>
    <w:rsid w:val="00325746"/>
    <w:pPr>
      <w:ind w:left="720"/>
      <w:contextualSpacing/>
    </w:pPr>
  </w:style>
  <w:style w:type="character" w:styleId="Intensievebenadrukking">
    <w:name w:val="Intense Emphasis"/>
    <w:basedOn w:val="Standaardalinea-lettertype"/>
    <w:uiPriority w:val="21"/>
    <w:qFormat/>
    <w:rsid w:val="00325746"/>
    <w:rPr>
      <w:i/>
      <w:iCs/>
      <w:color w:val="0F4761" w:themeColor="accent1" w:themeShade="BF"/>
    </w:rPr>
  </w:style>
  <w:style w:type="paragraph" w:styleId="Duidelijkcitaat">
    <w:name w:val="Intense Quote"/>
    <w:basedOn w:val="Standaard"/>
    <w:next w:val="Standaard"/>
    <w:link w:val="DuidelijkcitaatChar"/>
    <w:uiPriority w:val="30"/>
    <w:qFormat/>
    <w:rsid w:val="0032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746"/>
    <w:rPr>
      <w:i/>
      <w:iCs/>
      <w:color w:val="0F4761" w:themeColor="accent1" w:themeShade="BF"/>
    </w:rPr>
  </w:style>
  <w:style w:type="character" w:styleId="Intensieveverwijzing">
    <w:name w:val="Intense Reference"/>
    <w:basedOn w:val="Standaardalinea-lettertype"/>
    <w:uiPriority w:val="32"/>
    <w:qFormat/>
    <w:rsid w:val="00325746"/>
    <w:rPr>
      <w:b/>
      <w:bCs/>
      <w:smallCaps/>
      <w:color w:val="0F4761" w:themeColor="accent1" w:themeShade="BF"/>
      <w:spacing w:val="5"/>
    </w:rPr>
  </w:style>
  <w:style w:type="paragraph" w:styleId="Koptekst">
    <w:name w:val="header"/>
    <w:basedOn w:val="Standaard"/>
    <w:link w:val="KoptekstChar1"/>
    <w:rsid w:val="003257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25746"/>
  </w:style>
  <w:style w:type="paragraph" w:styleId="Voettekst">
    <w:name w:val="footer"/>
    <w:basedOn w:val="Standaard"/>
    <w:link w:val="VoettekstChar1"/>
    <w:rsid w:val="003257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25746"/>
  </w:style>
  <w:style w:type="paragraph" w:customStyle="1" w:styleId="Huisstijl-Adres">
    <w:name w:val="Huisstijl-Adres"/>
    <w:basedOn w:val="Standaard"/>
    <w:link w:val="Huisstijl-AdresChar"/>
    <w:rsid w:val="0032574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5746"/>
    <w:rPr>
      <w:rFonts w:ascii="Verdana" w:hAnsi="Verdana"/>
      <w:noProof/>
      <w:sz w:val="13"/>
      <w:szCs w:val="24"/>
      <w:lang w:eastAsia="nl-NL"/>
    </w:rPr>
  </w:style>
  <w:style w:type="paragraph" w:customStyle="1" w:styleId="Huisstijl-Gegeven">
    <w:name w:val="Huisstijl-Gegeven"/>
    <w:basedOn w:val="Standaard"/>
    <w:link w:val="Huisstijl-GegevenCharChar"/>
    <w:rsid w:val="0032574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574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2574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25746"/>
    <w:rPr>
      <w:color w:val="0000FF"/>
      <w:u w:val="single"/>
    </w:rPr>
  </w:style>
  <w:style w:type="paragraph" w:customStyle="1" w:styleId="Huisstijl-Retouradres">
    <w:name w:val="Huisstijl-Retouradres"/>
    <w:basedOn w:val="Standaard"/>
    <w:rsid w:val="0032574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25746"/>
    <w:pPr>
      <w:spacing w:after="0"/>
    </w:pPr>
    <w:rPr>
      <w:b/>
    </w:rPr>
  </w:style>
  <w:style w:type="paragraph" w:customStyle="1" w:styleId="Huisstijl-Paginanummering">
    <w:name w:val="Huisstijl-Paginanummering"/>
    <w:basedOn w:val="Standaard"/>
    <w:rsid w:val="0032574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2574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2574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2574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25746"/>
    <w:rPr>
      <w:b/>
      <w:bCs/>
    </w:rPr>
  </w:style>
  <w:style w:type="character" w:customStyle="1" w:styleId="KoptekstChar1">
    <w:name w:val="Koptekst Char1"/>
    <w:basedOn w:val="Standaardalinea-lettertype"/>
    <w:link w:val="Koptekst"/>
    <w:rsid w:val="0032574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2574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25746"/>
    <w:rPr>
      <w:vertAlign w:val="superscript"/>
    </w:rPr>
  </w:style>
  <w:style w:type="paragraph" w:styleId="Geenafstand">
    <w:name w:val="No Spacing"/>
    <w:uiPriority w:val="1"/>
    <w:qFormat/>
    <w:rsid w:val="00325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tennet-drupal.s3.eu-central-1.amazonaws.com/default/2025-05/20250515%20TenneT%20Monitor%20Leveringszekerheid%202025%20final.pdf" TargetMode="External"/><Relationship Id="rId1" Type="http://schemas.openxmlformats.org/officeDocument/2006/relationships/hyperlink" Target="https://www.eesc.europa.eu/en/news-media/news/electricity-market-eesc-proposes-e-facility-regulate-where-necessary-and-privatise-where-possib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1633</ap:Words>
  <ap:Characters>8986</ap:Characters>
  <ap:DocSecurity>0</ap:DocSecurity>
  <ap:Lines>74</ap:Lines>
  <ap:Paragraphs>21</ap:Paragraphs>
  <ap:ScaleCrop>false</ap:ScaleCrop>
  <ap:LinksUpToDate>false</ap:LinksUpToDate>
  <ap:CharactersWithSpaces>10598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2025-05-26T10:35:00.0000000Z</dcterms:created>
  <dcterms:modified xsi:type="dcterms:W3CDTF">2025-05-26T10:36:00.0000000Z</dcterms:modified>
  <version/>
  <category/>
</coreProperties>
</file>