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10B" w:rsidP="00991B37" w:rsidRDefault="0003710B" w14:paraId="240F5A6D" w14:textId="2F06B4A8">
      <w:r>
        <w:t>Geachte Voorzitter,</w:t>
      </w:r>
    </w:p>
    <w:p w:rsidR="0003710B" w:rsidP="00991B37" w:rsidRDefault="0003710B" w14:paraId="7C0CE076" w14:textId="77777777"/>
    <w:p w:rsidR="0003710B" w:rsidP="00991B37" w:rsidRDefault="0003710B" w14:paraId="150BF90B" w14:textId="77777777">
      <w:r>
        <w:t xml:space="preserve">Een onafhankelijke en duurzame energievoorziening die leveringszekerheid biedt is belangrijker dan ooit. Dit zijn geen vanzelfsprekendheden meer in deze snel veranderende wereld. Windenergie op zee is een cruciale voorwaarde om een energiesysteem te ontwikkelen dat aan deze eisen voldoet. Voor de realisatie van wind op zee heeft het kabinet een routekaart 21GW opgesteld. Vanwege het belang van wind op zee voert het kabinet, conform het regeerprogramma, deze onverkort uit. </w:t>
      </w:r>
    </w:p>
    <w:p w:rsidR="0003710B" w:rsidP="00991B37" w:rsidRDefault="0003710B" w14:paraId="075DDD50" w14:textId="77777777"/>
    <w:p w:rsidR="0003710B" w:rsidP="00991B37" w:rsidRDefault="0003710B" w14:paraId="36FFF006" w14:textId="77777777">
      <w:r>
        <w:t xml:space="preserve">Het net op zee brengt de elektriciteit opgewekt door windturbines op zee aan land. Het ontwikkelkader windenergie op zee (hierna: ontwikkelkader) heeft hier een cruciale rol in. Het ontwikkelkader geeft namelijk de opdracht aan netbeheerder TenneT voor de aanleg van het net op zee. Met deze brief informeert het kabinet de Kamer over enkele aanpassingen in het ontwikkelkader. </w:t>
      </w:r>
    </w:p>
    <w:p w:rsidR="0003710B" w:rsidP="00991B37" w:rsidRDefault="0003710B" w14:paraId="13A7E53B" w14:textId="77777777"/>
    <w:p w:rsidR="00FB0D01" w:rsidP="0033360C" w:rsidRDefault="0003710B" w14:paraId="7851B824" w14:textId="77777777">
      <w:r>
        <w:t>Met deze aanpassing van het ontwikkelkader word</w:t>
      </w:r>
      <w:r w:rsidR="002A1942">
        <w:t>t</w:t>
      </w:r>
      <w:r>
        <w:t xml:space="preserve"> een aantal zaken mogelijk gemaakt. De belangrijkste betreft het in opdracht geven van een extra 2GW gelijkstroom netaansluiting aan TenneT. Deze verbinding betreft het aansluiten van Doordewind kavel II. Hiermee wordt opvolging gegeven aan het advies betreffende het </w:t>
      </w:r>
      <w:r w:rsidRPr="008309B6">
        <w:t xml:space="preserve">Energie Infrastructuur Plan Noordzee </w:t>
      </w:r>
      <w:r>
        <w:t>2050 dat is gedeeld met de Tweede Kamer</w:t>
      </w:r>
      <w:r>
        <w:rPr>
          <w:rStyle w:val="Voetnootmarkering"/>
        </w:rPr>
        <w:footnoteReference w:id="1"/>
      </w:r>
      <w:r>
        <w:t>: “</w:t>
      </w:r>
      <w:r w:rsidRPr="43DDA6CC">
        <w:rPr>
          <w:i/>
          <w:iCs/>
        </w:rPr>
        <w:t xml:space="preserve">Het is daarom wenselijk om op korte termijn tot besluitvorming te komen over eventuele opdrachtverlening aan TenneT voor aanvullende projecten op de huidige routekaart, waaronder het project Doordewind 2”. </w:t>
      </w:r>
      <w:r>
        <w:t>Dit is ook in lijn met de brief van mijn voorganger aan de Kamer op 25 april 2024, waarin is aangekondigd dat Doordewind kavel II doorschuift naar de volgende fase</w:t>
      </w:r>
      <w:r>
        <w:rPr>
          <w:rStyle w:val="Voetnootmarkering"/>
        </w:rPr>
        <w:footnoteReference w:id="2"/>
      </w:r>
      <w:r>
        <w:t xml:space="preserve">. Hiermee wordt een eerste stap gezet na de huidige routekaart. Aanwijzing van de eerstvolgende verbinding is nodig omdat de doorlooptijden van het realiseren van een netverbinding voor een windpark op zee lang is. Recent </w:t>
      </w:r>
      <w:r w:rsidR="00FD14D6">
        <w:t xml:space="preserve">is de Kamer </w:t>
      </w:r>
      <w:r>
        <w:t>geïnformeerd over het garantieplafond voor TenneT die deze stap mogelijk maakt</w:t>
      </w:r>
      <w:r>
        <w:rPr>
          <w:rStyle w:val="Voetnootmarkering"/>
        </w:rPr>
        <w:footnoteReference w:id="3"/>
      </w:r>
      <w:r>
        <w:t>.</w:t>
      </w:r>
      <w:r w:rsidR="0033360C">
        <w:t xml:space="preserve"> </w:t>
      </w:r>
    </w:p>
    <w:p w:rsidR="00FB0D01" w:rsidRDefault="00FB0D01" w14:paraId="4263B248" w14:textId="77777777">
      <w:pPr>
        <w:spacing w:line="240" w:lineRule="auto"/>
      </w:pPr>
      <w:r>
        <w:br w:type="page"/>
      </w:r>
    </w:p>
    <w:p w:rsidR="0033360C" w:rsidP="0033360C" w:rsidRDefault="0033360C" w14:paraId="00936847" w14:textId="72124811">
      <w:r w:rsidRPr="0033360C">
        <w:lastRenderedPageBreak/>
        <w:t>Voorafgegaan door een toets van de ACM op doelmatigheid en efficiëntie</w:t>
      </w:r>
      <w:r>
        <w:t xml:space="preserve"> zullen de kosten van het net op zee van TenneT zoals gebruikelijk landen in de</w:t>
      </w:r>
    </w:p>
    <w:p w:rsidR="0003710B" w:rsidP="0033360C" w:rsidRDefault="0033360C" w14:paraId="2B11D41D" w14:textId="4AF0A246">
      <w:r>
        <w:t>nettarieven</w:t>
      </w:r>
      <w:r>
        <w:rPr>
          <w:rStyle w:val="Voetnootmarkering"/>
        </w:rPr>
        <w:footnoteReference w:id="4"/>
      </w:r>
      <w:r>
        <w:t>.</w:t>
      </w:r>
    </w:p>
    <w:p w:rsidR="0003710B" w:rsidP="00991B37" w:rsidRDefault="0003710B" w14:paraId="6603218B" w14:textId="77777777"/>
    <w:p w:rsidR="0033360C" w:rsidP="0033360C" w:rsidRDefault="0003710B" w14:paraId="2C3329FD" w14:textId="77777777">
      <w:r>
        <w:t xml:space="preserve">De opdracht aan TenneT voor een 2GW verbinding is definitief, maar de aanwijzing van Doordewind kavel II als locatie om aan te sluiten is onder voorbehoud, omdat het aanwijzen van het bijbehorende windenergiegebied onderdeel is van de besluitvorming van de Partiële Herziening Programma Noordzee, welke naar verwachting eind dit jaar wordt afgerond. </w:t>
      </w:r>
      <w:r w:rsidR="00E55F64">
        <w:t xml:space="preserve">De </w:t>
      </w:r>
      <w:r>
        <w:t>Kamer is recent geïnformeerd over de ter inzage legging van de concept Partiële Herziening Programma Noordzee</w:t>
      </w:r>
      <w:r>
        <w:rPr>
          <w:rStyle w:val="Voetnootmarkering"/>
        </w:rPr>
        <w:footnoteReference w:id="5"/>
      </w:r>
      <w:r>
        <w:t xml:space="preserve">, waarin de windenergiegebieden behorende bij Doordewind Kavel II zijn opgenomen. </w:t>
      </w:r>
      <w:r w:rsidR="0033360C">
        <w:t>De inpassingskosten t/m 2030 die voortkomen uit het</w:t>
      </w:r>
    </w:p>
    <w:p w:rsidR="0033360C" w:rsidP="0033360C" w:rsidRDefault="0033360C" w14:paraId="41DEAC7F" w14:textId="77777777">
      <w:r>
        <w:t>aanwijzen van Doordewind II zijn onderdeel van het pakket voor een weerbaar</w:t>
      </w:r>
    </w:p>
    <w:p w:rsidR="0033360C" w:rsidP="0033360C" w:rsidRDefault="0033360C" w14:paraId="168C58F5" w14:textId="77777777">
      <w:r>
        <w:t>energiesysteem en een toekomstbestendige industrie. De structurele</w:t>
      </w:r>
    </w:p>
    <w:p w:rsidR="0003710B" w:rsidP="0033360C" w:rsidRDefault="0033360C" w14:paraId="212AB680" w14:textId="3A33A145">
      <w:r>
        <w:t xml:space="preserve">inpassingskosten zijn gedekt binnen de SDE-regeling. </w:t>
      </w:r>
      <w:r w:rsidR="0003710B">
        <w:t>In het Programma Noordzee wordt ook de afweging tussen windenergiegebieden en andere activiteiten, zoals visserij, scheepvaart, defensie etc. gemaakt, zoals ook in de antwoorden op Kamervragen van het lid Vermeer op 4 maart 2025</w:t>
      </w:r>
      <w:r w:rsidR="0003710B">
        <w:rPr>
          <w:rStyle w:val="Voetnootmarkering"/>
        </w:rPr>
        <w:footnoteReference w:id="6"/>
      </w:r>
      <w:r w:rsidR="0003710B">
        <w:t xml:space="preserve"> aangegeven. </w:t>
      </w:r>
    </w:p>
    <w:p w:rsidR="0003710B" w:rsidP="00991B37" w:rsidRDefault="0003710B" w14:paraId="7EA820A4" w14:textId="77777777"/>
    <w:p w:rsidR="0003710B" w:rsidP="00991B37" w:rsidRDefault="0003710B" w14:paraId="12F9331C" w14:textId="2CAECDC6">
      <w:r>
        <w:t>Het kabinet geeft op dit moment de ontwikkeling van deze 2GW verbinding in opdracht, omdat TenneT hiermee haar contractuele verplichtingen ten aanzien van platform en kabelleveranciers kan nakomen en hiermee aanvullende kosten voor TenneT worden vermeden. Ten</w:t>
      </w:r>
      <w:r w:rsidR="00FD14D6">
        <w:t xml:space="preserve"> </w:t>
      </w:r>
      <w:r>
        <w:t xml:space="preserve">slotte wordt een eventueel gat in de uitrol van wind op zee hiermee zo klein mogelijk gehouden. Indien deze windenergiegebieden niet </w:t>
      </w:r>
      <w:r w:rsidR="0099153B">
        <w:t xml:space="preserve">definitief </w:t>
      </w:r>
      <w:r>
        <w:t>worden aangewezen</w:t>
      </w:r>
      <w:r w:rsidR="0099153B">
        <w:t xml:space="preserve"> in de Partiële Herziening Programma Noordzee</w:t>
      </w:r>
      <w:r>
        <w:t>, kan de locatie nog wijzigen.</w:t>
      </w:r>
    </w:p>
    <w:p w:rsidR="0003710B" w:rsidP="00991B37" w:rsidRDefault="0003710B" w14:paraId="7D2A72A3" w14:textId="77777777"/>
    <w:p w:rsidR="0003710B" w:rsidP="00991B37" w:rsidRDefault="0003710B" w14:paraId="607CE3A1" w14:textId="77777777">
      <w:r>
        <w:t>Naast het in opdracht geven van deze netaansluiting aan TenneT worden verschillende andere wijzigingen gemaakt in het ontwikkelkader. Deze wijzigingen hebben geen invloed op visserij:</w:t>
      </w:r>
    </w:p>
    <w:p w:rsidR="0003710B" w:rsidP="00991B37" w:rsidRDefault="0003710B" w14:paraId="3235809D" w14:textId="77777777"/>
    <w:p w:rsidRPr="00345021" w:rsidR="0003710B" w:rsidP="00991B37" w:rsidRDefault="0003710B" w14:paraId="4993DACE" w14:textId="26AB0C0C">
      <w:pPr>
        <w:pStyle w:val="Lijstalinea"/>
        <w:numPr>
          <w:ilvl w:val="0"/>
          <w:numId w:val="16"/>
        </w:numPr>
        <w:spacing w:after="0" w:line="240" w:lineRule="atLeast"/>
        <w:rPr>
          <w:rFonts w:ascii="Verdana" w:hAnsi="Verdana"/>
          <w:sz w:val="18"/>
          <w:szCs w:val="18"/>
        </w:rPr>
      </w:pPr>
      <w:r>
        <w:rPr>
          <w:rFonts w:ascii="Verdana" w:hAnsi="Verdana"/>
          <w:sz w:val="18"/>
          <w:szCs w:val="18"/>
        </w:rPr>
        <w:t>Zoals in de Kamerbrief</w:t>
      </w:r>
      <w:r>
        <w:rPr>
          <w:rStyle w:val="Voetnootmarkering"/>
          <w:rFonts w:ascii="Verdana" w:hAnsi="Verdana"/>
          <w:sz w:val="18"/>
          <w:szCs w:val="18"/>
        </w:rPr>
        <w:footnoteReference w:id="7"/>
      </w:r>
      <w:r>
        <w:rPr>
          <w:rFonts w:ascii="Verdana" w:hAnsi="Verdana"/>
          <w:sz w:val="18"/>
          <w:szCs w:val="18"/>
        </w:rPr>
        <w:t xml:space="preserve"> van 5 december 2024 aangekondigd vallen de gelijkstroomkabels voor een diepe aanlanding niet meer binnen de scope van de Delta Rhine Corridor (DRC). Diepe aanlandingen worden gebruikt om stroom van windparken op zee verder landinwaarts te brengen. Daarom zal buiten de DRC onderzoek gedaan worden naar de mogelijkheid voor een diepe aanlanding. </w:t>
      </w:r>
      <w:r w:rsidRPr="43DDA6CC">
        <w:rPr>
          <w:rFonts w:ascii="Verdana" w:hAnsi="Verdana"/>
          <w:sz w:val="18"/>
          <w:szCs w:val="18"/>
        </w:rPr>
        <w:t xml:space="preserve">TenneT krijgt opdracht voor het voorbereiden </w:t>
      </w:r>
      <w:r>
        <w:rPr>
          <w:rFonts w:ascii="Verdana" w:hAnsi="Verdana"/>
          <w:sz w:val="18"/>
          <w:szCs w:val="18"/>
        </w:rPr>
        <w:t>hiervan (zoals bijvoorbeeld onderzoek)</w:t>
      </w:r>
      <w:r w:rsidRPr="43DDA6CC">
        <w:rPr>
          <w:rFonts w:ascii="Verdana" w:hAnsi="Verdana"/>
          <w:sz w:val="18"/>
          <w:szCs w:val="18"/>
        </w:rPr>
        <w:t>. De daadwerkelijke ontwikkeling van een diepe aanlanding wordt niet in opdracht gegeven met deze wijziging.</w:t>
      </w:r>
      <w:r>
        <w:rPr>
          <w:rFonts w:ascii="Verdana" w:hAnsi="Verdana"/>
          <w:sz w:val="18"/>
          <w:szCs w:val="18"/>
        </w:rPr>
        <w:t xml:space="preserve"> </w:t>
      </w:r>
      <w:r w:rsidR="002A1942">
        <w:rPr>
          <w:rFonts w:ascii="Verdana" w:hAnsi="Verdana"/>
          <w:sz w:val="18"/>
          <w:szCs w:val="18"/>
        </w:rPr>
        <w:t>De Tweede Kamer</w:t>
      </w:r>
      <w:r>
        <w:rPr>
          <w:rFonts w:ascii="Verdana" w:hAnsi="Verdana"/>
          <w:sz w:val="18"/>
          <w:szCs w:val="18"/>
        </w:rPr>
        <w:t xml:space="preserve"> wordt hier nader over geïnformeerd.</w:t>
      </w:r>
    </w:p>
    <w:p w:rsidRPr="00345021" w:rsidR="0003710B" w:rsidP="00991B37" w:rsidRDefault="0003710B" w14:paraId="483DED86" w14:textId="77777777">
      <w:pPr>
        <w:pStyle w:val="Lijstalinea"/>
        <w:numPr>
          <w:ilvl w:val="0"/>
          <w:numId w:val="16"/>
        </w:numPr>
        <w:spacing w:after="0" w:line="240" w:lineRule="atLeast"/>
        <w:rPr>
          <w:rFonts w:ascii="Verdana" w:hAnsi="Verdana"/>
          <w:sz w:val="18"/>
          <w:szCs w:val="18"/>
        </w:rPr>
      </w:pPr>
      <w:r>
        <w:rPr>
          <w:rFonts w:ascii="Verdana" w:hAnsi="Verdana"/>
          <w:sz w:val="18"/>
          <w:szCs w:val="18"/>
        </w:rPr>
        <w:t>Het kabinet heeft een aantal 2GW windkavels gesplitst naar 2 keer 1GW kavels</w:t>
      </w:r>
      <w:r>
        <w:rPr>
          <w:rStyle w:val="Voetnootmarkering"/>
          <w:rFonts w:ascii="Verdana" w:hAnsi="Verdana"/>
          <w:sz w:val="18"/>
          <w:szCs w:val="18"/>
        </w:rPr>
        <w:footnoteReference w:id="8"/>
      </w:r>
      <w:r>
        <w:rPr>
          <w:rFonts w:ascii="Verdana" w:hAnsi="Verdana"/>
          <w:sz w:val="18"/>
          <w:szCs w:val="18"/>
        </w:rPr>
        <w:t xml:space="preserve">. </w:t>
      </w:r>
      <w:r w:rsidRPr="00345021">
        <w:rPr>
          <w:rFonts w:ascii="Verdana" w:hAnsi="Verdana"/>
          <w:sz w:val="18"/>
          <w:szCs w:val="18"/>
        </w:rPr>
        <w:t xml:space="preserve">Er is </w:t>
      </w:r>
      <w:r>
        <w:rPr>
          <w:rFonts w:ascii="Verdana" w:hAnsi="Verdana"/>
          <w:sz w:val="18"/>
          <w:szCs w:val="18"/>
        </w:rPr>
        <w:t xml:space="preserve">nu </w:t>
      </w:r>
      <w:r w:rsidRPr="00345021">
        <w:rPr>
          <w:rFonts w:ascii="Verdana" w:hAnsi="Verdana"/>
          <w:sz w:val="18"/>
          <w:szCs w:val="18"/>
        </w:rPr>
        <w:t xml:space="preserve">een toelichting toegevoegd op welke wijze aansluitvelden op een platform worden gedeeld in het geval van een gesplitst kavel. </w:t>
      </w:r>
    </w:p>
    <w:p w:rsidRPr="00345021" w:rsidR="0003710B" w:rsidP="00991B37" w:rsidRDefault="0003710B" w14:paraId="0ACDFB9C" w14:textId="77777777">
      <w:pPr>
        <w:pStyle w:val="Lijstalinea"/>
        <w:numPr>
          <w:ilvl w:val="0"/>
          <w:numId w:val="16"/>
        </w:numPr>
        <w:spacing w:after="0" w:line="240" w:lineRule="atLeast"/>
        <w:rPr>
          <w:rFonts w:ascii="Verdana" w:hAnsi="Verdana"/>
          <w:sz w:val="18"/>
          <w:szCs w:val="18"/>
        </w:rPr>
      </w:pPr>
      <w:r w:rsidRPr="00345021">
        <w:rPr>
          <w:rFonts w:ascii="Verdana" w:hAnsi="Verdana"/>
          <w:sz w:val="18"/>
          <w:szCs w:val="18"/>
        </w:rPr>
        <w:lastRenderedPageBreak/>
        <w:t xml:space="preserve">Een aanpassing van de definitie van klantaansluiting, zodat niet alleen elektriciteit kan worden afgenomen via deze aansluiting maar ook (onder voorwaarden) kan worden ingevoed. </w:t>
      </w:r>
    </w:p>
    <w:p w:rsidR="0003710B" w:rsidP="00991B37" w:rsidRDefault="0003710B" w14:paraId="24A4E0B0" w14:textId="77777777">
      <w:pPr>
        <w:rPr>
          <w:szCs w:val="18"/>
        </w:rPr>
      </w:pPr>
    </w:p>
    <w:p w:rsidR="0003710B" w:rsidP="00991B37" w:rsidRDefault="0003710B" w14:paraId="644C78F5" w14:textId="1A084C73">
      <w:r w:rsidRPr="00345021">
        <w:rPr>
          <w:szCs w:val="18"/>
        </w:rPr>
        <w:t>Met deze wijzigingen borg</w:t>
      </w:r>
      <w:r>
        <w:rPr>
          <w:szCs w:val="18"/>
        </w:rPr>
        <w:t>t</w:t>
      </w:r>
      <w:r w:rsidRPr="00345021">
        <w:rPr>
          <w:szCs w:val="18"/>
        </w:rPr>
        <w:t xml:space="preserve"> </w:t>
      </w:r>
      <w:r>
        <w:rPr>
          <w:szCs w:val="18"/>
        </w:rPr>
        <w:t xml:space="preserve">het kabinet </w:t>
      </w:r>
      <w:r w:rsidRPr="00345021">
        <w:rPr>
          <w:szCs w:val="18"/>
        </w:rPr>
        <w:t xml:space="preserve">dat </w:t>
      </w:r>
      <w:r>
        <w:rPr>
          <w:szCs w:val="18"/>
        </w:rPr>
        <w:t xml:space="preserve">de </w:t>
      </w:r>
      <w:r w:rsidRPr="00345021">
        <w:rPr>
          <w:szCs w:val="18"/>
        </w:rPr>
        <w:t>Nederlandse energieonafhankelijkheid</w:t>
      </w:r>
      <w:r>
        <w:t xml:space="preserve"> en leveringszekerheid, evenals de verduurzaming van de Nederlandse energieproductie, voortgezet kan worden door de ontwikkeling van windenergie op zee.</w:t>
      </w:r>
    </w:p>
    <w:p w:rsidR="0003710B" w:rsidP="00991B37" w:rsidRDefault="0003710B" w14:paraId="64C9319C" w14:textId="77777777"/>
    <w:p w:rsidR="0003710B" w:rsidP="00991B37" w:rsidRDefault="0003710B" w14:paraId="15810903" w14:textId="77777777"/>
    <w:p w:rsidR="00991B37" w:rsidP="00991B37" w:rsidRDefault="00991B37" w14:paraId="39C7B5C5" w14:textId="77777777"/>
    <w:p w:rsidR="00FB0D01" w:rsidP="00991B37" w:rsidRDefault="00FB0D01" w14:paraId="4B31CF99" w14:textId="77777777">
      <w:pPr>
        <w:rPr>
          <w:szCs w:val="18"/>
        </w:rPr>
      </w:pPr>
    </w:p>
    <w:p w:rsidR="00FB0D01" w:rsidP="00991B37" w:rsidRDefault="00FB0D01" w14:paraId="205EF9D1" w14:textId="77777777">
      <w:pPr>
        <w:rPr>
          <w:szCs w:val="18"/>
        </w:rPr>
      </w:pPr>
    </w:p>
    <w:p w:rsidRPr="00230238" w:rsidR="0003710B" w:rsidP="00991B37" w:rsidRDefault="0003710B" w14:paraId="267FFD37" w14:textId="492EB83E">
      <w:pPr>
        <w:rPr>
          <w:szCs w:val="18"/>
        </w:rPr>
      </w:pPr>
      <w:r w:rsidRPr="005461DA">
        <w:rPr>
          <w:szCs w:val="18"/>
        </w:rPr>
        <w:t>Sophie Hermans</w:t>
      </w:r>
    </w:p>
    <w:p w:rsidRPr="002822CA" w:rsidR="00340ECA" w:rsidP="00991B37" w:rsidRDefault="0003710B" w14:paraId="1675825E" w14:textId="393A8260">
      <w:r>
        <w:rPr>
          <w:szCs w:val="18"/>
        </w:rPr>
        <w:t>Minister van Klimaat en Groene Groei</w:t>
      </w:r>
    </w:p>
    <w:sectPr w:rsidRPr="002822CA" w:rsidR="00340ECA"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4278" w14:textId="77777777" w:rsidR="00B013C2" w:rsidRDefault="00B013C2">
      <w:r>
        <w:separator/>
      </w:r>
    </w:p>
    <w:p w14:paraId="457FA1CD" w14:textId="77777777" w:rsidR="00B013C2" w:rsidRDefault="00B013C2"/>
  </w:endnote>
  <w:endnote w:type="continuationSeparator" w:id="0">
    <w:p w14:paraId="5CA28213" w14:textId="77777777" w:rsidR="00B013C2" w:rsidRDefault="00B013C2">
      <w:r>
        <w:continuationSeparator/>
      </w:r>
    </w:p>
    <w:p w14:paraId="6165017F" w14:textId="77777777" w:rsidR="00B013C2" w:rsidRDefault="00B01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2528" w14:textId="11EA1779"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A1F47" w14:paraId="6A2816A5" w14:textId="77777777" w:rsidTr="006D1737">
      <w:trPr>
        <w:trHeight w:hRule="exact" w:val="240"/>
      </w:trPr>
      <w:tc>
        <w:tcPr>
          <w:tcW w:w="7601" w:type="dxa"/>
          <w:shd w:val="clear" w:color="auto" w:fill="auto"/>
        </w:tcPr>
        <w:p w14:paraId="32231CF1" w14:textId="77777777" w:rsidR="006D1737" w:rsidRDefault="006D1737" w:rsidP="006D1737">
          <w:pPr>
            <w:pStyle w:val="Huisstijl-Rubricering"/>
          </w:pPr>
        </w:p>
      </w:tc>
      <w:tc>
        <w:tcPr>
          <w:tcW w:w="2156" w:type="dxa"/>
        </w:tcPr>
        <w:p w14:paraId="081A16E1" w14:textId="75B1E655" w:rsidR="006D1737" w:rsidRPr="00645414" w:rsidRDefault="00590A97"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012695">
              <w:t>3</w:t>
            </w:r>
          </w:fldSimple>
          <w:r w:rsidRPr="00ED539E">
            <w:rPr>
              <w:rStyle w:val="Huisstijl-GegevenCharChar"/>
            </w:rPr>
            <w:t xml:space="preserve"> </w:t>
          </w:r>
          <w:r w:rsidRPr="00ED539E">
            <w:t xml:space="preserve"> </w:t>
          </w:r>
        </w:p>
      </w:tc>
      <w:tc>
        <w:tcPr>
          <w:tcW w:w="2156" w:type="dxa"/>
        </w:tcPr>
        <w:p w14:paraId="6BEC7A98" w14:textId="77777777" w:rsidR="006D1737" w:rsidRPr="00645414" w:rsidRDefault="00590A97" w:rsidP="006D1737">
          <w:pPr>
            <w:pStyle w:val="Huisstijl-Paginanummering"/>
          </w:pPr>
          <w:r w:rsidRPr="00645414">
            <w:t xml:space="preserve"> </w:t>
          </w:r>
        </w:p>
      </w:tc>
    </w:tr>
  </w:tbl>
  <w:p w14:paraId="1EF9BAD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A1F47" w14:paraId="75C436E4" w14:textId="77777777" w:rsidTr="00CA6A25">
      <w:trPr>
        <w:trHeight w:hRule="exact" w:val="240"/>
      </w:trPr>
      <w:tc>
        <w:tcPr>
          <w:tcW w:w="7601" w:type="dxa"/>
          <w:shd w:val="clear" w:color="auto" w:fill="auto"/>
        </w:tcPr>
        <w:p w14:paraId="2369DECA" w14:textId="67BE7DB9" w:rsidR="00527BD4" w:rsidRDefault="00527BD4" w:rsidP="008C356D">
          <w:pPr>
            <w:pStyle w:val="Huisstijl-Rubricering"/>
          </w:pPr>
        </w:p>
      </w:tc>
      <w:tc>
        <w:tcPr>
          <w:tcW w:w="2170" w:type="dxa"/>
        </w:tcPr>
        <w:p w14:paraId="2F94AD2C" w14:textId="01778FB6" w:rsidR="00527BD4" w:rsidRPr="00ED539E" w:rsidRDefault="00590A97"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012695">
              <w:t>3</w:t>
            </w:r>
          </w:fldSimple>
        </w:p>
      </w:tc>
    </w:tr>
  </w:tbl>
  <w:p w14:paraId="037AB4BB" w14:textId="77777777" w:rsidR="00527BD4" w:rsidRPr="00BC3B53" w:rsidRDefault="00527BD4" w:rsidP="008C356D">
    <w:pPr>
      <w:pStyle w:val="Voettekst"/>
      <w:spacing w:line="240" w:lineRule="auto"/>
      <w:rPr>
        <w:sz w:val="2"/>
        <w:szCs w:val="2"/>
      </w:rPr>
    </w:pPr>
  </w:p>
  <w:p w14:paraId="15740CA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DFD1" w14:textId="77777777" w:rsidR="00B013C2" w:rsidRDefault="00B013C2">
      <w:r>
        <w:separator/>
      </w:r>
    </w:p>
    <w:p w14:paraId="0FFB178A" w14:textId="77777777" w:rsidR="00B013C2" w:rsidRDefault="00B013C2"/>
  </w:footnote>
  <w:footnote w:type="continuationSeparator" w:id="0">
    <w:p w14:paraId="028ABEAA" w14:textId="77777777" w:rsidR="00B013C2" w:rsidRDefault="00B013C2">
      <w:r>
        <w:continuationSeparator/>
      </w:r>
    </w:p>
    <w:p w14:paraId="1FC12693" w14:textId="77777777" w:rsidR="00B013C2" w:rsidRDefault="00B013C2"/>
  </w:footnote>
  <w:footnote w:id="1">
    <w:p w14:paraId="0D5B576A" w14:textId="4335911C" w:rsidR="0003710B" w:rsidRPr="005E6E68" w:rsidRDefault="0003710B" w:rsidP="0003710B">
      <w:pPr>
        <w:pStyle w:val="Voetnoottekst"/>
        <w:rPr>
          <w:szCs w:val="13"/>
        </w:rPr>
      </w:pPr>
      <w:r w:rsidRPr="005E6E68">
        <w:rPr>
          <w:rStyle w:val="Voetnootmarkering"/>
          <w:szCs w:val="13"/>
        </w:rPr>
        <w:footnoteRef/>
      </w:r>
      <w:r w:rsidRPr="005E6E68">
        <w:rPr>
          <w:szCs w:val="13"/>
        </w:rPr>
        <w:t xml:space="preserve"> Kamerstuk</w:t>
      </w:r>
      <w:r w:rsidR="00C42BD0">
        <w:rPr>
          <w:szCs w:val="13"/>
        </w:rPr>
        <w:t>ken II</w:t>
      </w:r>
      <w:r w:rsidRPr="005E6E68">
        <w:rPr>
          <w:szCs w:val="13"/>
        </w:rPr>
        <w:t xml:space="preserve"> </w:t>
      </w:r>
      <w:r w:rsidR="00C42BD0">
        <w:rPr>
          <w:szCs w:val="13"/>
        </w:rPr>
        <w:t xml:space="preserve">2023/24, </w:t>
      </w:r>
      <w:r w:rsidRPr="005E6E68">
        <w:rPr>
          <w:szCs w:val="13"/>
        </w:rPr>
        <w:t>33561, nr. 63</w:t>
      </w:r>
      <w:r w:rsidR="00C42BD0">
        <w:rPr>
          <w:szCs w:val="13"/>
        </w:rPr>
        <w:t>, p.4</w:t>
      </w:r>
    </w:p>
  </w:footnote>
  <w:footnote w:id="2">
    <w:p w14:paraId="04353722" w14:textId="1A25F712" w:rsidR="0003710B" w:rsidRDefault="0003710B" w:rsidP="0003710B">
      <w:pPr>
        <w:pStyle w:val="Voetnoottekst"/>
      </w:pPr>
      <w:r>
        <w:rPr>
          <w:rStyle w:val="Voetnootmarkering"/>
        </w:rPr>
        <w:footnoteRef/>
      </w:r>
      <w:r>
        <w:t xml:space="preserve"> Kamerstuk</w:t>
      </w:r>
      <w:r w:rsidR="00C42BD0">
        <w:t>ken II 2023/24</w:t>
      </w:r>
      <w:r>
        <w:t xml:space="preserve"> </w:t>
      </w:r>
      <w:r w:rsidRPr="00F013F0">
        <w:t>33</w:t>
      </w:r>
      <w:r>
        <w:t xml:space="preserve"> </w:t>
      </w:r>
      <w:r w:rsidRPr="00F013F0">
        <w:t>561</w:t>
      </w:r>
      <w:r w:rsidR="00C42BD0">
        <w:t>,</w:t>
      </w:r>
      <w:r>
        <w:t xml:space="preserve"> nr. </w:t>
      </w:r>
      <w:r w:rsidRPr="00F013F0">
        <w:t>61</w:t>
      </w:r>
      <w:r w:rsidR="00C42BD0">
        <w:t>, p. 3</w:t>
      </w:r>
    </w:p>
  </w:footnote>
  <w:footnote w:id="3">
    <w:p w14:paraId="0890BA9E" w14:textId="51574E65" w:rsidR="0003710B" w:rsidRDefault="0003710B" w:rsidP="0003710B">
      <w:pPr>
        <w:pStyle w:val="Voetnoottekst"/>
      </w:pPr>
      <w:r>
        <w:rPr>
          <w:rStyle w:val="Voetnootmarkering"/>
        </w:rPr>
        <w:footnoteRef/>
      </w:r>
      <w:r>
        <w:t xml:space="preserve"> </w:t>
      </w:r>
      <w:r w:rsidR="00BE57EE">
        <w:t>Kamerstukken II 2024/25 28165, nr. 447, p. 4</w:t>
      </w:r>
    </w:p>
  </w:footnote>
  <w:footnote w:id="4">
    <w:p w14:paraId="0C8E3B2A" w14:textId="2F8A3CB2" w:rsidR="0033360C" w:rsidRDefault="0033360C">
      <w:pPr>
        <w:pStyle w:val="Voetnoottekst"/>
      </w:pPr>
      <w:r>
        <w:rPr>
          <w:rStyle w:val="Voetnootmarkering"/>
        </w:rPr>
        <w:footnoteRef/>
      </w:r>
      <w:r>
        <w:t xml:space="preserve"> De Kamer is recent geïnformeerd over nettarieven in het kader van </w:t>
      </w:r>
      <w:r w:rsidR="00FB6035">
        <w:t>een</w:t>
      </w:r>
      <w:r>
        <w:t xml:space="preserve"> </w:t>
      </w:r>
      <w:r w:rsidR="001207C3">
        <w:t>i</w:t>
      </w:r>
      <w:r>
        <w:t>n</w:t>
      </w:r>
      <w:r w:rsidR="00FB6035">
        <w:t>ter</w:t>
      </w:r>
      <w:r>
        <w:t xml:space="preserve">departementaal </w:t>
      </w:r>
      <w:r w:rsidR="001207C3">
        <w:t>b</w:t>
      </w:r>
      <w:r>
        <w:t>eleidsonderzoek (IBO). Kamerstukken II 2024/25, 29023, nr. 567</w:t>
      </w:r>
    </w:p>
  </w:footnote>
  <w:footnote w:id="5">
    <w:p w14:paraId="3353F9C5" w14:textId="5B255F2F" w:rsidR="0003710B" w:rsidRDefault="0003710B" w:rsidP="0003710B">
      <w:pPr>
        <w:pStyle w:val="Voetnoottekst"/>
      </w:pPr>
      <w:r>
        <w:rPr>
          <w:rStyle w:val="Voetnootmarkering"/>
        </w:rPr>
        <w:footnoteRef/>
      </w:r>
      <w:r>
        <w:t xml:space="preserve"> </w:t>
      </w:r>
      <w:r w:rsidR="003E1E4B">
        <w:t>Kamerstukken II 2024/25, 35325, nr. 10</w:t>
      </w:r>
    </w:p>
  </w:footnote>
  <w:footnote w:id="6">
    <w:p w14:paraId="37A1C126" w14:textId="2A288163" w:rsidR="0003710B" w:rsidRPr="00F42635" w:rsidRDefault="0003710B" w:rsidP="0003710B">
      <w:pPr>
        <w:pStyle w:val="Voetnoottekst"/>
        <w:rPr>
          <w:szCs w:val="13"/>
        </w:rPr>
      </w:pPr>
      <w:r w:rsidRPr="00F42635">
        <w:rPr>
          <w:rStyle w:val="Voetnootmarkering"/>
          <w:szCs w:val="13"/>
        </w:rPr>
        <w:footnoteRef/>
      </w:r>
      <w:r w:rsidRPr="00F42635">
        <w:rPr>
          <w:szCs w:val="13"/>
        </w:rPr>
        <w:t xml:space="preserve"> Kamerstuk</w:t>
      </w:r>
      <w:r w:rsidR="00C42BD0">
        <w:rPr>
          <w:szCs w:val="13"/>
        </w:rPr>
        <w:t>ken II</w:t>
      </w:r>
      <w:r w:rsidRPr="00F42635">
        <w:rPr>
          <w:szCs w:val="13"/>
        </w:rPr>
        <w:t xml:space="preserve"> </w:t>
      </w:r>
      <w:r w:rsidR="00C42BD0">
        <w:rPr>
          <w:szCs w:val="13"/>
        </w:rPr>
        <w:t xml:space="preserve">2024/25, </w:t>
      </w:r>
      <w:r w:rsidRPr="00F42635">
        <w:rPr>
          <w:szCs w:val="13"/>
        </w:rPr>
        <w:t>2025Z00900</w:t>
      </w:r>
    </w:p>
  </w:footnote>
  <w:footnote w:id="7">
    <w:p w14:paraId="537BACB0" w14:textId="4DD937D2" w:rsidR="0003710B" w:rsidRDefault="0003710B" w:rsidP="0003710B">
      <w:pPr>
        <w:pStyle w:val="Voetnoottekst"/>
      </w:pPr>
      <w:r>
        <w:rPr>
          <w:rStyle w:val="Voetnootmarkering"/>
        </w:rPr>
        <w:footnoteRef/>
      </w:r>
      <w:r>
        <w:t xml:space="preserve"> </w:t>
      </w:r>
      <w:r>
        <w:rPr>
          <w:szCs w:val="13"/>
        </w:rPr>
        <w:t>Kamerstuk</w:t>
      </w:r>
      <w:r w:rsidR="00C42BD0">
        <w:rPr>
          <w:szCs w:val="13"/>
        </w:rPr>
        <w:t>ken II 2024/25</w:t>
      </w:r>
      <w:r>
        <w:rPr>
          <w:szCs w:val="13"/>
        </w:rPr>
        <w:t xml:space="preserve"> </w:t>
      </w:r>
      <w:r w:rsidRPr="00470695">
        <w:rPr>
          <w:szCs w:val="13"/>
        </w:rPr>
        <w:t>29826</w:t>
      </w:r>
      <w:r>
        <w:rPr>
          <w:szCs w:val="13"/>
        </w:rPr>
        <w:t xml:space="preserve">, nr. </w:t>
      </w:r>
      <w:r w:rsidRPr="00470695">
        <w:rPr>
          <w:szCs w:val="13"/>
        </w:rPr>
        <w:t>216</w:t>
      </w:r>
    </w:p>
  </w:footnote>
  <w:footnote w:id="8">
    <w:p w14:paraId="4A9CCCA1" w14:textId="434CE985" w:rsidR="0003710B" w:rsidRDefault="0003710B" w:rsidP="0003710B">
      <w:pPr>
        <w:pStyle w:val="Voetnoottekst"/>
      </w:pPr>
      <w:r>
        <w:rPr>
          <w:rStyle w:val="Voetnootmarkering"/>
        </w:rPr>
        <w:footnoteRef/>
      </w:r>
      <w:r>
        <w:t xml:space="preserve"> Kamerstuk</w:t>
      </w:r>
      <w:r w:rsidR="00C42BD0">
        <w:t>ken II 2024/25</w:t>
      </w:r>
      <w:r>
        <w:t xml:space="preserve"> </w:t>
      </w:r>
      <w:r w:rsidRPr="00954C93">
        <w:t>33561</w:t>
      </w:r>
      <w:r>
        <w:t xml:space="preserve">, nr. </w:t>
      </w:r>
      <w:r w:rsidRPr="00954C93">
        <w:t>67</w:t>
      </w:r>
      <w:r w:rsidR="00C42BD0">
        <w:t>,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A1F47" w14:paraId="528A93D4" w14:textId="77777777" w:rsidTr="00A50CF6">
      <w:tc>
        <w:tcPr>
          <w:tcW w:w="2156" w:type="dxa"/>
          <w:shd w:val="clear" w:color="auto" w:fill="auto"/>
        </w:tcPr>
        <w:p w14:paraId="6ABF9380" w14:textId="77777777" w:rsidR="00527BD4" w:rsidRPr="00624D22" w:rsidRDefault="00590A97" w:rsidP="00A50CF6">
          <w:pPr>
            <w:pStyle w:val="Huisstijl-Adres"/>
            <w:rPr>
              <w:b/>
            </w:rPr>
          </w:pPr>
          <w:r>
            <w:rPr>
              <w:b/>
            </w:rPr>
            <w:t>Klimaat en groene Groei</w:t>
          </w:r>
        </w:p>
      </w:tc>
    </w:tr>
    <w:tr w:rsidR="00AA1F47" w14:paraId="6595A3EF" w14:textId="77777777" w:rsidTr="00A50CF6">
      <w:trPr>
        <w:trHeight w:hRule="exact" w:val="200"/>
      </w:trPr>
      <w:tc>
        <w:tcPr>
          <w:tcW w:w="2156" w:type="dxa"/>
          <w:shd w:val="clear" w:color="auto" w:fill="auto"/>
        </w:tcPr>
        <w:p w14:paraId="29560F4C" w14:textId="77777777" w:rsidR="00527BD4" w:rsidRPr="005819CE" w:rsidRDefault="00527BD4" w:rsidP="00A50CF6"/>
      </w:tc>
    </w:tr>
    <w:tr w:rsidR="00AA1F47" w14:paraId="067B22F7" w14:textId="77777777" w:rsidTr="00502512">
      <w:trPr>
        <w:trHeight w:hRule="exact" w:val="774"/>
      </w:trPr>
      <w:tc>
        <w:tcPr>
          <w:tcW w:w="2156" w:type="dxa"/>
          <w:shd w:val="clear" w:color="auto" w:fill="auto"/>
        </w:tcPr>
        <w:p w14:paraId="38BEF30C" w14:textId="77777777" w:rsidR="00527BD4" w:rsidRDefault="00527BD4" w:rsidP="003A5290">
          <w:pPr>
            <w:pStyle w:val="Huisstijl-Kopje"/>
          </w:pPr>
        </w:p>
        <w:p w14:paraId="107EEA6E" w14:textId="77777777" w:rsidR="00502512" w:rsidRPr="00502512" w:rsidRDefault="00590A97" w:rsidP="003A5290">
          <w:pPr>
            <w:pStyle w:val="Huisstijl-Kopje"/>
            <w:rPr>
              <w:b w:val="0"/>
            </w:rPr>
          </w:pPr>
          <w:r>
            <w:rPr>
              <w:b w:val="0"/>
            </w:rPr>
            <w:t>KGG</w:t>
          </w:r>
          <w:r w:rsidRPr="00502512">
            <w:rPr>
              <w:b w:val="0"/>
            </w:rPr>
            <w:t xml:space="preserve"> / </w:t>
          </w:r>
          <w:r>
            <w:rPr>
              <w:b w:val="0"/>
            </w:rPr>
            <w:t>97640484</w:t>
          </w:r>
        </w:p>
        <w:p w14:paraId="6FF433FB" w14:textId="77777777" w:rsidR="00527BD4" w:rsidRPr="005819CE" w:rsidRDefault="00527BD4" w:rsidP="00361A56">
          <w:pPr>
            <w:pStyle w:val="Huisstijl-Kopje"/>
          </w:pPr>
        </w:p>
      </w:tc>
    </w:tr>
  </w:tbl>
  <w:p w14:paraId="35570430" w14:textId="77777777" w:rsidR="00527BD4" w:rsidRDefault="00527BD4" w:rsidP="004F44C2"/>
  <w:p w14:paraId="181A2015" w14:textId="77777777" w:rsidR="00FB0D01" w:rsidRDefault="00FB0D01" w:rsidP="004F44C2"/>
  <w:p w14:paraId="5BA553D1" w14:textId="77777777" w:rsidR="00FB0D01" w:rsidRPr="00740712" w:rsidRDefault="00FB0D01" w:rsidP="004F44C2"/>
  <w:p w14:paraId="66486CB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1F47" w14:paraId="610BB10F" w14:textId="77777777" w:rsidTr="00751A6A">
      <w:trPr>
        <w:trHeight w:val="2636"/>
      </w:trPr>
      <w:tc>
        <w:tcPr>
          <w:tcW w:w="737" w:type="dxa"/>
          <w:shd w:val="clear" w:color="auto" w:fill="auto"/>
        </w:tcPr>
        <w:p w14:paraId="235B56F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22503B4" w14:textId="77777777" w:rsidR="00527BD4" w:rsidRDefault="00590A97"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4952AF3E" wp14:editId="0419C8C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18946DC9" w14:textId="77777777" w:rsidR="00527BD4" w:rsidRDefault="00527BD4" w:rsidP="00D0609E">
    <w:pPr>
      <w:framePr w:w="6340" w:h="2750" w:hRule="exact" w:hSpace="180" w:wrap="around" w:vAnchor="page" w:hAnchor="text" w:x="3873" w:y="-140"/>
    </w:pPr>
  </w:p>
  <w:p w14:paraId="114480A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A1F47" w14:paraId="1B41AA49" w14:textId="77777777" w:rsidTr="00A50CF6">
      <w:tc>
        <w:tcPr>
          <w:tcW w:w="2160" w:type="dxa"/>
          <w:shd w:val="clear" w:color="auto" w:fill="auto"/>
        </w:tcPr>
        <w:p w14:paraId="0C075458" w14:textId="77777777" w:rsidR="00527BD4" w:rsidRPr="00781DCA" w:rsidRDefault="00590A97" w:rsidP="00A50CF6">
          <w:pPr>
            <w:pStyle w:val="Huisstijl-Adres"/>
            <w:rPr>
              <w:b/>
            </w:rPr>
          </w:pPr>
          <w:r>
            <w:rPr>
              <w:b/>
            </w:rPr>
            <w:t>Klimaat en groene Groei</w:t>
          </w:r>
          <w:r w:rsidRPr="005819CE">
            <w:rPr>
              <w:b/>
            </w:rPr>
            <w:br/>
          </w:r>
        </w:p>
        <w:p w14:paraId="103B5BC2" w14:textId="77777777" w:rsidR="00527BD4" w:rsidRPr="00BE5ED9" w:rsidRDefault="00590A97" w:rsidP="00A50CF6">
          <w:pPr>
            <w:pStyle w:val="Huisstijl-Adres"/>
          </w:pPr>
          <w:r>
            <w:rPr>
              <w:b/>
            </w:rPr>
            <w:t>Bezoekadres</w:t>
          </w:r>
          <w:r>
            <w:rPr>
              <w:b/>
            </w:rPr>
            <w:br/>
          </w:r>
          <w:r>
            <w:t>Bezuidenhoutseweg 73</w:t>
          </w:r>
          <w:r w:rsidRPr="005819CE">
            <w:br/>
          </w:r>
          <w:r>
            <w:t>2594 AC Den Haag</w:t>
          </w:r>
        </w:p>
        <w:p w14:paraId="503BE643" w14:textId="77777777" w:rsidR="00EF495B" w:rsidRDefault="00590A97" w:rsidP="0098788A">
          <w:pPr>
            <w:pStyle w:val="Huisstijl-Adres"/>
          </w:pPr>
          <w:r>
            <w:rPr>
              <w:b/>
            </w:rPr>
            <w:t>Postadres</w:t>
          </w:r>
          <w:r>
            <w:rPr>
              <w:b/>
            </w:rPr>
            <w:br/>
          </w:r>
          <w:r>
            <w:t>Postbus 20401</w:t>
          </w:r>
          <w:r w:rsidRPr="005819CE">
            <w:br/>
            <w:t>2500 E</w:t>
          </w:r>
          <w:r>
            <w:t>K</w:t>
          </w:r>
          <w:r w:rsidRPr="005819CE">
            <w:t xml:space="preserve"> Den Haag</w:t>
          </w:r>
        </w:p>
        <w:p w14:paraId="24FD6871" w14:textId="77777777" w:rsidR="00EF495B" w:rsidRPr="005B3814" w:rsidRDefault="00590A97" w:rsidP="0098788A">
          <w:pPr>
            <w:pStyle w:val="Huisstijl-Adres"/>
          </w:pPr>
          <w:r>
            <w:rPr>
              <w:b/>
            </w:rPr>
            <w:t>Overheidsidentificatienr</w:t>
          </w:r>
          <w:r>
            <w:rPr>
              <w:b/>
            </w:rPr>
            <w:br/>
          </w:r>
          <w:r w:rsidR="00F323ED" w:rsidRPr="00F323ED">
            <w:t>00000001003214369000</w:t>
          </w:r>
        </w:p>
        <w:p w14:paraId="277DAC24" w14:textId="7426F999" w:rsidR="00527BD4" w:rsidRPr="00991B37" w:rsidRDefault="00590A97"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A1F47" w14:paraId="2EB4FAA9" w14:textId="77777777" w:rsidTr="00A50CF6">
      <w:trPr>
        <w:trHeight w:hRule="exact" w:val="200"/>
      </w:trPr>
      <w:tc>
        <w:tcPr>
          <w:tcW w:w="2160" w:type="dxa"/>
          <w:shd w:val="clear" w:color="auto" w:fill="auto"/>
        </w:tcPr>
        <w:p w14:paraId="412E77C1" w14:textId="77777777" w:rsidR="00527BD4" w:rsidRPr="00D71182" w:rsidRDefault="00527BD4" w:rsidP="00A50CF6">
          <w:pPr>
            <w:rPr>
              <w:lang w:val="fr-FR"/>
            </w:rPr>
          </w:pPr>
        </w:p>
      </w:tc>
    </w:tr>
    <w:tr w:rsidR="00AA1F47" w14:paraId="00DCF775" w14:textId="77777777" w:rsidTr="00A50CF6">
      <w:tc>
        <w:tcPr>
          <w:tcW w:w="2160" w:type="dxa"/>
          <w:shd w:val="clear" w:color="auto" w:fill="auto"/>
        </w:tcPr>
        <w:p w14:paraId="7000ED2C" w14:textId="77777777" w:rsidR="000C0163" w:rsidRPr="005819CE" w:rsidRDefault="00590A97" w:rsidP="000C0163">
          <w:pPr>
            <w:pStyle w:val="Huisstijl-Kopje"/>
          </w:pPr>
          <w:r>
            <w:t>Ons kenmerk</w:t>
          </w:r>
        </w:p>
        <w:p w14:paraId="4C868F68" w14:textId="29D7885E" w:rsidR="00527BD4" w:rsidRPr="005819CE" w:rsidRDefault="00590A97" w:rsidP="00991B37">
          <w:pPr>
            <w:pStyle w:val="Huisstijl-Gegeven"/>
          </w:pPr>
          <w:r>
            <w:t>KGG</w:t>
          </w:r>
          <w:r w:rsidR="00926AE2">
            <w:t xml:space="preserve"> / </w:t>
          </w:r>
          <w:r>
            <w:t>97640484</w:t>
          </w:r>
        </w:p>
        <w:p w14:paraId="613876D9" w14:textId="77777777" w:rsidR="00527BD4" w:rsidRPr="005819CE" w:rsidRDefault="00527BD4" w:rsidP="00A50CF6">
          <w:pPr>
            <w:pStyle w:val="Huisstijl-Gegeven"/>
          </w:pPr>
        </w:p>
        <w:p w14:paraId="4E345C84" w14:textId="77777777" w:rsidR="00527BD4" w:rsidRPr="005819CE" w:rsidRDefault="00590A97" w:rsidP="00A50CF6">
          <w:pPr>
            <w:pStyle w:val="Huisstijl-Kopje"/>
          </w:pPr>
          <w:r>
            <w:t>Bijlage(n)</w:t>
          </w:r>
        </w:p>
        <w:p w14:paraId="49CE0D31" w14:textId="74C573DF" w:rsidR="00527BD4" w:rsidRPr="005819CE" w:rsidRDefault="00991B37" w:rsidP="00A50CF6">
          <w:pPr>
            <w:pStyle w:val="Huisstijl-Gegeven"/>
          </w:pPr>
          <w:r>
            <w:t>1</w:t>
          </w:r>
        </w:p>
      </w:tc>
    </w:tr>
  </w:tbl>
  <w:p w14:paraId="380DF12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A1F47" w14:paraId="3AF38EF1" w14:textId="77777777" w:rsidTr="00C37826">
      <w:trPr>
        <w:trHeight w:val="400"/>
      </w:trPr>
      <w:tc>
        <w:tcPr>
          <w:tcW w:w="7371" w:type="dxa"/>
          <w:gridSpan w:val="2"/>
          <w:shd w:val="clear" w:color="auto" w:fill="auto"/>
        </w:tcPr>
        <w:p w14:paraId="09E896F3" w14:textId="77777777" w:rsidR="00527BD4" w:rsidRPr="00BC3B53" w:rsidRDefault="00590A97"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A1F47" w14:paraId="4A0D991B" w14:textId="77777777" w:rsidTr="00C37826">
      <w:tc>
        <w:tcPr>
          <w:tcW w:w="7371" w:type="dxa"/>
          <w:gridSpan w:val="2"/>
          <w:shd w:val="clear" w:color="auto" w:fill="auto"/>
        </w:tcPr>
        <w:p w14:paraId="2CBF82E7" w14:textId="77777777" w:rsidR="00527BD4" w:rsidRPr="00983E8F" w:rsidRDefault="00527BD4" w:rsidP="00A50CF6">
          <w:pPr>
            <w:pStyle w:val="Huisstijl-Rubricering"/>
          </w:pPr>
        </w:p>
      </w:tc>
    </w:tr>
    <w:tr w:rsidR="00AA1F47" w14:paraId="03040164" w14:textId="77777777" w:rsidTr="00C37826">
      <w:trPr>
        <w:trHeight w:hRule="exact" w:val="2440"/>
      </w:trPr>
      <w:tc>
        <w:tcPr>
          <w:tcW w:w="7371" w:type="dxa"/>
          <w:gridSpan w:val="2"/>
          <w:shd w:val="clear" w:color="auto" w:fill="auto"/>
        </w:tcPr>
        <w:p w14:paraId="06B77BB3" w14:textId="77777777" w:rsidR="00527BD4" w:rsidRDefault="00590A97" w:rsidP="00A50CF6">
          <w:pPr>
            <w:pStyle w:val="Huisstijl-NAW"/>
          </w:pPr>
          <w:r>
            <w:t xml:space="preserve">De Voorzitter van de Tweede Kamer </w:t>
          </w:r>
        </w:p>
        <w:p w14:paraId="4811422A" w14:textId="77777777" w:rsidR="00D87195" w:rsidRDefault="00590A97" w:rsidP="00D87195">
          <w:pPr>
            <w:pStyle w:val="Huisstijl-NAW"/>
          </w:pPr>
          <w:r>
            <w:t>der Staten-Generaal</w:t>
          </w:r>
        </w:p>
        <w:p w14:paraId="592431AE" w14:textId="77777777" w:rsidR="00EA0F13" w:rsidRDefault="00590A97" w:rsidP="00EA0F13">
          <w:pPr>
            <w:rPr>
              <w:szCs w:val="18"/>
            </w:rPr>
          </w:pPr>
          <w:r>
            <w:rPr>
              <w:szCs w:val="18"/>
            </w:rPr>
            <w:t>Prinses Irenestraat 6</w:t>
          </w:r>
        </w:p>
        <w:p w14:paraId="5C92B3AE" w14:textId="77777777" w:rsidR="00985E56" w:rsidRDefault="00590A97" w:rsidP="00EA0F13">
          <w:r>
            <w:rPr>
              <w:szCs w:val="18"/>
            </w:rPr>
            <w:t>2595 BD  DEN HAAG</w:t>
          </w:r>
        </w:p>
      </w:tc>
    </w:tr>
    <w:tr w:rsidR="00AA1F47" w14:paraId="22C564A0" w14:textId="77777777" w:rsidTr="00C37826">
      <w:trPr>
        <w:trHeight w:hRule="exact" w:val="400"/>
      </w:trPr>
      <w:tc>
        <w:tcPr>
          <w:tcW w:w="7371" w:type="dxa"/>
          <w:gridSpan w:val="2"/>
          <w:shd w:val="clear" w:color="auto" w:fill="auto"/>
        </w:tcPr>
        <w:p w14:paraId="4BB6116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A1F47" w14:paraId="529FF2D2" w14:textId="77777777" w:rsidTr="00C37826">
      <w:trPr>
        <w:trHeight w:val="240"/>
      </w:trPr>
      <w:tc>
        <w:tcPr>
          <w:tcW w:w="709" w:type="dxa"/>
          <w:shd w:val="clear" w:color="auto" w:fill="auto"/>
        </w:tcPr>
        <w:p w14:paraId="09B202F4" w14:textId="77777777" w:rsidR="00527BD4" w:rsidRPr="00C37826" w:rsidRDefault="00590A97" w:rsidP="00A50CF6">
          <w:pPr>
            <w:rPr>
              <w:szCs w:val="18"/>
            </w:rPr>
          </w:pPr>
          <w:r>
            <w:rPr>
              <w:szCs w:val="18"/>
            </w:rPr>
            <w:t>Datum</w:t>
          </w:r>
        </w:p>
      </w:tc>
      <w:tc>
        <w:tcPr>
          <w:tcW w:w="6662" w:type="dxa"/>
          <w:shd w:val="clear" w:color="auto" w:fill="auto"/>
        </w:tcPr>
        <w:p w14:paraId="0D28004B" w14:textId="0A28092B" w:rsidR="00527BD4" w:rsidRPr="007709EF" w:rsidRDefault="00617CFE" w:rsidP="00A50CF6">
          <w:r>
            <w:t>26 mei 2025</w:t>
          </w:r>
        </w:p>
      </w:tc>
    </w:tr>
    <w:tr w:rsidR="00AA1F47" w14:paraId="58313CE4" w14:textId="77777777" w:rsidTr="00C37826">
      <w:trPr>
        <w:trHeight w:val="240"/>
      </w:trPr>
      <w:tc>
        <w:tcPr>
          <w:tcW w:w="709" w:type="dxa"/>
          <w:shd w:val="clear" w:color="auto" w:fill="auto"/>
        </w:tcPr>
        <w:p w14:paraId="5D333742" w14:textId="77777777" w:rsidR="00527BD4" w:rsidRPr="00C37826" w:rsidRDefault="00590A97" w:rsidP="00A50CF6">
          <w:pPr>
            <w:rPr>
              <w:szCs w:val="18"/>
            </w:rPr>
          </w:pPr>
          <w:r>
            <w:rPr>
              <w:szCs w:val="18"/>
            </w:rPr>
            <w:t>Betreft</w:t>
          </w:r>
        </w:p>
      </w:tc>
      <w:tc>
        <w:tcPr>
          <w:tcW w:w="6662" w:type="dxa"/>
          <w:shd w:val="clear" w:color="auto" w:fill="auto"/>
        </w:tcPr>
        <w:p w14:paraId="10DBB812" w14:textId="77777777" w:rsidR="00527BD4" w:rsidRPr="007709EF" w:rsidRDefault="00590A97" w:rsidP="00A50CF6">
          <w:r>
            <w:t>Aanpassing ontwikkelkader windenergie op zee</w:t>
          </w:r>
        </w:p>
      </w:tc>
    </w:tr>
  </w:tbl>
  <w:p w14:paraId="73F9D31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120796">
      <w:start w:val="1"/>
      <w:numFmt w:val="bullet"/>
      <w:pStyle w:val="Lijstopsomteken"/>
      <w:lvlText w:val="•"/>
      <w:lvlJc w:val="left"/>
      <w:pPr>
        <w:tabs>
          <w:tab w:val="num" w:pos="227"/>
        </w:tabs>
        <w:ind w:left="227" w:hanging="227"/>
      </w:pPr>
      <w:rPr>
        <w:rFonts w:ascii="Verdana" w:hAnsi="Verdana" w:hint="default"/>
        <w:sz w:val="18"/>
        <w:szCs w:val="18"/>
      </w:rPr>
    </w:lvl>
    <w:lvl w:ilvl="1" w:tplc="815E6CDC" w:tentative="1">
      <w:start w:val="1"/>
      <w:numFmt w:val="bullet"/>
      <w:lvlText w:val="o"/>
      <w:lvlJc w:val="left"/>
      <w:pPr>
        <w:tabs>
          <w:tab w:val="num" w:pos="1440"/>
        </w:tabs>
        <w:ind w:left="1440" w:hanging="360"/>
      </w:pPr>
      <w:rPr>
        <w:rFonts w:ascii="Courier New" w:hAnsi="Courier New" w:cs="Courier New" w:hint="default"/>
      </w:rPr>
    </w:lvl>
    <w:lvl w:ilvl="2" w:tplc="B5065334" w:tentative="1">
      <w:start w:val="1"/>
      <w:numFmt w:val="bullet"/>
      <w:lvlText w:val=""/>
      <w:lvlJc w:val="left"/>
      <w:pPr>
        <w:tabs>
          <w:tab w:val="num" w:pos="2160"/>
        </w:tabs>
        <w:ind w:left="2160" w:hanging="360"/>
      </w:pPr>
      <w:rPr>
        <w:rFonts w:ascii="Wingdings" w:hAnsi="Wingdings" w:hint="default"/>
      </w:rPr>
    </w:lvl>
    <w:lvl w:ilvl="3" w:tplc="6D6C4B40" w:tentative="1">
      <w:start w:val="1"/>
      <w:numFmt w:val="bullet"/>
      <w:lvlText w:val=""/>
      <w:lvlJc w:val="left"/>
      <w:pPr>
        <w:tabs>
          <w:tab w:val="num" w:pos="2880"/>
        </w:tabs>
        <w:ind w:left="2880" w:hanging="360"/>
      </w:pPr>
      <w:rPr>
        <w:rFonts w:ascii="Symbol" w:hAnsi="Symbol" w:hint="default"/>
      </w:rPr>
    </w:lvl>
    <w:lvl w:ilvl="4" w:tplc="6958D5A2" w:tentative="1">
      <w:start w:val="1"/>
      <w:numFmt w:val="bullet"/>
      <w:lvlText w:val="o"/>
      <w:lvlJc w:val="left"/>
      <w:pPr>
        <w:tabs>
          <w:tab w:val="num" w:pos="3600"/>
        </w:tabs>
        <w:ind w:left="3600" w:hanging="360"/>
      </w:pPr>
      <w:rPr>
        <w:rFonts w:ascii="Courier New" w:hAnsi="Courier New" w:cs="Courier New" w:hint="default"/>
      </w:rPr>
    </w:lvl>
    <w:lvl w:ilvl="5" w:tplc="4A5E7344" w:tentative="1">
      <w:start w:val="1"/>
      <w:numFmt w:val="bullet"/>
      <w:lvlText w:val=""/>
      <w:lvlJc w:val="left"/>
      <w:pPr>
        <w:tabs>
          <w:tab w:val="num" w:pos="4320"/>
        </w:tabs>
        <w:ind w:left="4320" w:hanging="360"/>
      </w:pPr>
      <w:rPr>
        <w:rFonts w:ascii="Wingdings" w:hAnsi="Wingdings" w:hint="default"/>
      </w:rPr>
    </w:lvl>
    <w:lvl w:ilvl="6" w:tplc="87D47122" w:tentative="1">
      <w:start w:val="1"/>
      <w:numFmt w:val="bullet"/>
      <w:lvlText w:val=""/>
      <w:lvlJc w:val="left"/>
      <w:pPr>
        <w:tabs>
          <w:tab w:val="num" w:pos="5040"/>
        </w:tabs>
        <w:ind w:left="5040" w:hanging="360"/>
      </w:pPr>
      <w:rPr>
        <w:rFonts w:ascii="Symbol" w:hAnsi="Symbol" w:hint="default"/>
      </w:rPr>
    </w:lvl>
    <w:lvl w:ilvl="7" w:tplc="C9A43DF0" w:tentative="1">
      <w:start w:val="1"/>
      <w:numFmt w:val="bullet"/>
      <w:lvlText w:val="o"/>
      <w:lvlJc w:val="left"/>
      <w:pPr>
        <w:tabs>
          <w:tab w:val="num" w:pos="5760"/>
        </w:tabs>
        <w:ind w:left="5760" w:hanging="360"/>
      </w:pPr>
      <w:rPr>
        <w:rFonts w:ascii="Courier New" w:hAnsi="Courier New" w:cs="Courier New" w:hint="default"/>
      </w:rPr>
    </w:lvl>
    <w:lvl w:ilvl="8" w:tplc="6D1417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E328FCC">
      <w:start w:val="1"/>
      <w:numFmt w:val="bullet"/>
      <w:pStyle w:val="Lijstopsomteken2"/>
      <w:lvlText w:val="–"/>
      <w:lvlJc w:val="left"/>
      <w:pPr>
        <w:tabs>
          <w:tab w:val="num" w:pos="227"/>
        </w:tabs>
        <w:ind w:left="227" w:firstLine="0"/>
      </w:pPr>
      <w:rPr>
        <w:rFonts w:ascii="Verdana" w:hAnsi="Verdana" w:hint="default"/>
      </w:rPr>
    </w:lvl>
    <w:lvl w:ilvl="1" w:tplc="F7865312" w:tentative="1">
      <w:start w:val="1"/>
      <w:numFmt w:val="bullet"/>
      <w:lvlText w:val="o"/>
      <w:lvlJc w:val="left"/>
      <w:pPr>
        <w:tabs>
          <w:tab w:val="num" w:pos="1440"/>
        </w:tabs>
        <w:ind w:left="1440" w:hanging="360"/>
      </w:pPr>
      <w:rPr>
        <w:rFonts w:ascii="Courier New" w:hAnsi="Courier New" w:cs="Courier New" w:hint="default"/>
      </w:rPr>
    </w:lvl>
    <w:lvl w:ilvl="2" w:tplc="57C6D0EA" w:tentative="1">
      <w:start w:val="1"/>
      <w:numFmt w:val="bullet"/>
      <w:lvlText w:val=""/>
      <w:lvlJc w:val="left"/>
      <w:pPr>
        <w:tabs>
          <w:tab w:val="num" w:pos="2160"/>
        </w:tabs>
        <w:ind w:left="2160" w:hanging="360"/>
      </w:pPr>
      <w:rPr>
        <w:rFonts w:ascii="Wingdings" w:hAnsi="Wingdings" w:hint="default"/>
      </w:rPr>
    </w:lvl>
    <w:lvl w:ilvl="3" w:tplc="2C58A01C" w:tentative="1">
      <w:start w:val="1"/>
      <w:numFmt w:val="bullet"/>
      <w:lvlText w:val=""/>
      <w:lvlJc w:val="left"/>
      <w:pPr>
        <w:tabs>
          <w:tab w:val="num" w:pos="2880"/>
        </w:tabs>
        <w:ind w:left="2880" w:hanging="360"/>
      </w:pPr>
      <w:rPr>
        <w:rFonts w:ascii="Symbol" w:hAnsi="Symbol" w:hint="default"/>
      </w:rPr>
    </w:lvl>
    <w:lvl w:ilvl="4" w:tplc="CA1E5A58" w:tentative="1">
      <w:start w:val="1"/>
      <w:numFmt w:val="bullet"/>
      <w:lvlText w:val="o"/>
      <w:lvlJc w:val="left"/>
      <w:pPr>
        <w:tabs>
          <w:tab w:val="num" w:pos="3600"/>
        </w:tabs>
        <w:ind w:left="3600" w:hanging="360"/>
      </w:pPr>
      <w:rPr>
        <w:rFonts w:ascii="Courier New" w:hAnsi="Courier New" w:cs="Courier New" w:hint="default"/>
      </w:rPr>
    </w:lvl>
    <w:lvl w:ilvl="5" w:tplc="377A9C12" w:tentative="1">
      <w:start w:val="1"/>
      <w:numFmt w:val="bullet"/>
      <w:lvlText w:val=""/>
      <w:lvlJc w:val="left"/>
      <w:pPr>
        <w:tabs>
          <w:tab w:val="num" w:pos="4320"/>
        </w:tabs>
        <w:ind w:left="4320" w:hanging="360"/>
      </w:pPr>
      <w:rPr>
        <w:rFonts w:ascii="Wingdings" w:hAnsi="Wingdings" w:hint="default"/>
      </w:rPr>
    </w:lvl>
    <w:lvl w:ilvl="6" w:tplc="E7A8B43E" w:tentative="1">
      <w:start w:val="1"/>
      <w:numFmt w:val="bullet"/>
      <w:lvlText w:val=""/>
      <w:lvlJc w:val="left"/>
      <w:pPr>
        <w:tabs>
          <w:tab w:val="num" w:pos="5040"/>
        </w:tabs>
        <w:ind w:left="5040" w:hanging="360"/>
      </w:pPr>
      <w:rPr>
        <w:rFonts w:ascii="Symbol" w:hAnsi="Symbol" w:hint="default"/>
      </w:rPr>
    </w:lvl>
    <w:lvl w:ilvl="7" w:tplc="4F3AC6C8" w:tentative="1">
      <w:start w:val="1"/>
      <w:numFmt w:val="bullet"/>
      <w:lvlText w:val="o"/>
      <w:lvlJc w:val="left"/>
      <w:pPr>
        <w:tabs>
          <w:tab w:val="num" w:pos="5760"/>
        </w:tabs>
        <w:ind w:left="5760" w:hanging="360"/>
      </w:pPr>
      <w:rPr>
        <w:rFonts w:ascii="Courier New" w:hAnsi="Courier New" w:cs="Courier New" w:hint="default"/>
      </w:rPr>
    </w:lvl>
    <w:lvl w:ilvl="8" w:tplc="886651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C6A0F"/>
    <w:multiLevelType w:val="hybridMultilevel"/>
    <w:tmpl w:val="FE9431B6"/>
    <w:lvl w:ilvl="0" w:tplc="C9C6245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1138DF26">
      <w:numFmt w:val="bullet"/>
      <w:lvlText w:val="-"/>
      <w:lvlJc w:val="left"/>
      <w:pPr>
        <w:ind w:left="720" w:hanging="360"/>
      </w:pPr>
      <w:rPr>
        <w:rFonts w:ascii="Calibri" w:eastAsia="Times New Roman" w:hAnsi="Calibri" w:cs="Calibri" w:hint="default"/>
      </w:rPr>
    </w:lvl>
    <w:lvl w:ilvl="1" w:tplc="5DA0402E">
      <w:start w:val="1"/>
      <w:numFmt w:val="bullet"/>
      <w:lvlText w:val="o"/>
      <w:lvlJc w:val="left"/>
      <w:pPr>
        <w:ind w:left="1440" w:hanging="360"/>
      </w:pPr>
      <w:rPr>
        <w:rFonts w:ascii="Courier New" w:hAnsi="Courier New" w:cs="Courier New" w:hint="default"/>
      </w:rPr>
    </w:lvl>
    <w:lvl w:ilvl="2" w:tplc="7C809FD2">
      <w:start w:val="1"/>
      <w:numFmt w:val="bullet"/>
      <w:lvlText w:val=""/>
      <w:lvlJc w:val="left"/>
      <w:pPr>
        <w:ind w:left="2160" w:hanging="360"/>
      </w:pPr>
      <w:rPr>
        <w:rFonts w:ascii="Wingdings" w:hAnsi="Wingdings" w:hint="default"/>
      </w:rPr>
    </w:lvl>
    <w:lvl w:ilvl="3" w:tplc="B906A492">
      <w:start w:val="1"/>
      <w:numFmt w:val="bullet"/>
      <w:lvlText w:val=""/>
      <w:lvlJc w:val="left"/>
      <w:pPr>
        <w:ind w:left="2880" w:hanging="360"/>
      </w:pPr>
      <w:rPr>
        <w:rFonts w:ascii="Symbol" w:hAnsi="Symbol" w:hint="default"/>
      </w:rPr>
    </w:lvl>
    <w:lvl w:ilvl="4" w:tplc="E1D8B500">
      <w:start w:val="1"/>
      <w:numFmt w:val="bullet"/>
      <w:lvlText w:val="o"/>
      <w:lvlJc w:val="left"/>
      <w:pPr>
        <w:ind w:left="3600" w:hanging="360"/>
      </w:pPr>
      <w:rPr>
        <w:rFonts w:ascii="Courier New" w:hAnsi="Courier New" w:cs="Courier New" w:hint="default"/>
      </w:rPr>
    </w:lvl>
    <w:lvl w:ilvl="5" w:tplc="5D46CECA">
      <w:start w:val="1"/>
      <w:numFmt w:val="bullet"/>
      <w:lvlText w:val=""/>
      <w:lvlJc w:val="left"/>
      <w:pPr>
        <w:ind w:left="4320" w:hanging="360"/>
      </w:pPr>
      <w:rPr>
        <w:rFonts w:ascii="Wingdings" w:hAnsi="Wingdings" w:hint="default"/>
      </w:rPr>
    </w:lvl>
    <w:lvl w:ilvl="6" w:tplc="AD3433BC">
      <w:start w:val="1"/>
      <w:numFmt w:val="bullet"/>
      <w:lvlText w:val=""/>
      <w:lvlJc w:val="left"/>
      <w:pPr>
        <w:ind w:left="5040" w:hanging="360"/>
      </w:pPr>
      <w:rPr>
        <w:rFonts w:ascii="Symbol" w:hAnsi="Symbol" w:hint="default"/>
      </w:rPr>
    </w:lvl>
    <w:lvl w:ilvl="7" w:tplc="425051F2">
      <w:start w:val="1"/>
      <w:numFmt w:val="bullet"/>
      <w:lvlText w:val="o"/>
      <w:lvlJc w:val="left"/>
      <w:pPr>
        <w:ind w:left="5760" w:hanging="360"/>
      </w:pPr>
      <w:rPr>
        <w:rFonts w:ascii="Courier New" w:hAnsi="Courier New" w:cs="Courier New" w:hint="default"/>
      </w:rPr>
    </w:lvl>
    <w:lvl w:ilvl="8" w:tplc="1F3A4F90">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3490252">
    <w:abstractNumId w:val="10"/>
  </w:num>
  <w:num w:numId="2" w16cid:durableId="617100978">
    <w:abstractNumId w:val="7"/>
  </w:num>
  <w:num w:numId="3" w16cid:durableId="1592160533">
    <w:abstractNumId w:val="6"/>
  </w:num>
  <w:num w:numId="4" w16cid:durableId="909537894">
    <w:abstractNumId w:val="5"/>
  </w:num>
  <w:num w:numId="5" w16cid:durableId="1540624836">
    <w:abstractNumId w:val="4"/>
  </w:num>
  <w:num w:numId="6" w16cid:durableId="1838350743">
    <w:abstractNumId w:val="8"/>
  </w:num>
  <w:num w:numId="7" w16cid:durableId="1937519119">
    <w:abstractNumId w:val="3"/>
  </w:num>
  <w:num w:numId="8" w16cid:durableId="362823558">
    <w:abstractNumId w:val="2"/>
  </w:num>
  <w:num w:numId="9" w16cid:durableId="336738199">
    <w:abstractNumId w:val="1"/>
  </w:num>
  <w:num w:numId="10" w16cid:durableId="1755584025">
    <w:abstractNumId w:val="0"/>
  </w:num>
  <w:num w:numId="11" w16cid:durableId="1640264561">
    <w:abstractNumId w:val="9"/>
  </w:num>
  <w:num w:numId="12" w16cid:durableId="1963613949">
    <w:abstractNumId w:val="11"/>
  </w:num>
  <w:num w:numId="13" w16cid:durableId="717703020">
    <w:abstractNumId w:val="15"/>
  </w:num>
  <w:num w:numId="14" w16cid:durableId="1784887224">
    <w:abstractNumId w:val="12"/>
  </w:num>
  <w:num w:numId="15" w16cid:durableId="1751998097">
    <w:abstractNumId w:val="14"/>
  </w:num>
  <w:num w:numId="16" w16cid:durableId="113306040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695"/>
    <w:rsid w:val="00013862"/>
    <w:rsid w:val="00016012"/>
    <w:rsid w:val="00020189"/>
    <w:rsid w:val="00020EE4"/>
    <w:rsid w:val="00023E9A"/>
    <w:rsid w:val="00026FA9"/>
    <w:rsid w:val="00033CDD"/>
    <w:rsid w:val="00034A84"/>
    <w:rsid w:val="00035E67"/>
    <w:rsid w:val="000366F3"/>
    <w:rsid w:val="0003710B"/>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07C3"/>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4008"/>
    <w:rsid w:val="00185576"/>
    <w:rsid w:val="00185951"/>
    <w:rsid w:val="00194A58"/>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A1942"/>
    <w:rsid w:val="002B153C"/>
    <w:rsid w:val="002B2540"/>
    <w:rsid w:val="002B52FC"/>
    <w:rsid w:val="002C2830"/>
    <w:rsid w:val="002D001A"/>
    <w:rsid w:val="002D28E2"/>
    <w:rsid w:val="002D317B"/>
    <w:rsid w:val="002D3587"/>
    <w:rsid w:val="002D502D"/>
    <w:rsid w:val="002E0F69"/>
    <w:rsid w:val="002F5147"/>
    <w:rsid w:val="002F7ABD"/>
    <w:rsid w:val="0030029B"/>
    <w:rsid w:val="00312597"/>
    <w:rsid w:val="00327BA5"/>
    <w:rsid w:val="0033360C"/>
    <w:rsid w:val="00334154"/>
    <w:rsid w:val="003372C4"/>
    <w:rsid w:val="00340ECA"/>
    <w:rsid w:val="00341FA0"/>
    <w:rsid w:val="00344F3D"/>
    <w:rsid w:val="0034504A"/>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3696"/>
    <w:rsid w:val="00393963"/>
    <w:rsid w:val="00395575"/>
    <w:rsid w:val="003955ED"/>
    <w:rsid w:val="00395672"/>
    <w:rsid w:val="003A06C8"/>
    <w:rsid w:val="003A0D7C"/>
    <w:rsid w:val="003A5290"/>
    <w:rsid w:val="003B0155"/>
    <w:rsid w:val="003B45A8"/>
    <w:rsid w:val="003B7EE7"/>
    <w:rsid w:val="003C2CCB"/>
    <w:rsid w:val="003D39EC"/>
    <w:rsid w:val="003D5DED"/>
    <w:rsid w:val="003E1E4B"/>
    <w:rsid w:val="003E3DD5"/>
    <w:rsid w:val="003F07C6"/>
    <w:rsid w:val="003F1F6B"/>
    <w:rsid w:val="003F227F"/>
    <w:rsid w:val="003F3757"/>
    <w:rsid w:val="003F38BD"/>
    <w:rsid w:val="003F44B7"/>
    <w:rsid w:val="004008E9"/>
    <w:rsid w:val="00413D48"/>
    <w:rsid w:val="004157EB"/>
    <w:rsid w:val="004375C1"/>
    <w:rsid w:val="00441AC2"/>
    <w:rsid w:val="0044249B"/>
    <w:rsid w:val="0045023C"/>
    <w:rsid w:val="00451A5B"/>
    <w:rsid w:val="00452BCD"/>
    <w:rsid w:val="00452CEA"/>
    <w:rsid w:val="00457391"/>
    <w:rsid w:val="004649B4"/>
    <w:rsid w:val="00465B52"/>
    <w:rsid w:val="0046708E"/>
    <w:rsid w:val="00472A65"/>
    <w:rsid w:val="00474463"/>
    <w:rsid w:val="00474B75"/>
    <w:rsid w:val="00483F0B"/>
    <w:rsid w:val="00496319"/>
    <w:rsid w:val="00497279"/>
    <w:rsid w:val="004A163B"/>
    <w:rsid w:val="004A670A"/>
    <w:rsid w:val="004B5465"/>
    <w:rsid w:val="004B70F0"/>
    <w:rsid w:val="004C03CC"/>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0A97"/>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0EDC"/>
    <w:rsid w:val="005F62D3"/>
    <w:rsid w:val="005F6D11"/>
    <w:rsid w:val="00600CF0"/>
    <w:rsid w:val="006048F4"/>
    <w:rsid w:val="0060660A"/>
    <w:rsid w:val="00613B1D"/>
    <w:rsid w:val="00617A44"/>
    <w:rsid w:val="00617CFE"/>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65A"/>
    <w:rsid w:val="00810C93"/>
    <w:rsid w:val="00812028"/>
    <w:rsid w:val="00812DD8"/>
    <w:rsid w:val="00813082"/>
    <w:rsid w:val="0081408F"/>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0E56"/>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1CE"/>
    <w:rsid w:val="00981768"/>
    <w:rsid w:val="00983E8F"/>
    <w:rsid w:val="00985E56"/>
    <w:rsid w:val="0098788A"/>
    <w:rsid w:val="0099153B"/>
    <w:rsid w:val="00991B37"/>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1F47"/>
    <w:rsid w:val="00AA7FC9"/>
    <w:rsid w:val="00AB237D"/>
    <w:rsid w:val="00AB5933"/>
    <w:rsid w:val="00AE013D"/>
    <w:rsid w:val="00AE11B7"/>
    <w:rsid w:val="00AE75C9"/>
    <w:rsid w:val="00AE7F68"/>
    <w:rsid w:val="00AF2321"/>
    <w:rsid w:val="00AF52F6"/>
    <w:rsid w:val="00AF54A8"/>
    <w:rsid w:val="00AF7237"/>
    <w:rsid w:val="00B0043A"/>
    <w:rsid w:val="00B00D75"/>
    <w:rsid w:val="00B013C2"/>
    <w:rsid w:val="00B04649"/>
    <w:rsid w:val="00B070CB"/>
    <w:rsid w:val="00B12456"/>
    <w:rsid w:val="00B145F0"/>
    <w:rsid w:val="00B259C8"/>
    <w:rsid w:val="00B26CCF"/>
    <w:rsid w:val="00B30FC2"/>
    <w:rsid w:val="00B331A2"/>
    <w:rsid w:val="00B425F0"/>
    <w:rsid w:val="00B42DFA"/>
    <w:rsid w:val="00B45FA3"/>
    <w:rsid w:val="00B531DD"/>
    <w:rsid w:val="00B55014"/>
    <w:rsid w:val="00B62232"/>
    <w:rsid w:val="00B63AEE"/>
    <w:rsid w:val="00B70BF3"/>
    <w:rsid w:val="00B71DC2"/>
    <w:rsid w:val="00B80E8A"/>
    <w:rsid w:val="00B824BA"/>
    <w:rsid w:val="00B91CFC"/>
    <w:rsid w:val="00B93893"/>
    <w:rsid w:val="00BA1397"/>
    <w:rsid w:val="00BA7E0A"/>
    <w:rsid w:val="00BC3B53"/>
    <w:rsid w:val="00BC3B96"/>
    <w:rsid w:val="00BC4AE3"/>
    <w:rsid w:val="00BC5B28"/>
    <w:rsid w:val="00BD2370"/>
    <w:rsid w:val="00BD3E69"/>
    <w:rsid w:val="00BE3F88"/>
    <w:rsid w:val="00BE4756"/>
    <w:rsid w:val="00BE57EE"/>
    <w:rsid w:val="00BE5ED9"/>
    <w:rsid w:val="00BE7B41"/>
    <w:rsid w:val="00C1451B"/>
    <w:rsid w:val="00C15A91"/>
    <w:rsid w:val="00C206F1"/>
    <w:rsid w:val="00C217E1"/>
    <w:rsid w:val="00C219B1"/>
    <w:rsid w:val="00C37826"/>
    <w:rsid w:val="00C4015B"/>
    <w:rsid w:val="00C40268"/>
    <w:rsid w:val="00C40C60"/>
    <w:rsid w:val="00C42BD0"/>
    <w:rsid w:val="00C5258E"/>
    <w:rsid w:val="00C530C9"/>
    <w:rsid w:val="00C619A7"/>
    <w:rsid w:val="00C73D5F"/>
    <w:rsid w:val="00C80455"/>
    <w:rsid w:val="00C82AFE"/>
    <w:rsid w:val="00C83DBC"/>
    <w:rsid w:val="00C83EAD"/>
    <w:rsid w:val="00C919EF"/>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7B2E"/>
    <w:rsid w:val="00DA241E"/>
    <w:rsid w:val="00DB315D"/>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54AD"/>
    <w:rsid w:val="00E3731D"/>
    <w:rsid w:val="00E51469"/>
    <w:rsid w:val="00E55F64"/>
    <w:rsid w:val="00E573A1"/>
    <w:rsid w:val="00E634E3"/>
    <w:rsid w:val="00E717C4"/>
    <w:rsid w:val="00E72940"/>
    <w:rsid w:val="00E77E18"/>
    <w:rsid w:val="00E77F89"/>
    <w:rsid w:val="00E80330"/>
    <w:rsid w:val="00E806C5"/>
    <w:rsid w:val="00E80E71"/>
    <w:rsid w:val="00E850D3"/>
    <w:rsid w:val="00E853D6"/>
    <w:rsid w:val="00E876B9"/>
    <w:rsid w:val="00EA0F13"/>
    <w:rsid w:val="00EA1314"/>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026"/>
    <w:rsid w:val="00F21BEF"/>
    <w:rsid w:val="00F2315B"/>
    <w:rsid w:val="00F323ED"/>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B0D01"/>
    <w:rsid w:val="00FB6035"/>
    <w:rsid w:val="00FC2311"/>
    <w:rsid w:val="00FC3165"/>
    <w:rsid w:val="00FC36AB"/>
    <w:rsid w:val="00FC4300"/>
    <w:rsid w:val="00FC7F66"/>
    <w:rsid w:val="00FD14D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B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5739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457391"/>
    <w:rPr>
      <w:vertAlign w:val="superscript"/>
    </w:rPr>
  </w:style>
  <w:style w:type="paragraph" w:styleId="Onderwerpvanopmerking">
    <w:name w:val="annotation subject"/>
    <w:basedOn w:val="Tekstopmerking"/>
    <w:next w:val="Tekstopmerking"/>
    <w:link w:val="OnderwerpvanopmerkingChar"/>
    <w:semiHidden/>
    <w:unhideWhenUsed/>
    <w:rsid w:val="00FD14D6"/>
    <w:rPr>
      <w:b/>
      <w:bCs/>
    </w:rPr>
  </w:style>
  <w:style w:type="character" w:customStyle="1" w:styleId="OnderwerpvanopmerkingChar">
    <w:name w:val="Onderwerp van opmerking Char"/>
    <w:basedOn w:val="TekstopmerkingChar"/>
    <w:link w:val="Onderwerpvanopmerking"/>
    <w:semiHidden/>
    <w:rsid w:val="00FD14D6"/>
    <w:rPr>
      <w:rFonts w:ascii="Verdana" w:hAnsi="Verdana"/>
      <w:b/>
      <w:bCs/>
      <w:lang w:val="nl-NL" w:eastAsia="nl-NL"/>
    </w:rPr>
  </w:style>
  <w:style w:type="paragraph" w:styleId="Revisie">
    <w:name w:val="Revision"/>
    <w:hidden/>
    <w:uiPriority w:val="99"/>
    <w:semiHidden/>
    <w:rsid w:val="00FD14D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C4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758</ap:Words>
  <ap:Characters>4391</ap:Characters>
  <ap:DocSecurity>0</ap:DocSecurity>
  <ap:Lines>36</ap:Lines>
  <ap:Paragraphs>10</ap:Paragraphs>
  <ap:ScaleCrop>false</ap:ScaleCrop>
  <ap:LinksUpToDate>false</ap:LinksUpToDate>
  <ap:CharactersWithSpaces>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2025-05-26T09:24:00.0000000Z</dcterms:created>
  <dcterms:modified xsi:type="dcterms:W3CDTF">2025-05-26T09:24:00.0000000Z</dcterms:modified>
  <dc:description>------------------------</dc:description>
  <dc:subject/>
  <keywords/>
  <version/>
  <category/>
</coreProperties>
</file>