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0504" w:rsidR="00C60F37" w:rsidP="00C60F37" w:rsidRDefault="00507A69" w14:paraId="79ADE940" w14:textId="3D13A446">
      <w:pPr>
        <w:spacing w:line="276" w:lineRule="auto"/>
        <w:jc w:val="center"/>
        <w:rPr>
          <w:rFonts w:asciiTheme="minorHAnsi" w:hAnsiTheme="minorHAnsi"/>
          <w:sz w:val="22"/>
        </w:rPr>
      </w:pPr>
      <w:r>
        <w:rPr>
          <w:rFonts w:asciiTheme="minorHAnsi" w:hAnsiTheme="minorHAnsi"/>
          <w:sz w:val="22"/>
        </w:rPr>
        <w:softHyphen/>
      </w:r>
      <w:r w:rsidRPr="00E90504" w:rsidR="00F93965">
        <w:rPr>
          <w:rFonts w:asciiTheme="minorHAnsi" w:hAnsiTheme="minorHAnsi"/>
          <w:sz w:val="22"/>
        </w:rPr>
        <w:softHyphen/>
      </w:r>
      <w:r w:rsidRPr="00E90504" w:rsidR="00F93965">
        <w:rPr>
          <w:rFonts w:asciiTheme="minorHAnsi" w:hAnsiTheme="minorHAnsi"/>
          <w:sz w:val="22"/>
        </w:rPr>
        <w:softHyphen/>
      </w:r>
      <w:r w:rsidRPr="00E90504" w:rsidR="00F93965">
        <w:rPr>
          <w:rFonts w:asciiTheme="minorHAnsi" w:hAnsiTheme="minorHAnsi"/>
          <w:sz w:val="22"/>
        </w:rPr>
        <w:softHyphen/>
      </w:r>
      <w:r w:rsidRPr="00E90504" w:rsidR="00F93965">
        <w:rPr>
          <w:rFonts w:asciiTheme="minorHAnsi" w:hAnsiTheme="minorHAnsi"/>
          <w:sz w:val="22"/>
        </w:rPr>
        <w:softHyphen/>
      </w:r>
      <w:r w:rsidRPr="00E90504" w:rsidR="00F93965">
        <w:rPr>
          <w:rFonts w:asciiTheme="minorHAnsi" w:hAnsiTheme="minorHAnsi"/>
          <w:sz w:val="22"/>
        </w:rPr>
        <w:softHyphen/>
      </w:r>
      <w:r w:rsidRPr="00E90504" w:rsidR="00F93965">
        <w:rPr>
          <w:rFonts w:asciiTheme="minorHAnsi" w:hAnsiTheme="minorHAnsi"/>
          <w:sz w:val="22"/>
        </w:rPr>
        <w:softHyphen/>
      </w:r>
      <w:r w:rsidRPr="00E90504" w:rsidR="00C60F37">
        <w:rPr>
          <w:rFonts w:asciiTheme="minorHAnsi" w:hAnsiTheme="minorHAnsi"/>
          <w:noProof/>
          <w:sz w:val="22"/>
          <w:lang w:eastAsia="nl-NL"/>
        </w:rPr>
        <w:drawing>
          <wp:inline distT="0" distB="0" distL="0" distR="0" wp14:anchorId="7D12458D" wp14:editId="1E78BB75">
            <wp:extent cx="466357" cy="160845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7" cstate="print">
                      <a:duotone>
                        <a:schemeClr val="accent1">
                          <a:shade val="45000"/>
                          <a:satMod val="135000"/>
                        </a:schemeClr>
                        <a:prstClr val="white"/>
                      </a:duotone>
                    </a:blip>
                    <a:stretch>
                      <a:fillRect/>
                    </a:stretch>
                  </pic:blipFill>
                  <pic:spPr>
                    <a:xfrm>
                      <a:off x="0" y="0"/>
                      <a:ext cx="466357" cy="1608455"/>
                    </a:xfrm>
                    <a:prstGeom prst="rect">
                      <a:avLst/>
                    </a:prstGeom>
                  </pic:spPr>
                </pic:pic>
              </a:graphicData>
            </a:graphic>
          </wp:inline>
        </w:drawing>
      </w:r>
    </w:p>
    <w:p w:rsidRPr="00E90504" w:rsidR="00C60F37" w:rsidP="00C60F37" w:rsidRDefault="00C60F37" w14:paraId="1FDA24A1" w14:textId="77777777">
      <w:pPr>
        <w:spacing w:line="276" w:lineRule="auto"/>
        <w:rPr>
          <w:rFonts w:asciiTheme="minorHAnsi" w:hAnsiTheme="minorHAnsi"/>
          <w:sz w:val="22"/>
        </w:rPr>
      </w:pPr>
    </w:p>
    <w:p w:rsidRPr="00E90504" w:rsidR="00C60F37" w:rsidP="00C60F37" w:rsidRDefault="00C60F37" w14:paraId="0EBBE904" w14:textId="77777777">
      <w:pPr>
        <w:spacing w:line="276" w:lineRule="auto"/>
        <w:rPr>
          <w:rFonts w:asciiTheme="minorHAnsi" w:hAnsiTheme="minorHAnsi"/>
          <w:sz w:val="22"/>
        </w:rPr>
      </w:pPr>
    </w:p>
    <w:p w:rsidRPr="00E90504" w:rsidR="00C60F37" w:rsidP="00C60F37" w:rsidRDefault="00C60F37" w14:paraId="59E6FE97" w14:textId="77777777">
      <w:pPr>
        <w:spacing w:line="276" w:lineRule="auto"/>
        <w:rPr>
          <w:rFonts w:asciiTheme="minorHAnsi" w:hAnsiTheme="minorHAnsi"/>
          <w:sz w:val="22"/>
        </w:rPr>
      </w:pPr>
    </w:p>
    <w:p w:rsidRPr="00E90504" w:rsidR="00C60F37" w:rsidP="002F36C1" w:rsidRDefault="00C60F37" w14:paraId="438F3F63" w14:textId="77777777">
      <w:pPr>
        <w:spacing w:after="0" w:line="276" w:lineRule="auto"/>
        <w:contextualSpacing/>
        <w:rPr>
          <w:rFonts w:eastAsiaTheme="majorEastAsia" w:cstheme="majorBidi"/>
          <w:caps/>
          <w:color w:val="01689B"/>
          <w:kern w:val="0"/>
          <w:sz w:val="32"/>
          <w:szCs w:val="32"/>
          <w14:ligatures w14:val="none"/>
        </w:rPr>
      </w:pPr>
      <w:r w:rsidRPr="00E90504">
        <w:rPr>
          <w:rFonts w:eastAsiaTheme="majorEastAsia" w:cstheme="majorBidi"/>
          <w:caps/>
          <w:color w:val="01689B"/>
          <w:kern w:val="0"/>
          <w:sz w:val="32"/>
          <w:szCs w:val="32"/>
          <w14:ligatures w14:val="none"/>
        </w:rPr>
        <w:t xml:space="preserve">Jaarlijkse Voortgangsrapportage op het </w:t>
      </w:r>
    </w:p>
    <w:p w:rsidRPr="00E90504" w:rsidR="00C60F37" w:rsidP="002F36C1" w:rsidRDefault="00C60F37" w14:paraId="0DC1D348" w14:textId="673EF429">
      <w:pPr>
        <w:spacing w:after="0" w:line="276" w:lineRule="auto"/>
        <w:contextualSpacing/>
        <w:rPr>
          <w:rFonts w:eastAsiaTheme="majorEastAsia" w:cstheme="majorBidi"/>
          <w:caps/>
          <w:color w:val="01689B"/>
          <w:kern w:val="0"/>
          <w:sz w:val="32"/>
          <w:szCs w:val="32"/>
          <w14:ligatures w14:val="none"/>
        </w:rPr>
      </w:pPr>
      <w:bookmarkStart w:name="_Hlk193877367" w:id="0"/>
      <w:r w:rsidRPr="00E90504">
        <w:rPr>
          <w:rFonts w:eastAsiaTheme="majorEastAsia" w:cstheme="majorBidi"/>
          <w:caps/>
          <w:color w:val="01689B"/>
          <w:kern w:val="0"/>
          <w:sz w:val="32"/>
          <w:szCs w:val="32"/>
          <w14:ligatures w14:val="none"/>
        </w:rPr>
        <w:t>Budgettair-Structureel Plan</w:t>
      </w:r>
      <w:r w:rsidRPr="00E90504">
        <w:rPr>
          <w:rFonts w:eastAsiaTheme="majorEastAsia" w:cstheme="majorBidi"/>
          <w:caps/>
          <w:color w:val="01689B"/>
          <w:kern w:val="0"/>
          <w:sz w:val="32"/>
          <w:szCs w:val="76"/>
          <w14:ligatures w14:val="none"/>
        </w:rPr>
        <w:br/>
      </w:r>
      <w:r w:rsidRPr="00E90504">
        <w:rPr>
          <w:rFonts w:eastAsiaTheme="majorEastAsia" w:cstheme="majorBidi"/>
          <w:caps/>
          <w:color w:val="01689B"/>
          <w:kern w:val="0"/>
          <w:sz w:val="32"/>
          <w:szCs w:val="32"/>
          <w14:ligatures w14:val="none"/>
        </w:rPr>
        <w:t>voor de middellange termijn</w:t>
      </w:r>
    </w:p>
    <w:bookmarkEnd w:id="0"/>
    <w:p w:rsidR="00C60F37" w:rsidP="002F36C1" w:rsidRDefault="00C60F37" w14:paraId="5FD31E43" w14:textId="77777777">
      <w:pPr>
        <w:spacing w:after="0" w:line="276" w:lineRule="auto"/>
        <w:contextualSpacing/>
        <w:rPr>
          <w:rFonts w:eastAsiaTheme="majorEastAsia" w:cstheme="majorBidi"/>
          <w:caps/>
          <w:color w:val="DDEFF8"/>
          <w:kern w:val="0"/>
          <w:sz w:val="48"/>
          <w:szCs w:val="48"/>
          <w14:ligatures w14:val="none"/>
        </w:rPr>
      </w:pPr>
      <w:r w:rsidRPr="00106C84">
        <w:rPr>
          <w:rFonts w:eastAsiaTheme="majorEastAsia" w:cstheme="majorBidi"/>
          <w:caps/>
          <w:color w:val="DDEFF8"/>
          <w:kern w:val="0"/>
          <w:sz w:val="48"/>
          <w:szCs w:val="48"/>
          <w14:ligatures w14:val="none"/>
        </w:rPr>
        <w:t>NEderland</w:t>
      </w:r>
    </w:p>
    <w:p w:rsidR="009A5189" w:rsidP="002F36C1" w:rsidRDefault="009A5189" w14:paraId="292F8706" w14:textId="77777777">
      <w:pPr>
        <w:spacing w:after="0" w:line="276" w:lineRule="auto"/>
        <w:contextualSpacing/>
        <w:rPr>
          <w:rFonts w:eastAsiaTheme="majorEastAsia" w:cstheme="majorBidi"/>
          <w:caps/>
          <w:color w:val="DDEFF8"/>
          <w:kern w:val="0"/>
          <w:sz w:val="48"/>
          <w:szCs w:val="48"/>
          <w14:ligatures w14:val="none"/>
        </w:rPr>
      </w:pPr>
    </w:p>
    <w:p w:rsidRPr="00106C84" w:rsidR="009A5189" w:rsidP="009A5189" w:rsidRDefault="009A5189" w14:paraId="7C4B5F11" w14:textId="77777777">
      <w:pPr>
        <w:spacing w:after="0" w:line="276" w:lineRule="auto"/>
        <w:contextualSpacing/>
        <w:rPr>
          <w:rFonts w:eastAsiaTheme="majorEastAsia" w:cstheme="majorBidi"/>
          <w:caps/>
          <w:color w:val="DDEFF8"/>
          <w:kern w:val="0"/>
          <w:sz w:val="48"/>
          <w:szCs w:val="48"/>
          <w14:ligatures w14:val="none"/>
        </w:rPr>
      </w:pPr>
      <w:r>
        <w:rPr>
          <w:rFonts w:eastAsiaTheme="majorEastAsia" w:cstheme="majorBidi"/>
          <w:caps/>
          <w:color w:val="01689B"/>
          <w:kern w:val="0"/>
          <w:sz w:val="32"/>
          <w:szCs w:val="32"/>
          <w14:ligatures w14:val="none"/>
        </w:rPr>
        <w:t>Update mei 2025</w:t>
      </w:r>
    </w:p>
    <w:p w:rsidRPr="00E90504" w:rsidR="00C60F37" w:rsidP="00C60F37" w:rsidRDefault="00C60F37" w14:paraId="413CD784" w14:textId="77777777">
      <w:pPr>
        <w:spacing w:line="276" w:lineRule="auto"/>
        <w:rPr>
          <w:sz w:val="22"/>
        </w:rPr>
      </w:pPr>
    </w:p>
    <w:p w:rsidRPr="00E90504" w:rsidR="00C60F37" w:rsidP="00C60F37" w:rsidRDefault="00C60F37" w14:paraId="5624C15D" w14:textId="77777777">
      <w:pPr>
        <w:spacing w:line="276" w:lineRule="auto"/>
        <w:rPr>
          <w:sz w:val="22"/>
        </w:rPr>
      </w:pPr>
    </w:p>
    <w:p w:rsidRPr="00E90504" w:rsidR="00C60F37" w:rsidP="00C60F37" w:rsidRDefault="00C60F37" w14:paraId="5B1AE187" w14:textId="77777777">
      <w:pPr>
        <w:spacing w:line="276" w:lineRule="auto"/>
        <w:rPr>
          <w:sz w:val="22"/>
        </w:rPr>
      </w:pPr>
    </w:p>
    <w:p w:rsidRPr="00E90504" w:rsidR="00C60F37" w:rsidP="00C60F37" w:rsidRDefault="00C60F37" w14:paraId="314AE298" w14:textId="77777777">
      <w:pPr>
        <w:spacing w:line="276" w:lineRule="auto"/>
        <w:rPr>
          <w:sz w:val="22"/>
        </w:rPr>
      </w:pPr>
    </w:p>
    <w:p w:rsidRPr="00E90504" w:rsidR="00C60F37" w:rsidP="00C60F37" w:rsidRDefault="00C60F37" w14:paraId="20E39FF0" w14:textId="77777777">
      <w:pPr>
        <w:spacing w:line="276" w:lineRule="auto"/>
        <w:rPr>
          <w:sz w:val="22"/>
        </w:rPr>
      </w:pPr>
    </w:p>
    <w:p w:rsidRPr="00E90504" w:rsidR="00C60F37" w:rsidP="00C60F37" w:rsidRDefault="00C60F37" w14:paraId="577B6EF0" w14:textId="77777777">
      <w:pPr>
        <w:spacing w:line="276" w:lineRule="auto"/>
        <w:rPr>
          <w:sz w:val="22"/>
        </w:rPr>
      </w:pPr>
    </w:p>
    <w:p w:rsidRPr="00E90504" w:rsidR="00C60F37" w:rsidP="00C60F37" w:rsidRDefault="00C60F37" w14:paraId="355BC23B" w14:textId="77777777">
      <w:pPr>
        <w:spacing w:line="276" w:lineRule="auto"/>
        <w:rPr>
          <w:sz w:val="22"/>
        </w:rPr>
      </w:pPr>
    </w:p>
    <w:p w:rsidRPr="00E90504" w:rsidR="00C60F37" w:rsidP="00C60F37" w:rsidRDefault="00C60F37" w14:paraId="0C72835F" w14:textId="77777777">
      <w:pPr>
        <w:rPr>
          <w:rFonts w:eastAsia="Verdana" w:cstheme="majorBidi"/>
          <w:color w:val="2F5496" w:themeColor="accent1" w:themeShade="BF"/>
          <w:sz w:val="32"/>
          <w:szCs w:val="32"/>
        </w:rPr>
      </w:pPr>
      <w:r w:rsidRPr="00E90504">
        <w:rPr>
          <w:rFonts w:eastAsia="Verdana"/>
          <w:sz w:val="22"/>
        </w:rPr>
        <w:br w:type="page"/>
      </w:r>
    </w:p>
    <w:p w:rsidRPr="00E90504" w:rsidR="00C60F37" w:rsidP="00E15FBE" w:rsidRDefault="00C60F37" w14:paraId="202689C3" w14:textId="77777777">
      <w:pPr>
        <w:pStyle w:val="Kop1"/>
      </w:pPr>
      <w:bookmarkStart w:name="_Toc196830269" w:id="1"/>
      <w:r w:rsidRPr="00E90504">
        <w:lastRenderedPageBreak/>
        <w:t>Samenvatting</w:t>
      </w:r>
      <w:bookmarkEnd w:id="1"/>
      <w:r w:rsidRPr="00E90504">
        <w:t xml:space="preserve"> </w:t>
      </w:r>
    </w:p>
    <w:p w:rsidRPr="000B4D4D" w:rsidR="00C60F37" w:rsidP="002F36C1" w:rsidRDefault="00C60F37" w14:paraId="652DEE54" w14:textId="0AE71448">
      <w:pPr>
        <w:spacing w:after="0" w:line="276" w:lineRule="auto"/>
        <w:rPr>
          <w:rFonts w:eastAsia="Verdana" w:cs="Verdana"/>
          <w:szCs w:val="18"/>
        </w:rPr>
      </w:pPr>
      <w:bookmarkStart w:name="_Hlk176884251" w:id="2"/>
      <w:r w:rsidRPr="000B4D4D">
        <w:rPr>
          <w:rFonts w:eastAsia="Verdana" w:cs="Verdana"/>
          <w:b/>
          <w:szCs w:val="18"/>
        </w:rPr>
        <w:t xml:space="preserve">In de Jaarlijkse Voortgangsrapportage rapporteren lidstaten </w:t>
      </w:r>
      <w:r w:rsidRPr="000B4D4D" w:rsidR="00A543DB">
        <w:rPr>
          <w:rFonts w:eastAsia="Verdana" w:cs="Verdana"/>
          <w:b/>
          <w:szCs w:val="18"/>
        </w:rPr>
        <w:t xml:space="preserve">van de Europese Unie </w:t>
      </w:r>
      <w:r w:rsidRPr="000B4D4D">
        <w:rPr>
          <w:rFonts w:eastAsia="Verdana" w:cs="Verdana"/>
          <w:b/>
          <w:szCs w:val="18"/>
        </w:rPr>
        <w:t>over de voortgang op het budgettair-structureel plan voor de middellange termijn.</w:t>
      </w:r>
      <w:r w:rsidR="00E24EDB">
        <w:rPr>
          <w:rStyle w:val="Voetnootmarkering"/>
          <w:rFonts w:eastAsia="Verdana" w:cs="Verdana"/>
          <w:b/>
          <w:szCs w:val="18"/>
        </w:rPr>
        <w:footnoteReference w:id="2"/>
      </w:r>
      <w:r w:rsidRPr="000B4D4D">
        <w:rPr>
          <w:rFonts w:eastAsia="Verdana" w:cs="Verdana"/>
          <w:szCs w:val="18"/>
        </w:rPr>
        <w:t xml:space="preserve"> De Jaarlijkse Voortgangsrapportage</w:t>
      </w:r>
      <w:r w:rsidR="00E24EDB">
        <w:rPr>
          <w:rFonts w:eastAsia="Verdana" w:cs="Verdana"/>
          <w:szCs w:val="18"/>
        </w:rPr>
        <w:t xml:space="preserve"> (Annual Progress Report)</w:t>
      </w:r>
      <w:r w:rsidRPr="000B4D4D">
        <w:rPr>
          <w:rFonts w:eastAsia="Verdana" w:cs="Verdana"/>
          <w:szCs w:val="18"/>
        </w:rPr>
        <w:t xml:space="preserve"> bestaat uit de stand van zaken van het meerjarig uitgavenpad, een update van het macro-economisch beeld en de voortgang op de investeringen en hervormingen die het kabinet heeft opgenomen in het budgettair-structureel plan in het kader van de landspecifieke aanbevelingen en de gemeenschappelijke prioriteiten van de Europese Unie. De Jaarlijkse Voortgangsrapportage vervangt het Stabiliteitsprogramma en het Nationaal Hervormingsprogramma die onder het oude S</w:t>
      </w:r>
      <w:r w:rsidRPr="000B4D4D" w:rsidR="003E428D">
        <w:rPr>
          <w:rFonts w:eastAsia="Verdana" w:cs="Verdana"/>
          <w:szCs w:val="18"/>
        </w:rPr>
        <w:t>tabiliteits- en</w:t>
      </w:r>
      <w:r w:rsidRPr="000B4D4D" w:rsidR="00685EE0">
        <w:rPr>
          <w:rFonts w:eastAsia="Verdana" w:cs="Verdana"/>
          <w:szCs w:val="18"/>
        </w:rPr>
        <w:t xml:space="preserve"> </w:t>
      </w:r>
      <w:r w:rsidRPr="000B4D4D">
        <w:rPr>
          <w:rFonts w:eastAsia="Verdana" w:cs="Verdana"/>
          <w:szCs w:val="18"/>
        </w:rPr>
        <w:t>G</w:t>
      </w:r>
      <w:r w:rsidRPr="000B4D4D" w:rsidR="003E428D">
        <w:rPr>
          <w:rFonts w:eastAsia="Verdana" w:cs="Verdana"/>
          <w:szCs w:val="18"/>
        </w:rPr>
        <w:t>roeipact (SG</w:t>
      </w:r>
      <w:r w:rsidRPr="000B4D4D">
        <w:rPr>
          <w:rFonts w:eastAsia="Verdana" w:cs="Verdana"/>
          <w:szCs w:val="18"/>
        </w:rPr>
        <w:t>P</w:t>
      </w:r>
      <w:r w:rsidRPr="000B4D4D" w:rsidR="003E428D">
        <w:rPr>
          <w:rFonts w:eastAsia="Verdana" w:cs="Verdana"/>
          <w:szCs w:val="18"/>
        </w:rPr>
        <w:t>)</w:t>
      </w:r>
      <w:r w:rsidRPr="000B4D4D">
        <w:rPr>
          <w:rFonts w:eastAsia="Verdana" w:cs="Verdana"/>
          <w:szCs w:val="18"/>
        </w:rPr>
        <w:t xml:space="preserve"> werden opgesteld. De cijfers in deze rapportage zijn gebaseerd op de ramingen van het C</w:t>
      </w:r>
      <w:r w:rsidRPr="000B4D4D" w:rsidR="00685EE0">
        <w:rPr>
          <w:rFonts w:eastAsia="Verdana" w:cs="Verdana"/>
          <w:szCs w:val="18"/>
        </w:rPr>
        <w:t>entraal Planbureau (</w:t>
      </w:r>
      <w:r w:rsidRPr="000B4D4D">
        <w:rPr>
          <w:rFonts w:eastAsia="Verdana" w:cs="Verdana"/>
          <w:szCs w:val="18"/>
        </w:rPr>
        <w:t>CPB</w:t>
      </w:r>
      <w:r w:rsidRPr="000B4D4D" w:rsidR="00685EE0">
        <w:rPr>
          <w:rFonts w:eastAsia="Verdana" w:cs="Verdana"/>
          <w:szCs w:val="18"/>
        </w:rPr>
        <w:t>) en de realisatiecijfers van het Centraal Bureau voor de Statistiek (CBS).</w:t>
      </w:r>
      <w:r w:rsidRPr="000B4D4D">
        <w:rPr>
          <w:rFonts w:eastAsia="Verdana" w:cs="Verdana"/>
          <w:szCs w:val="18"/>
        </w:rPr>
        <w:t xml:space="preserve"> </w:t>
      </w:r>
      <w:bookmarkEnd w:id="2"/>
    </w:p>
    <w:p w:rsidR="00CC6203" w:rsidP="002F36C1" w:rsidRDefault="00CC6203" w14:paraId="0E666872" w14:textId="77777777">
      <w:pPr>
        <w:spacing w:after="0" w:line="276" w:lineRule="auto"/>
        <w:rPr>
          <w:rFonts w:eastAsia="Verdana" w:cs="Verdana"/>
          <w:szCs w:val="18"/>
        </w:rPr>
      </w:pPr>
    </w:p>
    <w:p w:rsidR="00CC6203" w:rsidP="00CC6203" w:rsidRDefault="00CC6203" w14:paraId="24D09E99" w14:textId="77777777">
      <w:pPr>
        <w:autoSpaceDN w:val="0"/>
        <w:spacing w:after="0" w:line="240" w:lineRule="exact"/>
        <w:textAlignment w:val="baseline"/>
        <w:rPr>
          <w:szCs w:val="18"/>
        </w:rPr>
      </w:pPr>
      <w:r w:rsidRPr="000B4D4D">
        <w:rPr>
          <w:b/>
          <w:bCs/>
          <w:szCs w:val="18"/>
        </w:rPr>
        <w:t>Met het maatregelenpakket uit de Voorjaarsnota 2025 houdt het kabinet vast aan trendmatig begroten, wat bijdraagt aan stabiel en voorspelbaar beleid.</w:t>
      </w:r>
      <w:r w:rsidRPr="000B4D4D">
        <w:rPr>
          <w:szCs w:val="18"/>
        </w:rPr>
        <w:t xml:space="preserve"> Het uitgaven- en inkomstenkader worden gehandhaafd, waarmee wordt bijgedragen aan een solide en gezonde rijksbegroting. Dit is extra belangrijk gezien de toegenomen geopolitieke spanningen en economische onzekerheden. Hiermee sluiten het uitgavenkader en het inkomstenkader binnen de begrotingshorizon. Daarmee worden de financiële afspraken uit het hoofdlijnenakkoord gerespecteerd en worden lasten niet doorgeschoven naar toekomstige generaties.</w:t>
      </w:r>
    </w:p>
    <w:p w:rsidRPr="000B4D4D" w:rsidR="003D3A37" w:rsidP="00C60F37" w:rsidRDefault="003D3A37" w14:paraId="7833251D" w14:textId="77777777">
      <w:pPr>
        <w:spacing w:after="0" w:line="276" w:lineRule="auto"/>
        <w:rPr>
          <w:rFonts w:eastAsia="Verdana" w:cs="Verdana"/>
          <w:szCs w:val="18"/>
        </w:rPr>
      </w:pPr>
    </w:p>
    <w:p w:rsidR="001F0BC0" w:rsidP="003D3A37" w:rsidRDefault="003D3A37" w14:paraId="44160278" w14:textId="33A662DE">
      <w:pPr>
        <w:rPr>
          <w:szCs w:val="18"/>
        </w:rPr>
      </w:pPr>
      <w:r w:rsidRPr="000B4D4D">
        <w:rPr>
          <w:b/>
          <w:szCs w:val="18"/>
        </w:rPr>
        <w:t xml:space="preserve">Het </w:t>
      </w:r>
      <w:r w:rsidR="00EA22B6">
        <w:rPr>
          <w:b/>
          <w:szCs w:val="18"/>
        </w:rPr>
        <w:t xml:space="preserve">EMU-saldo en de EMU-schuld </w:t>
      </w:r>
      <w:r w:rsidR="001F0BC0">
        <w:rPr>
          <w:b/>
          <w:szCs w:val="18"/>
        </w:rPr>
        <w:t>vallen gunstiger dan eerder geraamd in</w:t>
      </w:r>
      <w:r w:rsidR="00EA22B6">
        <w:rPr>
          <w:b/>
          <w:szCs w:val="18"/>
        </w:rPr>
        <w:t xml:space="preserve"> </w:t>
      </w:r>
      <w:r w:rsidRPr="000B4D4D">
        <w:rPr>
          <w:b/>
          <w:szCs w:val="18"/>
        </w:rPr>
        <w:t>het</w:t>
      </w:r>
      <w:r w:rsidRPr="000B4D4D" w:rsidR="00685EE0">
        <w:rPr>
          <w:b/>
          <w:szCs w:val="18"/>
        </w:rPr>
        <w:t xml:space="preserve"> budgettair-structureel plan</w:t>
      </w:r>
      <w:r w:rsidRPr="000B4D4D">
        <w:rPr>
          <w:b/>
          <w:szCs w:val="18"/>
        </w:rPr>
        <w:t>.</w:t>
      </w:r>
      <w:r w:rsidRPr="000B4D4D">
        <w:rPr>
          <w:szCs w:val="18"/>
        </w:rPr>
        <w:t xml:space="preserve"> </w:t>
      </w:r>
      <w:r w:rsidRPr="000B4D4D" w:rsidR="00394122">
        <w:rPr>
          <w:szCs w:val="18"/>
        </w:rPr>
        <w:t xml:space="preserve">Deze gunstige ontwikkeling wordt veroorzaakt door zowel een hogere verwachting voor het bbp-niveau en daarmee samenhangende hogere inkomsten als </w:t>
      </w:r>
      <w:r w:rsidR="00EA22B6">
        <w:rPr>
          <w:szCs w:val="18"/>
        </w:rPr>
        <w:t xml:space="preserve">de door </w:t>
      </w:r>
      <w:r w:rsidRPr="000B4D4D" w:rsidR="00B7685E">
        <w:rPr>
          <w:szCs w:val="18"/>
        </w:rPr>
        <w:t>het CPB</w:t>
      </w:r>
      <w:r w:rsidRPr="000B4D4D" w:rsidR="00394122">
        <w:rPr>
          <w:szCs w:val="18"/>
        </w:rPr>
        <w:t xml:space="preserve"> verwachte aanhoudende onderuitputting. </w:t>
      </w:r>
      <w:r w:rsidRPr="000B4D4D" w:rsidR="001F0BC0">
        <w:rPr>
          <w:szCs w:val="18"/>
        </w:rPr>
        <w:t>Het EMU-saldo komt in 2024 uit op -</w:t>
      </w:r>
      <w:r w:rsidR="001F0BC0">
        <w:rPr>
          <w:szCs w:val="18"/>
        </w:rPr>
        <w:t>0,9</w:t>
      </w:r>
      <w:r w:rsidRPr="000B4D4D" w:rsidR="001F0BC0">
        <w:rPr>
          <w:szCs w:val="18"/>
        </w:rPr>
        <w:t>% van het bbp en de EMU-schuld op 43,</w:t>
      </w:r>
      <w:r w:rsidR="001F0BC0">
        <w:rPr>
          <w:szCs w:val="18"/>
        </w:rPr>
        <w:t>3</w:t>
      </w:r>
      <w:r w:rsidRPr="000B4D4D" w:rsidR="001F0BC0">
        <w:rPr>
          <w:szCs w:val="18"/>
        </w:rPr>
        <w:t>% van het bbp. Gedurende de aanpassingsperiode t</w:t>
      </w:r>
      <w:r w:rsidR="000C07A7">
        <w:rPr>
          <w:szCs w:val="18"/>
        </w:rPr>
        <w:t>ot en met</w:t>
      </w:r>
      <w:r w:rsidRPr="000B4D4D" w:rsidR="001F0BC0">
        <w:rPr>
          <w:szCs w:val="18"/>
        </w:rPr>
        <w:t xml:space="preserve"> 2028 blijven zowel het tekort als de schuld naar verwachting onder de referentiewaarden van 3% bbp en 60% bbp.</w:t>
      </w:r>
      <w:r w:rsidR="00D13166">
        <w:rPr>
          <w:szCs w:val="18"/>
        </w:rPr>
        <w:t xml:space="preserve"> Het kabinet neemt een eerste stap om de uitgaven vanaf 2027 structureel te beperken, maar onderkent dat ook volgende kabinetten stappen zullen moeten zetten om de tekorten en de schuld op de middellange termijn binnen de Europese referentiewaarden te houden. </w:t>
      </w:r>
    </w:p>
    <w:p w:rsidRPr="000B4D4D" w:rsidR="003D3A37" w:rsidP="003D3A37" w:rsidRDefault="001F0BC0" w14:paraId="1E0A552C" w14:textId="1EED2FD8">
      <w:pPr>
        <w:rPr>
          <w:szCs w:val="18"/>
        </w:rPr>
      </w:pPr>
      <w:r w:rsidRPr="009A661E">
        <w:rPr>
          <w:b/>
          <w:szCs w:val="18"/>
        </w:rPr>
        <w:t>De netto primaire uitgaven zullen de komende jaren naar verwachting hoger liggen dan het door de Raad aanbevolen uitgavenpad.</w:t>
      </w:r>
      <w:r w:rsidRPr="009A661E">
        <w:rPr>
          <w:szCs w:val="18"/>
        </w:rPr>
        <w:t xml:space="preserve"> </w:t>
      </w:r>
      <w:r w:rsidRPr="009A661E" w:rsidR="003D3A37">
        <w:rPr>
          <w:szCs w:val="18"/>
        </w:rPr>
        <w:t xml:space="preserve">De </w:t>
      </w:r>
      <w:r w:rsidRPr="009A661E" w:rsidR="00394122">
        <w:rPr>
          <w:szCs w:val="18"/>
        </w:rPr>
        <w:t xml:space="preserve">netto primaire </w:t>
      </w:r>
      <w:r w:rsidRPr="009A661E" w:rsidR="003D3A37">
        <w:rPr>
          <w:szCs w:val="18"/>
        </w:rPr>
        <w:t>uitgavengroei blijft in 2024</w:t>
      </w:r>
      <w:r w:rsidRPr="009A661E" w:rsidDel="003D5986" w:rsidR="003D3A37">
        <w:rPr>
          <w:szCs w:val="18"/>
        </w:rPr>
        <w:t xml:space="preserve"> </w:t>
      </w:r>
      <w:r w:rsidRPr="009A661E" w:rsidR="00D452B6">
        <w:rPr>
          <w:szCs w:val="18"/>
        </w:rPr>
        <w:t>1,</w:t>
      </w:r>
      <w:r w:rsidRPr="009A661E" w:rsidR="003869B1">
        <w:rPr>
          <w:szCs w:val="18"/>
        </w:rPr>
        <w:t>2</w:t>
      </w:r>
      <w:r w:rsidRPr="009A661E" w:rsidR="003D3A37">
        <w:rPr>
          <w:szCs w:val="18"/>
        </w:rPr>
        <w:t xml:space="preserve">%-punt onder de eerdere raming en komt daarmee uit op </w:t>
      </w:r>
      <w:r w:rsidRPr="009A661E" w:rsidR="00DC4E0D">
        <w:rPr>
          <w:szCs w:val="18"/>
        </w:rPr>
        <w:t>5,</w:t>
      </w:r>
      <w:r w:rsidRPr="009A661E" w:rsidR="003869B1">
        <w:rPr>
          <w:szCs w:val="18"/>
        </w:rPr>
        <w:t>7</w:t>
      </w:r>
      <w:r w:rsidRPr="009A661E" w:rsidR="003D3A37">
        <w:rPr>
          <w:szCs w:val="18"/>
        </w:rPr>
        <w:t>%</w:t>
      </w:r>
      <w:r w:rsidRPr="009A661E" w:rsidR="00D452B6">
        <w:rPr>
          <w:szCs w:val="18"/>
        </w:rPr>
        <w:t xml:space="preserve">. De uitgavengroei is echter hoger dan de </w:t>
      </w:r>
      <w:r w:rsidRPr="009A661E" w:rsidR="003D3A37">
        <w:rPr>
          <w:szCs w:val="18"/>
        </w:rPr>
        <w:t>landspecifieke aanbeveling</w:t>
      </w:r>
      <w:r w:rsidRPr="009A661E" w:rsidR="00D452B6">
        <w:rPr>
          <w:szCs w:val="18"/>
        </w:rPr>
        <w:t xml:space="preserve"> voor Nederland</w:t>
      </w:r>
      <w:r w:rsidRPr="009A661E" w:rsidR="003D3A37">
        <w:rPr>
          <w:szCs w:val="18"/>
        </w:rPr>
        <w:t xml:space="preserve"> om de overheidsuitgaven in 2024 niet met meer dan 3,5% te laten groeien.</w:t>
      </w:r>
      <w:r w:rsidRPr="009A661E" w:rsidR="0067360B">
        <w:rPr>
          <w:szCs w:val="18"/>
        </w:rPr>
        <w:t xml:space="preserve"> Omdat het </w:t>
      </w:r>
      <w:r w:rsidRPr="009A661E" w:rsidR="00E117AC">
        <w:rPr>
          <w:szCs w:val="18"/>
        </w:rPr>
        <w:t>uitgaven</w:t>
      </w:r>
      <w:r w:rsidRPr="009A661E" w:rsidR="0067360B">
        <w:rPr>
          <w:szCs w:val="18"/>
        </w:rPr>
        <w:t xml:space="preserve">niveau in 2024 lager uitviel dan geraamd is </w:t>
      </w:r>
      <w:r w:rsidRPr="009A661E" w:rsidR="00B7685E">
        <w:rPr>
          <w:szCs w:val="18"/>
        </w:rPr>
        <w:t>vervolgens</w:t>
      </w:r>
      <w:r w:rsidRPr="009A661E" w:rsidR="0067360B">
        <w:rPr>
          <w:szCs w:val="18"/>
        </w:rPr>
        <w:t xml:space="preserve"> de </w:t>
      </w:r>
      <w:r w:rsidRPr="009A661E" w:rsidR="00394122">
        <w:rPr>
          <w:szCs w:val="18"/>
        </w:rPr>
        <w:t xml:space="preserve">verwachte </w:t>
      </w:r>
      <w:r w:rsidRPr="009A661E" w:rsidR="00E117AC">
        <w:rPr>
          <w:szCs w:val="18"/>
        </w:rPr>
        <w:t>uitgaven</w:t>
      </w:r>
      <w:r w:rsidRPr="009A661E" w:rsidR="0067360B">
        <w:rPr>
          <w:szCs w:val="18"/>
        </w:rPr>
        <w:t xml:space="preserve">groei in 2025 </w:t>
      </w:r>
      <w:r w:rsidRPr="009A661E" w:rsidR="00AB5764">
        <w:rPr>
          <w:szCs w:val="18"/>
        </w:rPr>
        <w:t>(ten opzichte van 2024)</w:t>
      </w:r>
      <w:r w:rsidRPr="009A661E" w:rsidR="0067360B">
        <w:rPr>
          <w:szCs w:val="18"/>
        </w:rPr>
        <w:t xml:space="preserve"> hoger</w:t>
      </w:r>
      <w:r w:rsidRPr="009A661E" w:rsidR="00B7685E">
        <w:rPr>
          <w:szCs w:val="18"/>
        </w:rPr>
        <w:t xml:space="preserve"> dan eerder geraamd</w:t>
      </w:r>
      <w:r w:rsidRPr="009A661E" w:rsidR="0067360B">
        <w:rPr>
          <w:szCs w:val="18"/>
        </w:rPr>
        <w:t>.</w:t>
      </w:r>
      <w:r w:rsidRPr="000B4D4D" w:rsidR="003D3A37">
        <w:rPr>
          <w:szCs w:val="18"/>
        </w:rPr>
        <w:t xml:space="preserve"> </w:t>
      </w:r>
    </w:p>
    <w:p w:rsidRPr="000B4D4D" w:rsidR="003175A7" w:rsidP="002F36C1" w:rsidRDefault="003175A7" w14:paraId="3657121E" w14:textId="3AC64F0C">
      <w:pPr>
        <w:spacing w:after="0" w:line="276" w:lineRule="auto"/>
        <w:rPr>
          <w:rFonts w:eastAsia="Verdana" w:cs="Verdana"/>
          <w:b/>
          <w:i/>
          <w:szCs w:val="18"/>
        </w:rPr>
      </w:pPr>
      <w:r w:rsidRPr="000B4D4D">
        <w:rPr>
          <w:rFonts w:eastAsia="Verdana" w:cs="Verdana"/>
          <w:b/>
          <w:szCs w:val="18"/>
        </w:rPr>
        <w:t>Het economisch beeld is verbeterd ten opzichte van de cijfers in het budgettair-structureel plan.</w:t>
      </w:r>
      <w:r w:rsidRPr="000B4D4D">
        <w:rPr>
          <w:rFonts w:eastAsia="Verdana" w:cs="Verdana"/>
          <w:b/>
          <w:i/>
          <w:szCs w:val="18"/>
        </w:rPr>
        <w:t xml:space="preserve"> </w:t>
      </w:r>
      <w:r w:rsidRPr="000B4D4D">
        <w:rPr>
          <w:rFonts w:eastAsia="Verdana" w:cs="Verdana"/>
          <w:szCs w:val="18"/>
        </w:rPr>
        <w:t xml:space="preserve">De economie groeide in 2024 met 0,9% na een jaar van stagnatie in 2023. De groei in 2024 was 0,3%-punt hoger dan eerder geraamd en opgenomen in het budgettair-structureel plan. In 2024 werd de groei voornamelijk gedreven door consumptieve bestedingen en de overheidsuitgaven. In 2025 en 2026 neemt de economische groei naar verwachting verder toe met respectievelijk 1,9% en 1,5%, waarbij ook de uitvoer en investeringen positief bijdragen aan de bbp-groei. Deze ramingen </w:t>
      </w:r>
      <w:r w:rsidRPr="000B4D4D" w:rsidR="00685EE0">
        <w:rPr>
          <w:rFonts w:eastAsia="Verdana" w:cs="Verdana"/>
          <w:szCs w:val="18"/>
        </w:rPr>
        <w:t>zijn echter</w:t>
      </w:r>
      <w:r w:rsidRPr="000B4D4D">
        <w:rPr>
          <w:rFonts w:eastAsia="Verdana" w:cs="Verdana"/>
          <w:szCs w:val="18"/>
        </w:rPr>
        <w:t xml:space="preserve"> onzeker door de geopolitieke spanningen</w:t>
      </w:r>
      <w:r w:rsidRPr="000B4D4D" w:rsidR="00BE66E2">
        <w:rPr>
          <w:rFonts w:eastAsia="Verdana" w:cs="Verdana"/>
          <w:szCs w:val="18"/>
        </w:rPr>
        <w:t xml:space="preserve"> en de introductie van nieuwe handelstarieven</w:t>
      </w:r>
      <w:r w:rsidRPr="000B4D4D">
        <w:rPr>
          <w:rFonts w:eastAsia="Verdana" w:cs="Verdana"/>
          <w:szCs w:val="18"/>
        </w:rPr>
        <w:t xml:space="preserve">. Naar verwachting vertraagt de potentiële groei van het bbp op middellange termijn, maar is </w:t>
      </w:r>
      <w:r w:rsidRPr="000B4D4D" w:rsidR="00685EE0">
        <w:rPr>
          <w:rFonts w:eastAsia="Verdana" w:cs="Verdana"/>
          <w:szCs w:val="18"/>
        </w:rPr>
        <w:t>de groei</w:t>
      </w:r>
      <w:r w:rsidRPr="000B4D4D">
        <w:rPr>
          <w:rFonts w:eastAsia="Verdana" w:cs="Verdana"/>
          <w:szCs w:val="18"/>
        </w:rPr>
        <w:t xml:space="preserve"> hoger dan </w:t>
      </w:r>
      <w:r w:rsidR="00F46762">
        <w:rPr>
          <w:rFonts w:eastAsia="Verdana" w:cs="Verdana"/>
          <w:szCs w:val="18"/>
        </w:rPr>
        <w:t xml:space="preserve">eerder </w:t>
      </w:r>
      <w:r w:rsidRPr="000B4D4D" w:rsidR="00E30520">
        <w:rPr>
          <w:rFonts w:eastAsia="Verdana" w:cs="Verdana"/>
          <w:szCs w:val="18"/>
        </w:rPr>
        <w:t xml:space="preserve">geraamd </w:t>
      </w:r>
      <w:r w:rsidRPr="000B4D4D">
        <w:rPr>
          <w:rFonts w:eastAsia="Verdana" w:cs="Verdana"/>
          <w:szCs w:val="18"/>
        </w:rPr>
        <w:t xml:space="preserve">door een opwaartse bijstelling van </w:t>
      </w:r>
      <w:r w:rsidRPr="000B4D4D" w:rsidR="008E616C">
        <w:rPr>
          <w:rFonts w:eastAsia="Verdana" w:cs="Verdana"/>
          <w:szCs w:val="18"/>
        </w:rPr>
        <w:t xml:space="preserve">de raming van </w:t>
      </w:r>
      <w:r w:rsidRPr="000B4D4D">
        <w:rPr>
          <w:rFonts w:eastAsia="Verdana" w:cs="Verdana"/>
          <w:szCs w:val="18"/>
        </w:rPr>
        <w:t xml:space="preserve">het structurele arbeidsaanbod. </w:t>
      </w:r>
    </w:p>
    <w:p w:rsidRPr="000B4D4D" w:rsidR="003175A7" w:rsidP="00C60F37" w:rsidRDefault="003175A7" w14:paraId="57AD81BD" w14:textId="77777777">
      <w:pPr>
        <w:spacing w:after="0" w:line="276" w:lineRule="auto"/>
        <w:rPr>
          <w:rFonts w:eastAsia="Verdana" w:cs="Verdana"/>
          <w:b/>
          <w:bCs/>
          <w:szCs w:val="18"/>
        </w:rPr>
      </w:pPr>
    </w:p>
    <w:p w:rsidRPr="000B4D4D" w:rsidR="004F694B" w:rsidP="002F36C1" w:rsidRDefault="00666E77" w14:paraId="30604B7B" w14:textId="2A99F4D6">
      <w:pPr>
        <w:spacing w:after="0" w:line="276" w:lineRule="auto"/>
        <w:rPr>
          <w:rFonts w:eastAsia="Verdana" w:cs="Verdana"/>
          <w:szCs w:val="18"/>
        </w:rPr>
      </w:pPr>
      <w:r w:rsidRPr="000B4D4D">
        <w:rPr>
          <w:b/>
          <w:szCs w:val="18"/>
        </w:rPr>
        <w:t>Het merendeel van de hervormingen en investeringen</w:t>
      </w:r>
      <w:r w:rsidRPr="000B4D4D" w:rsidR="003E428D">
        <w:rPr>
          <w:b/>
          <w:szCs w:val="18"/>
        </w:rPr>
        <w:t xml:space="preserve"> in het kader van de landspecifieke aanbevelingen</w:t>
      </w:r>
      <w:r w:rsidRPr="000B4D4D">
        <w:rPr>
          <w:b/>
          <w:szCs w:val="18"/>
        </w:rPr>
        <w:t xml:space="preserve">, zoals gerapporteerd in het </w:t>
      </w:r>
      <w:r w:rsidRPr="000B4D4D" w:rsidR="00685EE0">
        <w:rPr>
          <w:b/>
          <w:szCs w:val="18"/>
        </w:rPr>
        <w:t>budgettair-structureel plan</w:t>
      </w:r>
      <w:r w:rsidRPr="000B4D4D">
        <w:rPr>
          <w:b/>
          <w:szCs w:val="18"/>
        </w:rPr>
        <w:t>, ligt op schema of is reeds voltooid.</w:t>
      </w:r>
      <w:r w:rsidRPr="000B4D4D">
        <w:rPr>
          <w:szCs w:val="18"/>
        </w:rPr>
        <w:t xml:space="preserve"> Daarnaast adresseren de hervormingen en investeringen de Europese waarden die in de </w:t>
      </w:r>
      <w:r w:rsidRPr="000B4D4D">
        <w:rPr>
          <w:i/>
          <w:iCs/>
          <w:szCs w:val="18"/>
        </w:rPr>
        <w:t>Sustainable Development Goals</w:t>
      </w:r>
      <w:r w:rsidRPr="000B4D4D">
        <w:rPr>
          <w:szCs w:val="18"/>
        </w:rPr>
        <w:t xml:space="preserve"> (SDG’s) en de </w:t>
      </w:r>
      <w:r w:rsidRPr="000B4D4D">
        <w:rPr>
          <w:i/>
          <w:iCs/>
          <w:szCs w:val="18"/>
        </w:rPr>
        <w:t>European Pillars of Social Rights</w:t>
      </w:r>
      <w:r w:rsidRPr="000B4D4D">
        <w:rPr>
          <w:szCs w:val="18"/>
        </w:rPr>
        <w:t xml:space="preserve"> (EPSR) staan beschreven</w:t>
      </w:r>
      <w:r w:rsidRPr="000B4D4D" w:rsidR="008E616C">
        <w:rPr>
          <w:szCs w:val="18"/>
        </w:rPr>
        <w:t xml:space="preserve"> en</w:t>
      </w:r>
      <w:r w:rsidRPr="000B4D4D">
        <w:rPr>
          <w:szCs w:val="18"/>
        </w:rPr>
        <w:t xml:space="preserve"> de gemeenschappelijke</w:t>
      </w:r>
      <w:r w:rsidRPr="000B4D4D">
        <w:rPr>
          <w:rFonts w:eastAsia="Verdana" w:cs="Verdana"/>
          <w:szCs w:val="18"/>
        </w:rPr>
        <w:t xml:space="preserve"> prioriteiten van de Unie. </w:t>
      </w:r>
    </w:p>
    <w:p w:rsidRPr="000B4D4D" w:rsidR="00C60F37" w:rsidP="00C60F37" w:rsidRDefault="00C60F37" w14:paraId="4B574BC1" w14:textId="7B20B22C">
      <w:pPr>
        <w:spacing w:after="0" w:line="276" w:lineRule="auto"/>
        <w:rPr>
          <w:rFonts w:eastAsia="Verdana" w:cs="Verdana"/>
          <w:szCs w:val="18"/>
        </w:rPr>
      </w:pPr>
      <w:r w:rsidRPr="000B4D4D">
        <w:rPr>
          <w:rFonts w:eastAsia="Verdana" w:cs="Verdana"/>
          <w:szCs w:val="18"/>
        </w:rPr>
        <w:lastRenderedPageBreak/>
        <w:t xml:space="preserve">  </w:t>
      </w:r>
    </w:p>
    <w:p w:rsidR="00C60F37" w:rsidP="002F36C1" w:rsidRDefault="00C60F37" w14:paraId="6F01F7B0" w14:textId="701B488C">
      <w:pPr>
        <w:spacing w:after="0" w:line="276" w:lineRule="auto"/>
        <w:rPr>
          <w:rFonts w:eastAsia="Verdana" w:cs="Verdana"/>
          <w:szCs w:val="18"/>
        </w:rPr>
      </w:pPr>
      <w:r w:rsidRPr="000B4D4D">
        <w:rPr>
          <w:rFonts w:eastAsia="Verdana" w:cs="Verdana"/>
          <w:b/>
          <w:szCs w:val="18"/>
        </w:rPr>
        <w:t xml:space="preserve">De rapportage gaat eerst in op het uitgavenpad en de economische ontwikkelingen. Vervolgens worden de hervormingen en investeringen toegelicht. </w:t>
      </w:r>
      <w:r w:rsidRPr="000B4D4D">
        <w:rPr>
          <w:rFonts w:eastAsia="Verdana" w:cs="Verdana"/>
          <w:szCs w:val="18"/>
        </w:rPr>
        <w:t xml:space="preserve">Hoofdstuk 1 licht het proces toe dat is gevolgd voor politieke </w:t>
      </w:r>
      <w:r w:rsidRPr="000B4D4D" w:rsidR="00E30520">
        <w:rPr>
          <w:rFonts w:eastAsia="Verdana" w:cs="Verdana"/>
          <w:szCs w:val="18"/>
        </w:rPr>
        <w:t>consultatie</w:t>
      </w:r>
      <w:r w:rsidRPr="000B4D4D">
        <w:rPr>
          <w:rFonts w:eastAsia="Verdana" w:cs="Verdana"/>
          <w:szCs w:val="18"/>
        </w:rPr>
        <w:t xml:space="preserve">. Hoofdstuk 2 gaat in op de ontwikkeling van het uitgavenpad, de belangrijkste sturingsvariabele onder het herziene SGP. Hoofdstuk 3 beschrijft de economische ontwikkelingen, </w:t>
      </w:r>
      <w:r w:rsidRPr="000B4D4D" w:rsidR="00FA2DBF">
        <w:rPr>
          <w:rFonts w:eastAsia="Verdana" w:cs="Verdana"/>
          <w:szCs w:val="18"/>
        </w:rPr>
        <w:t xml:space="preserve">die </w:t>
      </w:r>
      <w:r w:rsidRPr="000B4D4D">
        <w:rPr>
          <w:rFonts w:eastAsia="Verdana" w:cs="Verdana"/>
          <w:szCs w:val="18"/>
        </w:rPr>
        <w:t>onderlig</w:t>
      </w:r>
      <w:r w:rsidRPr="000B4D4D" w:rsidR="000F4659">
        <w:rPr>
          <w:rFonts w:eastAsia="Verdana" w:cs="Verdana"/>
          <w:szCs w:val="18"/>
        </w:rPr>
        <w:t>gend zijn aan het uitgavenpad,</w:t>
      </w:r>
      <w:r w:rsidRPr="000B4D4D">
        <w:rPr>
          <w:rFonts w:eastAsia="Verdana" w:cs="Verdana"/>
          <w:szCs w:val="18"/>
        </w:rPr>
        <w:t xml:space="preserve"> en Hoofdstuk 4 presenteert de budgettaire </w:t>
      </w:r>
      <w:r w:rsidRPr="000B4D4D" w:rsidR="000F4659">
        <w:rPr>
          <w:rFonts w:eastAsia="Verdana" w:cs="Verdana"/>
          <w:szCs w:val="18"/>
        </w:rPr>
        <w:t>ontwikkelingen</w:t>
      </w:r>
      <w:r w:rsidRPr="000B4D4D">
        <w:rPr>
          <w:rFonts w:eastAsia="Verdana" w:cs="Verdana"/>
          <w:szCs w:val="18"/>
        </w:rPr>
        <w:t xml:space="preserve"> die horen bij het uitgavenpad. Hoofdstuk </w:t>
      </w:r>
      <w:r w:rsidRPr="000B4D4D" w:rsidR="000F4659">
        <w:rPr>
          <w:rFonts w:eastAsia="Verdana" w:cs="Verdana"/>
          <w:szCs w:val="18"/>
        </w:rPr>
        <w:t>5</w:t>
      </w:r>
      <w:r w:rsidRPr="000B4D4D">
        <w:rPr>
          <w:rFonts w:eastAsia="Verdana" w:cs="Verdana"/>
          <w:szCs w:val="18"/>
        </w:rPr>
        <w:t xml:space="preserve"> gaat in op zowel de landspecifieke aanbevelingen en gedeelde prioriteiten van de Commissie als de hervormingen die het kabinet voorstelt om deze te adresseren. Tot slot beschrijft Hoofdstuk </w:t>
      </w:r>
      <w:r w:rsidRPr="000B4D4D" w:rsidR="000F4659">
        <w:rPr>
          <w:rFonts w:eastAsia="Verdana" w:cs="Verdana"/>
          <w:szCs w:val="18"/>
        </w:rPr>
        <w:t>6</w:t>
      </w:r>
      <w:r w:rsidRPr="000B4D4D">
        <w:rPr>
          <w:rFonts w:eastAsia="Verdana" w:cs="Verdana"/>
          <w:szCs w:val="18"/>
        </w:rPr>
        <w:t xml:space="preserve"> de voorwaardelijke financiële verplichtingen en de mogelijke budgettaire gevolgen hiervan. </w:t>
      </w:r>
    </w:p>
    <w:p w:rsidR="009A5189" w:rsidP="002F36C1" w:rsidRDefault="009A5189" w14:paraId="006DDD4A" w14:textId="77777777">
      <w:pPr>
        <w:spacing w:after="0" w:line="276" w:lineRule="auto"/>
        <w:rPr>
          <w:rFonts w:eastAsia="Verdana" w:cs="Verdana"/>
          <w:szCs w:val="18"/>
        </w:rPr>
      </w:pPr>
    </w:p>
    <w:p w:rsidRPr="00D31A57" w:rsidR="009A5189" w:rsidP="00904E3C" w:rsidRDefault="009A5189" w14:paraId="4388F778" w14:textId="3E1162D1">
      <w:pPr>
        <w:spacing w:after="0" w:line="276" w:lineRule="auto"/>
        <w:rPr>
          <w:rFonts w:eastAsia="Verdana" w:cs="Verdana"/>
          <w:b/>
          <w:szCs w:val="18"/>
        </w:rPr>
      </w:pPr>
      <w:r w:rsidRPr="00D31A57">
        <w:rPr>
          <w:rFonts w:eastAsia="Verdana" w:cs="Verdana"/>
          <w:b/>
          <w:szCs w:val="18"/>
        </w:rPr>
        <w:t>Update mei 2025</w:t>
      </w:r>
    </w:p>
    <w:p w:rsidRPr="00D31A57" w:rsidR="00C53DBB" w:rsidP="00904E3C" w:rsidRDefault="00C53DBB" w14:paraId="2FDE409B" w14:textId="479841A5">
      <w:pPr>
        <w:spacing w:after="0"/>
      </w:pPr>
      <w:r w:rsidRPr="00D31A57">
        <w:t xml:space="preserve">Na indiening van de jaarlijkse voortgangsrapportage bij de Europese Commissie op 30 april 2025, zijn </w:t>
      </w:r>
      <w:r w:rsidR="004F1A85">
        <w:t xml:space="preserve">er </w:t>
      </w:r>
      <w:r w:rsidRPr="00D31A57">
        <w:t xml:space="preserve">enkele inconsistenties geconstateerd. De jaarlijkse voortgangsrapportage is op </w:t>
      </w:r>
      <w:r w:rsidR="004F1A85">
        <w:t>d</w:t>
      </w:r>
      <w:r w:rsidRPr="00D31A57" w:rsidR="004F1A85">
        <w:t>e</w:t>
      </w:r>
      <w:r w:rsidR="004F1A85">
        <w:t>ze</w:t>
      </w:r>
      <w:r w:rsidRPr="00D31A57" w:rsidR="004F1A85">
        <w:t xml:space="preserve"> </w:t>
      </w:r>
      <w:r w:rsidRPr="00D31A57">
        <w:t xml:space="preserve">punten aangepast en </w:t>
      </w:r>
      <w:r w:rsidR="004F1A85">
        <w:t>zal</w:t>
      </w:r>
      <w:r w:rsidRPr="00D31A57">
        <w:t xml:space="preserve"> naar de Europese Commissie </w:t>
      </w:r>
      <w:r w:rsidR="004F1A85">
        <w:t xml:space="preserve">worden </w:t>
      </w:r>
      <w:r w:rsidRPr="00D31A57">
        <w:t>verzonden. Deze wijzingen hebben geen invloed op de inhoud en conclusies van de jaarlijkse voortgangsrapportage. Het betreft de volgende wijzigingen:</w:t>
      </w:r>
    </w:p>
    <w:p w:rsidRPr="00D31A57" w:rsidR="00C53DBB" w:rsidP="00904E3C" w:rsidRDefault="00C53DBB" w14:paraId="55CEDB20" w14:textId="77777777">
      <w:pPr>
        <w:spacing w:after="0"/>
      </w:pPr>
    </w:p>
    <w:p w:rsidRPr="00D31A57" w:rsidR="00C53DBB" w:rsidP="00904E3C" w:rsidRDefault="00C53DBB" w14:paraId="263AEAC3" w14:textId="63347C20">
      <w:pPr>
        <w:numPr>
          <w:ilvl w:val="0"/>
          <w:numId w:val="23"/>
        </w:numPr>
        <w:spacing w:after="0"/>
      </w:pPr>
      <w:r w:rsidRPr="00D31A57">
        <w:t xml:space="preserve">In tabel 1a en tabel 4b is de groei van de netto primaire uitgaven per jaar, en de cumulatieve groei van de netto primaire uitgaven opgesteld op basis van een </w:t>
      </w:r>
      <w:r w:rsidRPr="009A661E">
        <w:t>foutieve toelichting in de</w:t>
      </w:r>
      <w:r w:rsidR="004F1A85">
        <w:t xml:space="preserve"> oorspronkelijke</w:t>
      </w:r>
      <w:r w:rsidRPr="009A661E">
        <w:t xml:space="preserve"> richtlijn </w:t>
      </w:r>
      <w:r w:rsidRPr="00D31A57">
        <w:t xml:space="preserve">van de Commissie. Hierin zijn de one-offs aan de inkomstenkant niet meegenomen. Op verzoek van de Commissie is dit gecorrigeerd conform de correcte berekeningswijze. </w:t>
      </w:r>
    </w:p>
    <w:p w:rsidRPr="00D31A57" w:rsidR="00C53DBB" w:rsidP="00904E3C" w:rsidRDefault="00C53DBB" w14:paraId="3D4CEF71" w14:textId="194B890D">
      <w:pPr>
        <w:numPr>
          <w:ilvl w:val="0"/>
          <w:numId w:val="23"/>
        </w:numPr>
        <w:spacing w:after="0"/>
      </w:pPr>
      <w:r w:rsidRPr="00D31A57">
        <w:t>In tabel 1a is de cumulatieve uitgavengroei gecorrigeerd naar het door de Raad aanbevolen maximum groei van de netto primaire uitgaven. Deze week eerder af door afrondingsverschillen.</w:t>
      </w:r>
    </w:p>
    <w:p w:rsidRPr="00D31A57" w:rsidR="00C53DBB" w:rsidP="00904E3C" w:rsidRDefault="00C53DBB" w14:paraId="4B8A8928" w14:textId="1E7EC8C6">
      <w:pPr>
        <w:numPr>
          <w:ilvl w:val="0"/>
          <w:numId w:val="23"/>
        </w:numPr>
        <w:spacing w:after="0"/>
      </w:pPr>
      <w:r w:rsidRPr="00D31A57">
        <w:t xml:space="preserve">In tabel 4b waren de reeksen in regel 41 en 42 verwisseld. Dit is gecorrigeerd. </w:t>
      </w:r>
    </w:p>
    <w:p w:rsidRPr="008D5439" w:rsidR="00C53DBB" w:rsidP="00904E3C" w:rsidRDefault="00C53DBB" w14:paraId="406F344E" w14:textId="77777777">
      <w:pPr>
        <w:spacing w:after="0"/>
      </w:pPr>
    </w:p>
    <w:p w:rsidR="009A5189" w:rsidP="00904E3C" w:rsidRDefault="009A5189" w14:paraId="6E15AC86" w14:textId="325937B6">
      <w:pPr>
        <w:spacing w:after="0" w:line="276" w:lineRule="auto"/>
        <w:rPr>
          <w:rFonts w:eastAsia="Verdana" w:cs="Verdana"/>
          <w:szCs w:val="18"/>
          <w:highlight w:val="yellow"/>
        </w:rPr>
      </w:pPr>
    </w:p>
    <w:p w:rsidRPr="009A661E" w:rsidR="00C53DBB" w:rsidP="00904E3C" w:rsidRDefault="00C53DBB" w14:paraId="7AF23F21" w14:textId="77777777">
      <w:pPr>
        <w:spacing w:after="0" w:line="276" w:lineRule="auto"/>
        <w:rPr>
          <w:rFonts w:eastAsia="Verdana" w:cs="Verdana"/>
          <w:szCs w:val="18"/>
          <w:highlight w:val="yellow"/>
        </w:rPr>
      </w:pPr>
    </w:p>
    <w:p w:rsidRPr="009A661E" w:rsidR="009A5189" w:rsidP="002F36C1" w:rsidRDefault="009A5189" w14:paraId="14DFA41E" w14:textId="77777777">
      <w:pPr>
        <w:spacing w:after="0" w:line="276" w:lineRule="auto"/>
        <w:rPr>
          <w:rFonts w:eastAsia="Verdana" w:cs="Verdana"/>
          <w:szCs w:val="18"/>
          <w:highlight w:val="yellow"/>
        </w:rPr>
      </w:pPr>
    </w:p>
    <w:sdt>
      <w:sdtPr>
        <w:rPr>
          <w:szCs w:val="18"/>
        </w:rPr>
        <w:id w:val="1207297000"/>
        <w:docPartObj>
          <w:docPartGallery w:val="Table of Contents"/>
          <w:docPartUnique/>
        </w:docPartObj>
      </w:sdtPr>
      <w:sdtEndPr>
        <w:rPr>
          <w:b/>
          <w:bCs/>
        </w:rPr>
      </w:sdtEndPr>
      <w:sdtContent>
        <w:p w:rsidRPr="002E31BB" w:rsidR="00E41F5A" w:rsidRDefault="00E41F5A" w14:paraId="03EA0D64" w14:textId="79428380">
          <w:pPr>
            <w:rPr>
              <w:szCs w:val="18"/>
            </w:rPr>
          </w:pPr>
        </w:p>
        <w:p w:rsidRPr="002E31BB" w:rsidR="00277769" w:rsidRDefault="00277769" w14:paraId="70076F19" w14:textId="77777777">
          <w:pPr>
            <w:rPr>
              <w:color w:val="01689B"/>
              <w:sz w:val="32"/>
              <w:szCs w:val="32"/>
            </w:rPr>
          </w:pPr>
          <w:r w:rsidRPr="002E31BB">
            <w:br w:type="page"/>
          </w:r>
        </w:p>
        <w:p w:rsidRPr="002E31BB" w:rsidR="00D13A77" w:rsidP="00615819" w:rsidRDefault="00D13A77" w14:paraId="73EE71DC" w14:textId="4837133E">
          <w:pPr>
            <w:pStyle w:val="Kop1"/>
          </w:pPr>
          <w:bookmarkStart w:name="_Toc196830270" w:id="3"/>
          <w:r w:rsidRPr="002E31BB">
            <w:lastRenderedPageBreak/>
            <w:t>Inhoud</w:t>
          </w:r>
          <w:bookmarkEnd w:id="3"/>
        </w:p>
        <w:p w:rsidRPr="002E31BB" w:rsidR="000C68FA" w:rsidRDefault="00D13A77" w14:paraId="17B2E14A" w14:textId="1CAD1F09">
          <w:pPr>
            <w:pStyle w:val="Inhopg1"/>
            <w:tabs>
              <w:tab w:val="right" w:leader="dot" w:pos="9062"/>
            </w:tabs>
            <w:rPr>
              <w:rFonts w:asciiTheme="minorHAnsi" w:hAnsiTheme="minorHAnsi" w:eastAsiaTheme="minorEastAsia"/>
              <w:noProof/>
              <w:sz w:val="24"/>
              <w:szCs w:val="24"/>
              <w:lang w:eastAsia="nl-NL"/>
            </w:rPr>
          </w:pPr>
          <w:r w:rsidRPr="002E31BB">
            <w:rPr>
              <w:szCs w:val="18"/>
            </w:rPr>
            <w:fldChar w:fldCharType="begin"/>
          </w:r>
          <w:r w:rsidRPr="002E31BB">
            <w:rPr>
              <w:szCs w:val="18"/>
            </w:rPr>
            <w:instrText xml:space="preserve"> TOC \o "1-3" \h \z \u </w:instrText>
          </w:r>
          <w:r w:rsidRPr="002E31BB">
            <w:rPr>
              <w:szCs w:val="18"/>
            </w:rPr>
            <w:fldChar w:fldCharType="separate"/>
          </w:r>
          <w:hyperlink w:history="1" w:anchor="_Toc196830269">
            <w:r w:rsidRPr="002E31BB" w:rsidR="000C68FA">
              <w:rPr>
                <w:rStyle w:val="Hyperlink"/>
                <w:noProof/>
              </w:rPr>
              <w:t>Samenvatting</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_Toc196830269 \h </w:instrText>
            </w:r>
            <w:r w:rsidRPr="002E31BB" w:rsidR="000C68FA">
              <w:rPr>
                <w:noProof/>
                <w:webHidden/>
              </w:rPr>
            </w:r>
            <w:r w:rsidRPr="002E31BB" w:rsidR="000C68FA">
              <w:rPr>
                <w:noProof/>
                <w:webHidden/>
              </w:rPr>
              <w:fldChar w:fldCharType="separate"/>
            </w:r>
            <w:r w:rsidRPr="002E31BB" w:rsidR="000C68FA">
              <w:rPr>
                <w:noProof/>
                <w:webHidden/>
              </w:rPr>
              <w:t>2</w:t>
            </w:r>
            <w:r w:rsidRPr="002E31BB" w:rsidR="000C68FA">
              <w:rPr>
                <w:noProof/>
                <w:webHidden/>
              </w:rPr>
              <w:fldChar w:fldCharType="end"/>
            </w:r>
          </w:hyperlink>
        </w:p>
        <w:p w:rsidRPr="002E31BB" w:rsidR="000C68FA" w:rsidRDefault="0092415A" w14:paraId="44799F30" w14:textId="2CE673D3">
          <w:pPr>
            <w:pStyle w:val="Inhopg1"/>
            <w:tabs>
              <w:tab w:val="right" w:leader="dot" w:pos="9062"/>
            </w:tabs>
            <w:rPr>
              <w:rFonts w:asciiTheme="minorHAnsi" w:hAnsiTheme="minorHAnsi" w:eastAsiaTheme="minorEastAsia"/>
              <w:noProof/>
              <w:sz w:val="24"/>
              <w:szCs w:val="24"/>
              <w:lang w:eastAsia="nl-NL"/>
            </w:rPr>
          </w:pPr>
          <w:hyperlink w:history="1" w:anchor="_Toc196830270">
            <w:r w:rsidRPr="002E31BB" w:rsidR="000C68FA">
              <w:rPr>
                <w:rStyle w:val="Hyperlink"/>
                <w:noProof/>
              </w:rPr>
              <w:t>Inhoud</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_Toc196830270 \h </w:instrText>
            </w:r>
            <w:r w:rsidRPr="002E31BB" w:rsidR="000C68FA">
              <w:rPr>
                <w:noProof/>
                <w:webHidden/>
              </w:rPr>
            </w:r>
            <w:r w:rsidRPr="002E31BB" w:rsidR="000C68FA">
              <w:rPr>
                <w:noProof/>
                <w:webHidden/>
              </w:rPr>
              <w:fldChar w:fldCharType="separate"/>
            </w:r>
            <w:r w:rsidRPr="002E31BB" w:rsidR="000C68FA">
              <w:rPr>
                <w:noProof/>
                <w:webHidden/>
              </w:rPr>
              <w:t>4</w:t>
            </w:r>
            <w:r w:rsidRPr="002E31BB" w:rsidR="000C68FA">
              <w:rPr>
                <w:noProof/>
                <w:webHidden/>
              </w:rPr>
              <w:fldChar w:fldCharType="end"/>
            </w:r>
          </w:hyperlink>
        </w:p>
        <w:p w:rsidRPr="002E31BB" w:rsidR="000C68FA" w:rsidRDefault="0092415A" w14:paraId="08DCBCF9" w14:textId="690BB2AB">
          <w:pPr>
            <w:pStyle w:val="Inhopg1"/>
            <w:tabs>
              <w:tab w:val="right" w:leader="dot" w:pos="9062"/>
            </w:tabs>
            <w:rPr>
              <w:rFonts w:asciiTheme="minorHAnsi" w:hAnsiTheme="minorHAnsi" w:eastAsiaTheme="minorEastAsia"/>
              <w:noProof/>
              <w:sz w:val="24"/>
              <w:szCs w:val="24"/>
              <w:lang w:eastAsia="nl-NL"/>
            </w:rPr>
          </w:pPr>
          <w:hyperlink w:history="1" w:anchor="_Toc196830271">
            <w:r w:rsidRPr="002E31BB" w:rsidR="000C68FA">
              <w:rPr>
                <w:rStyle w:val="Hyperlink"/>
                <w:noProof/>
              </w:rPr>
              <w:t>Hoofdstuk 1:  Politieke goedkeuring en consultatieproces</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_Toc196830271 \h </w:instrText>
            </w:r>
            <w:r w:rsidRPr="002E31BB" w:rsidR="000C68FA">
              <w:rPr>
                <w:noProof/>
                <w:webHidden/>
              </w:rPr>
            </w:r>
            <w:r w:rsidRPr="002E31BB" w:rsidR="000C68FA">
              <w:rPr>
                <w:noProof/>
                <w:webHidden/>
              </w:rPr>
              <w:fldChar w:fldCharType="separate"/>
            </w:r>
            <w:r w:rsidRPr="002E31BB" w:rsidR="000C68FA">
              <w:rPr>
                <w:noProof/>
                <w:webHidden/>
              </w:rPr>
              <w:t>5</w:t>
            </w:r>
            <w:r w:rsidRPr="002E31BB" w:rsidR="000C68FA">
              <w:rPr>
                <w:noProof/>
                <w:webHidden/>
              </w:rPr>
              <w:fldChar w:fldCharType="end"/>
            </w:r>
          </w:hyperlink>
        </w:p>
        <w:p w:rsidRPr="002E31BB" w:rsidR="000C68FA" w:rsidRDefault="0092415A" w14:paraId="174A4958" w14:textId="60B4FF5D">
          <w:pPr>
            <w:pStyle w:val="Inhopg1"/>
            <w:tabs>
              <w:tab w:val="right" w:leader="dot" w:pos="9062"/>
            </w:tabs>
            <w:rPr>
              <w:rFonts w:asciiTheme="minorHAnsi" w:hAnsiTheme="minorHAnsi" w:eastAsiaTheme="minorEastAsia"/>
              <w:noProof/>
              <w:sz w:val="24"/>
              <w:szCs w:val="24"/>
              <w:lang w:eastAsia="nl-NL"/>
            </w:rPr>
          </w:pPr>
          <w:hyperlink w:history="1" w:anchor="_Toc196830272">
            <w:r w:rsidRPr="002E31BB" w:rsidR="000C68FA">
              <w:rPr>
                <w:rStyle w:val="Hyperlink"/>
                <w:noProof/>
              </w:rPr>
              <w:t>Hoofdstuk 2:  Uitgavenpad en overzicht ontwikkeling economische en budgettaire variabelen</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_Toc196830272 \h </w:instrText>
            </w:r>
            <w:r w:rsidRPr="002E31BB" w:rsidR="000C68FA">
              <w:rPr>
                <w:noProof/>
                <w:webHidden/>
              </w:rPr>
            </w:r>
            <w:r w:rsidRPr="002E31BB" w:rsidR="000C68FA">
              <w:rPr>
                <w:noProof/>
                <w:webHidden/>
              </w:rPr>
              <w:fldChar w:fldCharType="separate"/>
            </w:r>
            <w:r w:rsidRPr="002E31BB" w:rsidR="000C68FA">
              <w:rPr>
                <w:noProof/>
                <w:webHidden/>
              </w:rPr>
              <w:t>6</w:t>
            </w:r>
            <w:r w:rsidRPr="002E31BB" w:rsidR="000C68FA">
              <w:rPr>
                <w:noProof/>
                <w:webHidden/>
              </w:rPr>
              <w:fldChar w:fldCharType="end"/>
            </w:r>
          </w:hyperlink>
        </w:p>
        <w:p w:rsidRPr="002E31BB" w:rsidR="000C68FA" w:rsidRDefault="0092415A" w14:paraId="17EC60E1" w14:textId="38EF6941">
          <w:pPr>
            <w:pStyle w:val="Inhopg1"/>
            <w:tabs>
              <w:tab w:val="right" w:leader="dot" w:pos="9062"/>
            </w:tabs>
            <w:rPr>
              <w:rFonts w:asciiTheme="minorHAnsi" w:hAnsiTheme="minorHAnsi" w:eastAsiaTheme="minorEastAsia"/>
              <w:noProof/>
              <w:sz w:val="24"/>
              <w:szCs w:val="24"/>
              <w:lang w:eastAsia="nl-NL"/>
            </w:rPr>
          </w:pPr>
          <w:hyperlink w:history="1" w:anchor="_Toc196830273">
            <w:r w:rsidRPr="002E31BB" w:rsidR="000C68FA">
              <w:rPr>
                <w:rStyle w:val="Hyperlink"/>
                <w:noProof/>
              </w:rPr>
              <w:t>Hoofdstuk 3:  Macro-economische ontwikkelingen</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_Toc196830273 \h </w:instrText>
            </w:r>
            <w:r w:rsidRPr="002E31BB" w:rsidR="000C68FA">
              <w:rPr>
                <w:noProof/>
                <w:webHidden/>
              </w:rPr>
            </w:r>
            <w:r w:rsidRPr="002E31BB" w:rsidR="000C68FA">
              <w:rPr>
                <w:noProof/>
                <w:webHidden/>
              </w:rPr>
              <w:fldChar w:fldCharType="separate"/>
            </w:r>
            <w:r w:rsidRPr="002E31BB" w:rsidR="000C68FA">
              <w:rPr>
                <w:noProof/>
                <w:webHidden/>
              </w:rPr>
              <w:t>9</w:t>
            </w:r>
            <w:r w:rsidRPr="002E31BB" w:rsidR="000C68FA">
              <w:rPr>
                <w:noProof/>
                <w:webHidden/>
              </w:rPr>
              <w:fldChar w:fldCharType="end"/>
            </w:r>
          </w:hyperlink>
        </w:p>
        <w:p w:rsidRPr="002E31BB" w:rsidR="000C68FA" w:rsidRDefault="0092415A" w14:paraId="624D5C25" w14:textId="39F47CEF">
          <w:pPr>
            <w:pStyle w:val="Inhopg1"/>
            <w:tabs>
              <w:tab w:val="right" w:leader="dot" w:pos="9062"/>
            </w:tabs>
            <w:rPr>
              <w:rFonts w:asciiTheme="minorHAnsi" w:hAnsiTheme="minorHAnsi" w:eastAsiaTheme="minorEastAsia"/>
              <w:noProof/>
              <w:sz w:val="24"/>
              <w:szCs w:val="24"/>
              <w:lang w:eastAsia="nl-NL"/>
            </w:rPr>
          </w:pPr>
          <w:hyperlink w:history="1" w:anchor="_Toc196830274">
            <w:r w:rsidRPr="002E31BB" w:rsidR="000C68FA">
              <w:rPr>
                <w:rStyle w:val="Hyperlink"/>
                <w:noProof/>
              </w:rPr>
              <w:t>Hoofdstuk 4:  Budgettaire ontwikkelingen</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_Toc196830274 \h </w:instrText>
            </w:r>
            <w:r w:rsidRPr="002E31BB" w:rsidR="000C68FA">
              <w:rPr>
                <w:noProof/>
                <w:webHidden/>
              </w:rPr>
            </w:r>
            <w:r w:rsidRPr="002E31BB" w:rsidR="000C68FA">
              <w:rPr>
                <w:noProof/>
                <w:webHidden/>
              </w:rPr>
              <w:fldChar w:fldCharType="separate"/>
            </w:r>
            <w:r w:rsidRPr="002E31BB" w:rsidR="000C68FA">
              <w:rPr>
                <w:noProof/>
                <w:webHidden/>
              </w:rPr>
              <w:t>13</w:t>
            </w:r>
            <w:r w:rsidRPr="002E31BB" w:rsidR="000C68FA">
              <w:rPr>
                <w:noProof/>
                <w:webHidden/>
              </w:rPr>
              <w:fldChar w:fldCharType="end"/>
            </w:r>
          </w:hyperlink>
        </w:p>
        <w:p w:rsidRPr="002E31BB" w:rsidR="000C68FA" w:rsidRDefault="0092415A" w14:paraId="4CD4F16D" w14:textId="504ECE5D">
          <w:pPr>
            <w:pStyle w:val="Inhopg1"/>
            <w:tabs>
              <w:tab w:val="right" w:leader="dot" w:pos="9062"/>
            </w:tabs>
            <w:rPr>
              <w:rFonts w:asciiTheme="minorHAnsi" w:hAnsiTheme="minorHAnsi" w:eastAsiaTheme="minorEastAsia"/>
              <w:noProof/>
              <w:sz w:val="24"/>
              <w:szCs w:val="24"/>
              <w:lang w:eastAsia="nl-NL"/>
            </w:rPr>
          </w:pPr>
          <w:hyperlink w:history="1" w:anchor="_Toc196830275">
            <w:r w:rsidRPr="002E31BB" w:rsidR="000C68FA">
              <w:rPr>
                <w:rStyle w:val="Hyperlink"/>
                <w:noProof/>
              </w:rPr>
              <w:t>Hoofdstuk 5:  Hervormingen en investeringen</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_Toc196830275 \h </w:instrText>
            </w:r>
            <w:r w:rsidRPr="002E31BB" w:rsidR="000C68FA">
              <w:rPr>
                <w:noProof/>
                <w:webHidden/>
              </w:rPr>
            </w:r>
            <w:r w:rsidRPr="002E31BB" w:rsidR="000C68FA">
              <w:rPr>
                <w:noProof/>
                <w:webHidden/>
              </w:rPr>
              <w:fldChar w:fldCharType="separate"/>
            </w:r>
            <w:r w:rsidRPr="002E31BB" w:rsidR="000C68FA">
              <w:rPr>
                <w:noProof/>
                <w:webHidden/>
              </w:rPr>
              <w:t>19</w:t>
            </w:r>
            <w:r w:rsidRPr="002E31BB" w:rsidR="000C68FA">
              <w:rPr>
                <w:noProof/>
                <w:webHidden/>
              </w:rPr>
              <w:fldChar w:fldCharType="end"/>
            </w:r>
          </w:hyperlink>
        </w:p>
        <w:p w:rsidRPr="002E31BB" w:rsidR="000C68FA" w:rsidRDefault="0092415A" w14:paraId="203EB159" w14:textId="6D7DCF8E">
          <w:pPr>
            <w:pStyle w:val="Inhopg1"/>
            <w:tabs>
              <w:tab w:val="right" w:leader="dot" w:pos="9062"/>
            </w:tabs>
            <w:rPr>
              <w:rFonts w:asciiTheme="minorHAnsi" w:hAnsiTheme="minorHAnsi" w:eastAsiaTheme="minorEastAsia"/>
              <w:noProof/>
              <w:sz w:val="24"/>
              <w:szCs w:val="24"/>
              <w:lang w:eastAsia="nl-NL"/>
            </w:rPr>
          </w:pPr>
          <w:hyperlink w:history="1" w:anchor="_Toc196830276">
            <w:r w:rsidRPr="002E31BB" w:rsidR="000C68FA">
              <w:rPr>
                <w:rStyle w:val="Hyperlink"/>
                <w:noProof/>
              </w:rPr>
              <w:t>Hoofdstuk 6:  Voorwaardelijke verplichtingen</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_Toc196830276 \h </w:instrText>
            </w:r>
            <w:r w:rsidRPr="002E31BB" w:rsidR="000C68FA">
              <w:rPr>
                <w:noProof/>
                <w:webHidden/>
              </w:rPr>
            </w:r>
            <w:r w:rsidRPr="002E31BB" w:rsidR="000C68FA">
              <w:rPr>
                <w:noProof/>
                <w:webHidden/>
              </w:rPr>
              <w:fldChar w:fldCharType="separate"/>
            </w:r>
            <w:r w:rsidRPr="002E31BB" w:rsidR="000C68FA">
              <w:rPr>
                <w:noProof/>
                <w:webHidden/>
              </w:rPr>
              <w:t>38</w:t>
            </w:r>
            <w:r w:rsidRPr="002E31BB" w:rsidR="000C68FA">
              <w:rPr>
                <w:noProof/>
                <w:webHidden/>
              </w:rPr>
              <w:fldChar w:fldCharType="end"/>
            </w:r>
          </w:hyperlink>
        </w:p>
        <w:p w:rsidRPr="002E31BB" w:rsidR="000C68FA" w:rsidRDefault="0092415A" w14:paraId="20267980" w14:textId="0F2F782A">
          <w:pPr>
            <w:pStyle w:val="Inhopg1"/>
            <w:tabs>
              <w:tab w:val="right" w:leader="dot" w:pos="9062"/>
            </w:tabs>
            <w:rPr>
              <w:rFonts w:asciiTheme="minorHAnsi" w:hAnsiTheme="minorHAnsi" w:eastAsiaTheme="minorEastAsia"/>
              <w:noProof/>
              <w:sz w:val="24"/>
              <w:szCs w:val="24"/>
              <w:lang w:eastAsia="nl-NL"/>
            </w:rPr>
          </w:pPr>
          <w:hyperlink w:history="1" w:anchor="_Toc196830277">
            <w:r w:rsidRPr="002E31BB" w:rsidR="000C68FA">
              <w:rPr>
                <w:rStyle w:val="Hyperlink"/>
                <w:noProof/>
                <w:lang w:val="en-US"/>
              </w:rPr>
              <w:t>Bijlage 1: Voortgang European Pillar of Social Rights &amp; Sustainable Development Goals</w:t>
            </w:r>
            <w:r w:rsidRPr="002E31BB" w:rsidR="000C68FA">
              <w:rPr>
                <w:noProof/>
                <w:webHidden/>
              </w:rPr>
              <w:tab/>
            </w:r>
            <w:r w:rsidRPr="002E31BB" w:rsidR="000C68FA">
              <w:rPr>
                <w:noProof/>
                <w:webHidden/>
              </w:rPr>
              <w:fldChar w:fldCharType="begin"/>
            </w:r>
            <w:r w:rsidRPr="002E31BB" w:rsidR="000C68FA">
              <w:rPr>
                <w:noProof/>
                <w:webHidden/>
              </w:rPr>
              <w:instrText xml:space="preserve"> PAGEREF _Toc196830277 \h </w:instrText>
            </w:r>
            <w:r w:rsidRPr="002E31BB" w:rsidR="000C68FA">
              <w:rPr>
                <w:noProof/>
                <w:webHidden/>
              </w:rPr>
            </w:r>
            <w:r w:rsidRPr="002E31BB" w:rsidR="000C68FA">
              <w:rPr>
                <w:noProof/>
                <w:webHidden/>
              </w:rPr>
              <w:fldChar w:fldCharType="separate"/>
            </w:r>
            <w:r w:rsidRPr="002E31BB" w:rsidR="000C68FA">
              <w:rPr>
                <w:noProof/>
                <w:webHidden/>
              </w:rPr>
              <w:t>41</w:t>
            </w:r>
            <w:r w:rsidRPr="002E31BB" w:rsidR="000C68FA">
              <w:rPr>
                <w:noProof/>
                <w:webHidden/>
              </w:rPr>
              <w:fldChar w:fldCharType="end"/>
            </w:r>
          </w:hyperlink>
        </w:p>
        <w:p w:rsidRPr="000B4D4D" w:rsidR="00D13A77" w:rsidRDefault="00D13A77" w14:paraId="1D92FC5C" w14:textId="7F0FF8FD">
          <w:pPr>
            <w:rPr>
              <w:szCs w:val="18"/>
            </w:rPr>
          </w:pPr>
          <w:r w:rsidRPr="002E31BB">
            <w:rPr>
              <w:b/>
              <w:bCs/>
              <w:szCs w:val="18"/>
            </w:rPr>
            <w:fldChar w:fldCharType="end"/>
          </w:r>
        </w:p>
      </w:sdtContent>
    </w:sdt>
    <w:p w:rsidRPr="000B4D4D" w:rsidR="00C60F37" w:rsidP="00C60F37" w:rsidRDefault="00C60F37" w14:paraId="52716059" w14:textId="683250FD">
      <w:pPr>
        <w:rPr>
          <w:rFonts w:eastAsia="Verdana" w:cs="Verdana"/>
          <w:szCs w:val="18"/>
        </w:rPr>
      </w:pPr>
      <w:r w:rsidRPr="000B4D4D">
        <w:rPr>
          <w:rFonts w:eastAsia="Verdana" w:cs="Verdana"/>
          <w:szCs w:val="18"/>
        </w:rPr>
        <w:br w:type="page"/>
      </w:r>
    </w:p>
    <w:p w:rsidRPr="00E90504" w:rsidR="00D13A77" w:rsidP="00D13A77" w:rsidRDefault="00D13A77" w14:paraId="16211F3E" w14:textId="40BADEAF">
      <w:pPr>
        <w:pStyle w:val="Kop1"/>
      </w:pPr>
      <w:bookmarkStart w:name="_Toc164693904" w:id="4"/>
      <w:bookmarkStart w:name="_Toc196830271" w:id="5"/>
      <w:bookmarkStart w:name="_Hlk193204781" w:id="6"/>
      <w:r w:rsidRPr="00E90504">
        <w:lastRenderedPageBreak/>
        <w:t xml:space="preserve">Hoofdstuk 1: </w:t>
      </w:r>
      <w:r w:rsidRPr="00E90504">
        <w:br/>
      </w:r>
      <w:bookmarkEnd w:id="4"/>
      <w:r w:rsidRPr="00E90504">
        <w:rPr>
          <w:color w:val="auto"/>
        </w:rPr>
        <w:t>Politieke goedkeuring en consultatieproces</w:t>
      </w:r>
      <w:bookmarkEnd w:id="5"/>
      <w:r w:rsidRPr="00E90504">
        <w:rPr>
          <w:color w:val="auto"/>
        </w:rPr>
        <w:t xml:space="preserve">  </w:t>
      </w:r>
    </w:p>
    <w:bookmarkEnd w:id="6"/>
    <w:p w:rsidRPr="000B4D4D" w:rsidR="00C60F37" w:rsidP="002F36C1" w:rsidRDefault="00C60F37" w14:paraId="628A077A" w14:textId="45E4E754">
      <w:pPr>
        <w:spacing w:line="276" w:lineRule="auto"/>
        <w:rPr>
          <w:rFonts w:eastAsia="Verdana" w:cs="Verdana"/>
          <w:b/>
          <w:szCs w:val="18"/>
        </w:rPr>
      </w:pPr>
      <w:r w:rsidRPr="00E90504">
        <w:rPr>
          <w:rFonts w:asciiTheme="minorHAnsi" w:hAnsiTheme="minorHAnsi"/>
          <w:sz w:val="22"/>
        </w:rPr>
        <w:br/>
      </w:r>
      <w:r w:rsidRPr="000B4D4D">
        <w:rPr>
          <w:i/>
          <w:szCs w:val="18"/>
        </w:rPr>
        <w:t>Dit hoofdstuk gaat in op het proces waarmee het consultatieproces is vormgegeven.</w:t>
      </w:r>
    </w:p>
    <w:p w:rsidRPr="000B4D4D" w:rsidR="00C60F37" w:rsidP="00C60F37" w:rsidRDefault="00397600" w14:paraId="644DC8A8" w14:textId="53107F10">
      <w:pPr>
        <w:spacing w:after="0" w:line="276" w:lineRule="auto"/>
        <w:contextualSpacing/>
        <w:rPr>
          <w:bCs/>
          <w:szCs w:val="18"/>
        </w:rPr>
      </w:pPr>
      <w:r>
        <w:rPr>
          <w:bCs/>
          <w:szCs w:val="18"/>
        </w:rPr>
        <w:t>D</w:t>
      </w:r>
      <w:r w:rsidRPr="000B4D4D" w:rsidR="000F4659">
        <w:rPr>
          <w:bCs/>
          <w:szCs w:val="18"/>
        </w:rPr>
        <w:t>e Jaarlijkse Voortgangsrapportage</w:t>
      </w:r>
      <w:r w:rsidRPr="000B4D4D" w:rsidR="00C60F37">
        <w:rPr>
          <w:bCs/>
          <w:szCs w:val="18"/>
        </w:rPr>
        <w:t xml:space="preserve"> is </w:t>
      </w:r>
      <w:r w:rsidRPr="000B4D4D" w:rsidR="00300650">
        <w:rPr>
          <w:bCs/>
          <w:szCs w:val="18"/>
        </w:rPr>
        <w:t xml:space="preserve">verzonden </w:t>
      </w:r>
      <w:r w:rsidRPr="000B4D4D" w:rsidR="00C60F37">
        <w:rPr>
          <w:bCs/>
          <w:szCs w:val="18"/>
        </w:rPr>
        <w:t>aan beide Kamers van het parlement</w:t>
      </w:r>
      <w:r w:rsidRPr="000B4D4D" w:rsidR="000E5A4E">
        <w:rPr>
          <w:bCs/>
          <w:szCs w:val="18"/>
        </w:rPr>
        <w:t xml:space="preserve"> op </w:t>
      </w:r>
      <w:r w:rsidRPr="008A4F03">
        <w:rPr>
          <w:bCs/>
          <w:szCs w:val="18"/>
        </w:rPr>
        <w:t>29 april</w:t>
      </w:r>
      <w:r w:rsidRPr="008A4F03" w:rsidR="000E5A4E">
        <w:rPr>
          <w:bCs/>
          <w:szCs w:val="18"/>
        </w:rPr>
        <w:t xml:space="preserve"> 2025</w:t>
      </w:r>
      <w:r w:rsidRPr="000B4D4D" w:rsidR="00C60F37">
        <w:rPr>
          <w:bCs/>
          <w:szCs w:val="18"/>
        </w:rPr>
        <w:t xml:space="preserve">. </w:t>
      </w:r>
    </w:p>
    <w:p w:rsidRPr="000B4D4D" w:rsidR="00C60F37" w:rsidP="00C60F37" w:rsidRDefault="00C60F37" w14:paraId="1717C01B" w14:textId="77777777">
      <w:pPr>
        <w:spacing w:after="0" w:line="276" w:lineRule="auto"/>
        <w:contextualSpacing/>
        <w:rPr>
          <w:bCs/>
          <w:szCs w:val="18"/>
        </w:rPr>
      </w:pPr>
    </w:p>
    <w:p w:rsidRPr="000B4D4D" w:rsidR="00C60F37" w:rsidP="00C60F37" w:rsidRDefault="00C60F37" w14:paraId="053194F1" w14:textId="703CC146">
      <w:pPr>
        <w:spacing w:after="0" w:line="276" w:lineRule="auto"/>
        <w:rPr>
          <w:bCs/>
          <w:szCs w:val="18"/>
        </w:rPr>
      </w:pPr>
      <w:r w:rsidRPr="000B4D4D">
        <w:rPr>
          <w:bCs/>
          <w:szCs w:val="18"/>
        </w:rPr>
        <w:t xml:space="preserve">Daarnaast is een concept van </w:t>
      </w:r>
      <w:r w:rsidRPr="000B4D4D" w:rsidR="000F4659">
        <w:rPr>
          <w:bCs/>
          <w:szCs w:val="18"/>
        </w:rPr>
        <w:t>de Jaarlijkse Voortgangsrapportage</w:t>
      </w:r>
      <w:r w:rsidRPr="000B4D4D">
        <w:rPr>
          <w:bCs/>
          <w:szCs w:val="18"/>
        </w:rPr>
        <w:t xml:space="preserve"> voorgelegd aan de Raad van State en</w:t>
      </w:r>
      <w:r w:rsidRPr="000B4D4D" w:rsidR="000D2A97">
        <w:rPr>
          <w:bCs/>
          <w:szCs w:val="18"/>
        </w:rPr>
        <w:t xml:space="preserve"> is gebruik gemaakt van cijfers van </w:t>
      </w:r>
      <w:r w:rsidRPr="000B4D4D">
        <w:rPr>
          <w:bCs/>
          <w:szCs w:val="18"/>
        </w:rPr>
        <w:t xml:space="preserve">het Centraal Planbureau (CPB). De Raad van State is de instantie in Nederland die belast is met het toezicht op de naleving van de Europese begrotingsregels. Deze rol vloeit voort uit </w:t>
      </w:r>
      <w:r w:rsidRPr="000B4D4D" w:rsidR="000370D4">
        <w:rPr>
          <w:bCs/>
          <w:szCs w:val="18"/>
        </w:rPr>
        <w:t xml:space="preserve">EU Verordening 2024/1263 en Richtlijn 2024/1265 en is vastgelegd </w:t>
      </w:r>
      <w:r w:rsidRPr="000B4D4D">
        <w:rPr>
          <w:bCs/>
          <w:szCs w:val="18"/>
        </w:rPr>
        <w:t xml:space="preserve">in de Wet houdbare overheidsfinanciën (Wet hof). Het CPB maakt als onafhankelijke instelling de macro-economische ramingen. </w:t>
      </w:r>
      <w:r w:rsidRPr="000B4D4D">
        <w:rPr>
          <w:rFonts w:eastAsia="Verdana" w:cs="Verdana"/>
          <w:bCs/>
          <w:szCs w:val="18"/>
        </w:rPr>
        <w:t xml:space="preserve">De in deze rapportage gebruikte cijfers zijn gebaseerd op de meest recente raming van het CPB: </w:t>
      </w:r>
      <w:r w:rsidR="003D5986">
        <w:rPr>
          <w:rFonts w:eastAsia="Verdana" w:cs="Verdana"/>
          <w:bCs/>
          <w:szCs w:val="18"/>
        </w:rPr>
        <w:t>het macro-economisch beeld uit het Centraal Economisch Plan (CEP)</w:t>
      </w:r>
      <w:r w:rsidR="00E24EDB">
        <w:rPr>
          <w:rStyle w:val="Voetnootmarkering"/>
          <w:rFonts w:eastAsia="Verdana" w:cs="Verdana"/>
          <w:bCs/>
          <w:szCs w:val="18"/>
        </w:rPr>
        <w:footnoteReference w:id="3"/>
      </w:r>
      <w:r w:rsidR="003D5986">
        <w:rPr>
          <w:rFonts w:eastAsia="Verdana" w:cs="Verdana"/>
          <w:bCs/>
          <w:szCs w:val="18"/>
        </w:rPr>
        <w:t xml:space="preserve"> en </w:t>
      </w:r>
      <w:r w:rsidR="00E90504">
        <w:rPr>
          <w:rFonts w:eastAsia="Verdana" w:cs="Verdana"/>
          <w:bCs/>
          <w:szCs w:val="18"/>
        </w:rPr>
        <w:t>de</w:t>
      </w:r>
      <w:r w:rsidRPr="000B4D4D" w:rsidR="002B0312">
        <w:rPr>
          <w:rFonts w:eastAsia="Verdana" w:cs="Verdana"/>
          <w:bCs/>
          <w:szCs w:val="18"/>
        </w:rPr>
        <w:t xml:space="preserve"> </w:t>
      </w:r>
      <w:r w:rsidRPr="000B4D4D" w:rsidR="000F4659">
        <w:rPr>
          <w:rFonts w:eastAsia="Verdana" w:cs="Verdana"/>
          <w:bCs/>
          <w:szCs w:val="18"/>
        </w:rPr>
        <w:t xml:space="preserve">doorrekening van voorjaarsnota door </w:t>
      </w:r>
      <w:r w:rsidR="00944475">
        <w:rPr>
          <w:rFonts w:eastAsia="Verdana" w:cs="Verdana"/>
          <w:bCs/>
          <w:szCs w:val="18"/>
        </w:rPr>
        <w:t>het</w:t>
      </w:r>
      <w:r w:rsidRPr="000B4D4D" w:rsidR="000F4659">
        <w:rPr>
          <w:rFonts w:eastAsia="Verdana" w:cs="Verdana"/>
          <w:bCs/>
          <w:szCs w:val="18"/>
        </w:rPr>
        <w:t xml:space="preserve"> CPB</w:t>
      </w:r>
      <w:r w:rsidRPr="000B4D4D" w:rsidR="00B7685E">
        <w:rPr>
          <w:rFonts w:eastAsia="Verdana" w:cs="Verdana"/>
          <w:bCs/>
          <w:szCs w:val="18"/>
        </w:rPr>
        <w:t>.</w:t>
      </w:r>
      <w:r w:rsidR="00E24EDB">
        <w:rPr>
          <w:rStyle w:val="Voetnootmarkering"/>
          <w:rFonts w:eastAsia="Verdana" w:cs="Verdana"/>
          <w:bCs/>
          <w:szCs w:val="18"/>
        </w:rPr>
        <w:footnoteReference w:id="4"/>
      </w:r>
      <w:r w:rsidRPr="000B4D4D" w:rsidR="00B7685E">
        <w:rPr>
          <w:rFonts w:eastAsia="Verdana" w:cs="Verdana"/>
          <w:bCs/>
          <w:szCs w:val="18"/>
        </w:rPr>
        <w:t xml:space="preserve"> Tot slot zijn</w:t>
      </w:r>
      <w:r w:rsidRPr="000B4D4D" w:rsidR="000F4659">
        <w:rPr>
          <w:rFonts w:eastAsia="Verdana" w:cs="Verdana"/>
          <w:bCs/>
          <w:szCs w:val="18"/>
        </w:rPr>
        <w:t xml:space="preserve"> de realisatiecijfers van het Centraal Bureau voor de Statistiek (CBS)</w:t>
      </w:r>
      <w:r w:rsidR="00E24EDB">
        <w:rPr>
          <w:rFonts w:eastAsia="Verdana" w:cs="Verdana"/>
          <w:bCs/>
          <w:szCs w:val="18"/>
        </w:rPr>
        <w:t xml:space="preserve"> gebruikt</w:t>
      </w:r>
      <w:r w:rsidRPr="000B4D4D">
        <w:rPr>
          <w:rFonts w:eastAsia="Verdana" w:cs="Verdana"/>
          <w:bCs/>
          <w:szCs w:val="18"/>
        </w:rPr>
        <w:t>.</w:t>
      </w:r>
    </w:p>
    <w:p w:rsidRPr="000B4D4D" w:rsidR="00C60F37" w:rsidP="00C60F37" w:rsidRDefault="00C60F37" w14:paraId="5A2B9FD1" w14:textId="77777777">
      <w:pPr>
        <w:spacing w:line="276" w:lineRule="auto"/>
        <w:contextualSpacing/>
        <w:rPr>
          <w:bCs/>
          <w:szCs w:val="18"/>
        </w:rPr>
      </w:pPr>
    </w:p>
    <w:p w:rsidRPr="000B4D4D" w:rsidR="00782BBE" w:rsidP="00782BBE" w:rsidRDefault="00782BBE" w14:paraId="1267D209" w14:textId="464A4F36">
      <w:pPr>
        <w:rPr>
          <w:rFonts w:eastAsia="Verdana" w:cs="Verdana"/>
          <w:szCs w:val="18"/>
        </w:rPr>
      </w:pPr>
      <w:r w:rsidRPr="000B4D4D">
        <w:rPr>
          <w:rFonts w:eastAsia="Verdana" w:cs="Verdana"/>
          <w:szCs w:val="18"/>
        </w:rPr>
        <w:t>Bij totstandkoming van het beleid dat in dit plan wordt beschreven, worden alle relevante stakeholders, waaronder de sociale partners, betrokken via de reguliere wetgevingsprocessen.</w:t>
      </w:r>
    </w:p>
    <w:p w:rsidRPr="000B4D4D" w:rsidR="00D13A77" w:rsidP="00D13A77" w:rsidRDefault="00D13A77" w14:paraId="1B7B4182" w14:textId="788DEDE8">
      <w:pPr>
        <w:rPr>
          <w:rFonts w:eastAsia="Verdana" w:cs="Verdana"/>
          <w:szCs w:val="18"/>
        </w:rPr>
      </w:pPr>
    </w:p>
    <w:p w:rsidRPr="000B4D4D" w:rsidR="00D13A77" w:rsidRDefault="00D13A77" w14:paraId="521CB0B2" w14:textId="31B38531">
      <w:pPr>
        <w:rPr>
          <w:rFonts w:eastAsia="Verdana" w:cs="Verdana"/>
          <w:szCs w:val="18"/>
        </w:rPr>
      </w:pPr>
      <w:r w:rsidRPr="000B4D4D">
        <w:rPr>
          <w:rFonts w:eastAsia="Verdana" w:cs="Verdana"/>
          <w:szCs w:val="18"/>
        </w:rPr>
        <w:br w:type="page"/>
      </w:r>
    </w:p>
    <w:p w:rsidRPr="00E90504" w:rsidR="00D13A77" w:rsidP="00D13A77" w:rsidRDefault="00D13A77" w14:paraId="0A4D33B9" w14:textId="79699559">
      <w:pPr>
        <w:pStyle w:val="Kop1"/>
        <w:rPr>
          <w:color w:val="auto"/>
        </w:rPr>
      </w:pPr>
      <w:bookmarkStart w:name="_Toc196830272" w:id="7"/>
      <w:r w:rsidRPr="00E90504">
        <w:lastRenderedPageBreak/>
        <w:t xml:space="preserve">Hoofdstuk 2: </w:t>
      </w:r>
      <w:r w:rsidRPr="00E90504">
        <w:br/>
      </w:r>
      <w:r w:rsidRPr="00E90504">
        <w:rPr>
          <w:color w:val="auto"/>
        </w:rPr>
        <w:t>Uitgavenpad en overzicht ontwikkeling economische en budgettaire variabelen</w:t>
      </w:r>
      <w:bookmarkEnd w:id="7"/>
    </w:p>
    <w:p w:rsidRPr="000B4D4D" w:rsidR="00A63CF0" w:rsidP="00A63CF0" w:rsidRDefault="00A63CF0" w14:paraId="700005F5" w14:textId="6A88B149">
      <w:pPr>
        <w:rPr>
          <w:rFonts w:eastAsia="Verdana" w:cs="Verdana"/>
          <w:i/>
          <w:szCs w:val="18"/>
        </w:rPr>
      </w:pPr>
      <w:r w:rsidRPr="000B4D4D">
        <w:rPr>
          <w:rFonts w:eastAsia="Verdana" w:cs="Verdana"/>
          <w:i/>
          <w:szCs w:val="18"/>
        </w:rPr>
        <w:t>In dit hoofdstuk wordt de ontwikkeling van het uitgavenpad gedurende de aanpassingsperiode geschetst. Daarnaast wordt een overzicht gegeven van de belangrijkste economische en budgettaire variabelen.</w:t>
      </w:r>
      <w:r w:rsidR="001B5076">
        <w:rPr>
          <w:rFonts w:eastAsia="Verdana" w:cs="Verdana"/>
          <w:i/>
          <w:szCs w:val="18"/>
        </w:rPr>
        <w:t xml:space="preserve"> In de hoofdstukken hierna worden deze variabelen specifiek toegelicht.</w:t>
      </w:r>
    </w:p>
    <w:p w:rsidRPr="000B4D4D" w:rsidR="00A63CF0" w:rsidP="00A63CF0" w:rsidRDefault="00A63CF0" w14:paraId="35C984FD" w14:textId="00F9CF75">
      <w:pPr>
        <w:rPr>
          <w:b/>
          <w:szCs w:val="18"/>
        </w:rPr>
      </w:pPr>
      <w:r w:rsidRPr="000B4D4D">
        <w:rPr>
          <w:b/>
          <w:szCs w:val="18"/>
        </w:rPr>
        <w:t>2.1 Uitgavenpad</w:t>
      </w:r>
    </w:p>
    <w:p w:rsidRPr="000B4D4D" w:rsidR="00A63CF0" w:rsidP="00A63CF0" w:rsidRDefault="00A63CF0" w14:paraId="0EFFB9B3" w14:textId="73773A74">
      <w:pPr>
        <w:rPr>
          <w:i/>
          <w:szCs w:val="18"/>
        </w:rPr>
      </w:pPr>
      <w:r w:rsidRPr="000B4D4D">
        <w:rPr>
          <w:i/>
          <w:szCs w:val="18"/>
        </w:rPr>
        <w:t xml:space="preserve">In deze paragraaf wordt </w:t>
      </w:r>
      <w:r w:rsidRPr="000B4D4D" w:rsidR="00CA3F88">
        <w:rPr>
          <w:i/>
          <w:szCs w:val="18"/>
        </w:rPr>
        <w:t xml:space="preserve">de ontwikkeling van de netto primaire overheidsuitgaven ten opzichte van </w:t>
      </w:r>
      <w:r w:rsidRPr="000B4D4D">
        <w:rPr>
          <w:i/>
          <w:szCs w:val="18"/>
        </w:rPr>
        <w:t xml:space="preserve">het </w:t>
      </w:r>
      <w:r w:rsidRPr="000B4D4D" w:rsidR="00CA3F88">
        <w:rPr>
          <w:i/>
          <w:szCs w:val="18"/>
        </w:rPr>
        <w:t>door de Raad aanbevo</w:t>
      </w:r>
      <w:r w:rsidRPr="000B4D4D" w:rsidR="00FB1BEC">
        <w:rPr>
          <w:i/>
          <w:szCs w:val="18"/>
        </w:rPr>
        <w:t>l</w:t>
      </w:r>
      <w:r w:rsidRPr="000B4D4D" w:rsidR="00CA3F88">
        <w:rPr>
          <w:i/>
          <w:szCs w:val="18"/>
        </w:rPr>
        <w:t xml:space="preserve">en </w:t>
      </w:r>
      <w:r w:rsidRPr="000B4D4D">
        <w:rPr>
          <w:i/>
          <w:szCs w:val="18"/>
        </w:rPr>
        <w:t xml:space="preserve">uitgavenpad toegelicht. De realisatie van de groei van de netto primaire uitgaven in 2024 en de raming van de uitgavengroei in de komende jaren worden toegelicht en gepresenteerd in </w:t>
      </w:r>
      <w:r w:rsidR="00E24EDB">
        <w:rPr>
          <w:i/>
          <w:szCs w:val="18"/>
        </w:rPr>
        <w:t>t</w:t>
      </w:r>
      <w:r w:rsidRPr="000B4D4D">
        <w:rPr>
          <w:i/>
          <w:szCs w:val="18"/>
        </w:rPr>
        <w:t>abel 1a.</w:t>
      </w:r>
    </w:p>
    <w:p w:rsidR="00CC6203" w:rsidP="00CC6203" w:rsidRDefault="00CC6203" w14:paraId="1534C73D" w14:textId="484ECB09">
      <w:pPr>
        <w:autoSpaceDN w:val="0"/>
        <w:spacing w:after="0" w:line="240" w:lineRule="exact"/>
        <w:textAlignment w:val="baseline"/>
        <w:rPr>
          <w:szCs w:val="18"/>
        </w:rPr>
      </w:pPr>
      <w:r w:rsidRPr="000B4D4D">
        <w:rPr>
          <w:b/>
          <w:bCs/>
          <w:szCs w:val="18"/>
        </w:rPr>
        <w:t>Met het maatregelenpakket uit de Voorjaarsnota 2025 houdt het kabinet vast aan trendmatig begroten, wat bijdraagt aan stabiel en voorspelbaar beleid.</w:t>
      </w:r>
      <w:r w:rsidRPr="000B4D4D">
        <w:rPr>
          <w:szCs w:val="18"/>
        </w:rPr>
        <w:t xml:space="preserve"> Het uitgaven- en inkomstenkader worden gehandhaafd, waarmee wordt bijgedragen aan een solide en gezonde rijksbegroting. Dit is extra belangrijk gezien de toegenomen geopolitieke spanningen en economische onzekerheden. Hiermee sluiten het uitgavenkader en het inkomstenkader binnen de begrotingshorizon. Daarmee worden de financiële afspraken uit het hoofdlijnenakkoord gerespecteerd en worden lasten niet doorgeschoven naar toekomstige generaties.</w:t>
      </w:r>
    </w:p>
    <w:p w:rsidRPr="00106C84" w:rsidR="00CC6203" w:rsidP="00106C84" w:rsidRDefault="00CC6203" w14:paraId="34A5DFA9" w14:textId="77777777">
      <w:pPr>
        <w:autoSpaceDN w:val="0"/>
        <w:spacing w:after="0" w:line="240" w:lineRule="exact"/>
        <w:textAlignment w:val="baseline"/>
        <w:rPr>
          <w:szCs w:val="18"/>
        </w:rPr>
      </w:pPr>
    </w:p>
    <w:p w:rsidRPr="000B4D4D" w:rsidR="00A63CF0" w:rsidP="00A63CF0" w:rsidRDefault="00A63CF0" w14:paraId="0383CF10" w14:textId="6E8A4B95">
      <w:pPr>
        <w:rPr>
          <w:szCs w:val="18"/>
        </w:rPr>
      </w:pPr>
      <w:r w:rsidRPr="000B4D4D">
        <w:rPr>
          <w:b/>
          <w:szCs w:val="18"/>
        </w:rPr>
        <w:t xml:space="preserve">Het </w:t>
      </w:r>
      <w:r w:rsidRPr="000B4D4D" w:rsidR="000D2A97">
        <w:rPr>
          <w:b/>
          <w:szCs w:val="18"/>
        </w:rPr>
        <w:t>netto-</w:t>
      </w:r>
      <w:r w:rsidRPr="000B4D4D">
        <w:rPr>
          <w:b/>
          <w:szCs w:val="18"/>
        </w:rPr>
        <w:t xml:space="preserve">uitgavenpad </w:t>
      </w:r>
      <w:r w:rsidRPr="000B4D4D" w:rsidR="000D2A97">
        <w:rPr>
          <w:b/>
          <w:szCs w:val="18"/>
        </w:rPr>
        <w:t xml:space="preserve">(hierna: uitgavenpad) </w:t>
      </w:r>
      <w:r w:rsidRPr="000B4D4D">
        <w:rPr>
          <w:b/>
          <w:szCs w:val="18"/>
        </w:rPr>
        <w:t>wordt gedefinieerd als de groei van de netto primaire uitgaven.</w:t>
      </w:r>
      <w:r w:rsidRPr="000B4D4D">
        <w:rPr>
          <w:szCs w:val="18"/>
        </w:rPr>
        <w:t xml:space="preserve"> Dit betreft de overheidsuitgaven exclusief rentelasten, cyclische werkloosheidsuitgaven, uitgaven die worden gedekt met middelen uit de EU-begroting, cofinanciering van Europese subsidies en tijdelijke en eenmalige uitgaven (‘</w:t>
      </w:r>
      <w:r w:rsidRPr="000B4D4D">
        <w:rPr>
          <w:i/>
          <w:szCs w:val="18"/>
        </w:rPr>
        <w:t>one-offs</w:t>
      </w:r>
      <w:r w:rsidRPr="000B4D4D">
        <w:rPr>
          <w:szCs w:val="18"/>
        </w:rPr>
        <w:t xml:space="preserve">’). Bij het vaststellen van de netto primaire uitgaven wordt daarnaast rekening gehouden met discretionaire inkomstenmaatregelen. Dat wil zeggen dat een </w:t>
      </w:r>
      <w:r w:rsidRPr="000B4D4D" w:rsidR="00CA3F88">
        <w:rPr>
          <w:szCs w:val="18"/>
        </w:rPr>
        <w:t xml:space="preserve">beleidsmatige </w:t>
      </w:r>
      <w:r w:rsidRPr="000B4D4D">
        <w:rPr>
          <w:szCs w:val="18"/>
        </w:rPr>
        <w:t>verhoging van de belastingen mag leiden tot hogere uitgaven</w:t>
      </w:r>
      <w:r w:rsidRPr="000B4D4D" w:rsidR="00CA3F88">
        <w:rPr>
          <w:szCs w:val="18"/>
        </w:rPr>
        <w:t>groei terwijl een beleidsmatige verlaging van de belastingen moet leiden tot lagere uitgavengroei</w:t>
      </w:r>
      <w:r w:rsidRPr="000B4D4D">
        <w:rPr>
          <w:szCs w:val="18"/>
        </w:rPr>
        <w:t xml:space="preserve">. Hierdoor behouden lidstaten flexibiliteit in de samenstelling van inkomsten en uitgaven. </w:t>
      </w:r>
    </w:p>
    <w:p w:rsidRPr="000B4D4D" w:rsidR="00A63CF0" w:rsidP="00A63CF0" w:rsidRDefault="00A63CF0" w14:paraId="72AB53C7" w14:textId="6B4EB4E8">
      <w:pPr>
        <w:rPr>
          <w:szCs w:val="18"/>
        </w:rPr>
      </w:pPr>
      <w:r w:rsidRPr="000B4D4D">
        <w:rPr>
          <w:b/>
          <w:szCs w:val="18"/>
        </w:rPr>
        <w:t>Het uitgavenpad dient aan een aantal eisen te voldoen.</w:t>
      </w:r>
      <w:r w:rsidRPr="000B4D4D">
        <w:rPr>
          <w:szCs w:val="18"/>
        </w:rPr>
        <w:t xml:space="preserve"> Zo moet het uitgavenpad ervoor zorgen dat de overheidsschuld van lidstaten op de middellange termijn (een tijdsperiode bestaande uit de aanpassingsperiode van 4 of 7 jaar plus 10 jaar) op een prudent niveau blijft onder de 60% bbp, of geloofwaardig daalt indien de schuld hoger is dan 60% bbp. Ook moet dit uitgavenpad ervoor zorgen dat het tekort onder de 3% bbp blijft op de middellange termijn. Of de schuld geloofwaardig daalt, wordt getoetst met een zogenoemde schuldhoudbaarheidsanalyse. </w:t>
      </w:r>
    </w:p>
    <w:p w:rsidRPr="000B4D4D" w:rsidR="00A63CF0" w:rsidP="00A63CF0" w:rsidRDefault="00A63CF0" w14:paraId="31B9F7A0" w14:textId="130F6CE4">
      <w:pPr>
        <w:rPr>
          <w:szCs w:val="18"/>
        </w:rPr>
      </w:pPr>
      <w:r w:rsidRPr="000B4D4D">
        <w:rPr>
          <w:b/>
          <w:szCs w:val="18"/>
        </w:rPr>
        <w:t xml:space="preserve">De Raad </w:t>
      </w:r>
      <w:r w:rsidRPr="000B4D4D" w:rsidR="00CA3F88">
        <w:rPr>
          <w:b/>
          <w:szCs w:val="18"/>
        </w:rPr>
        <w:t xml:space="preserve">van de Europese Unie (de Raad) </w:t>
      </w:r>
      <w:r w:rsidRPr="000B4D4D">
        <w:rPr>
          <w:b/>
          <w:szCs w:val="18"/>
        </w:rPr>
        <w:t xml:space="preserve">heeft </w:t>
      </w:r>
      <w:r w:rsidRPr="000B4D4D" w:rsidR="00743C02">
        <w:rPr>
          <w:b/>
          <w:szCs w:val="18"/>
        </w:rPr>
        <w:t>een maximum voor de uitgavengroei</w:t>
      </w:r>
      <w:r w:rsidRPr="000B4D4D">
        <w:rPr>
          <w:b/>
          <w:szCs w:val="18"/>
        </w:rPr>
        <w:t xml:space="preserve"> voor Nederland voor de periode van 2025 tot 2028 </w:t>
      </w:r>
      <w:r w:rsidRPr="000B4D4D" w:rsidR="00CA3F88">
        <w:rPr>
          <w:b/>
          <w:szCs w:val="18"/>
        </w:rPr>
        <w:t xml:space="preserve">aanbevolen </w:t>
      </w:r>
      <w:r w:rsidRPr="000B4D4D">
        <w:rPr>
          <w:b/>
          <w:szCs w:val="18"/>
        </w:rPr>
        <w:t>in de raadsaanbeveling van 21 januari 2025.</w:t>
      </w:r>
      <w:r w:rsidRPr="000B4D4D">
        <w:rPr>
          <w:b/>
          <w:szCs w:val="18"/>
          <w:vertAlign w:val="superscript"/>
        </w:rPr>
        <w:footnoteReference w:id="5"/>
      </w:r>
      <w:r w:rsidRPr="000B4D4D">
        <w:rPr>
          <w:b/>
          <w:szCs w:val="18"/>
        </w:rPr>
        <w:t xml:space="preserve"> </w:t>
      </w:r>
      <w:r w:rsidRPr="000B4D4D">
        <w:rPr>
          <w:szCs w:val="18"/>
        </w:rPr>
        <w:t>Hiermee volgt de Raad de technische informatie die de Commissie heeft verstrekt voor het budgettair-structureel</w:t>
      </w:r>
      <w:r w:rsidRPr="000B4D4D" w:rsidR="006D5234">
        <w:rPr>
          <w:szCs w:val="18"/>
        </w:rPr>
        <w:t xml:space="preserve"> plan</w:t>
      </w:r>
      <w:r w:rsidRPr="000B4D4D">
        <w:rPr>
          <w:szCs w:val="18"/>
        </w:rPr>
        <w:t>, dat in oktober vorig jaar is ingediend.</w:t>
      </w:r>
      <w:r w:rsidRPr="000B4D4D" w:rsidR="00A71009">
        <w:rPr>
          <w:rStyle w:val="Voetnootmarkering"/>
          <w:szCs w:val="18"/>
        </w:rPr>
        <w:footnoteReference w:id="6"/>
      </w:r>
      <w:r w:rsidRPr="000B4D4D">
        <w:rPr>
          <w:szCs w:val="18"/>
        </w:rPr>
        <w:t xml:space="preserve"> Volgens het aanbevolen uitgavenpad kan Nederland, om te voldoen aan de </w:t>
      </w:r>
      <w:r w:rsidRPr="000B4D4D" w:rsidR="00CA3F88">
        <w:rPr>
          <w:szCs w:val="18"/>
        </w:rPr>
        <w:t>eisen die worden gesteld aan het uitgavenpad</w:t>
      </w:r>
      <w:r w:rsidRPr="000B4D4D">
        <w:rPr>
          <w:szCs w:val="18"/>
        </w:rPr>
        <w:t>, de netto primaire uitgaven jaarlijks met gemiddeld 3,2% laten groeien in de periode van 2025 tot 2028. Specifiek mogen de uitgaven groeien met</w:t>
      </w:r>
      <w:r w:rsidRPr="000B4D4D" w:rsidR="00743C02">
        <w:rPr>
          <w:szCs w:val="18"/>
        </w:rPr>
        <w:t xml:space="preserve"> ten hoogste</w:t>
      </w:r>
      <w:r w:rsidRPr="000B4D4D">
        <w:rPr>
          <w:szCs w:val="18"/>
        </w:rPr>
        <w:t xml:space="preserve"> 3,5% in 2025, 3,3% in 2026 en 3,0% in zowel 2027 en 2028. 2024 is een overgangsjaar van de oude naar de nieuwe Europese begrotingsregels, waarbij de Commissie de </w:t>
      </w:r>
      <w:r w:rsidRPr="000B4D4D" w:rsidR="00B7685E">
        <w:rPr>
          <w:szCs w:val="18"/>
        </w:rPr>
        <w:t xml:space="preserve">jaarlijkse </w:t>
      </w:r>
      <w:r w:rsidRPr="000B4D4D">
        <w:rPr>
          <w:szCs w:val="18"/>
        </w:rPr>
        <w:t xml:space="preserve">uitgavengroei toetst aan de landspecifieke aanbeveling </w:t>
      </w:r>
      <w:r w:rsidRPr="000B4D4D" w:rsidR="00743C02">
        <w:rPr>
          <w:szCs w:val="18"/>
        </w:rPr>
        <w:t xml:space="preserve">van de Raad aan Nederland voor 2024 </w:t>
      </w:r>
      <w:r w:rsidRPr="000B4D4D">
        <w:rPr>
          <w:szCs w:val="18"/>
        </w:rPr>
        <w:t>voor de maximale groei van de netto primaire overheidsuitgaven</w:t>
      </w:r>
      <w:r w:rsidRPr="000B4D4D" w:rsidR="00EC0AEE">
        <w:rPr>
          <w:szCs w:val="18"/>
        </w:rPr>
        <w:t xml:space="preserve"> (3,5%)</w:t>
      </w:r>
      <w:r w:rsidRPr="000B4D4D">
        <w:rPr>
          <w:szCs w:val="18"/>
        </w:rPr>
        <w:t>.</w:t>
      </w:r>
      <w:r w:rsidRPr="000B4D4D" w:rsidR="00EC0AEE">
        <w:rPr>
          <w:szCs w:val="18"/>
        </w:rPr>
        <w:t xml:space="preserve"> Ook loopt de uitgavengroei van 2024 mee in de </w:t>
      </w:r>
      <w:r w:rsidRPr="000B4D4D">
        <w:rPr>
          <w:szCs w:val="18"/>
        </w:rPr>
        <w:t>cumulatieve uitgavengroei</w:t>
      </w:r>
      <w:r w:rsidRPr="000B4D4D" w:rsidR="00EC0AEE">
        <w:rPr>
          <w:szCs w:val="18"/>
        </w:rPr>
        <w:t>.</w:t>
      </w:r>
      <w:r w:rsidRPr="000B4D4D" w:rsidR="00A71009">
        <w:rPr>
          <w:szCs w:val="18"/>
        </w:rPr>
        <w:t xml:space="preserve"> De </w:t>
      </w:r>
      <w:r w:rsidRPr="000B4D4D">
        <w:rPr>
          <w:szCs w:val="18"/>
        </w:rPr>
        <w:t xml:space="preserve">cumulatieve uitgavengroei wordt berekend op basis van het basisjaar 2023, ook in het aanbevolen pad van de </w:t>
      </w:r>
      <w:r w:rsidRPr="000B4D4D" w:rsidR="00CA3F88">
        <w:rPr>
          <w:szCs w:val="18"/>
        </w:rPr>
        <w:t>Raad</w:t>
      </w:r>
      <w:r w:rsidRPr="000B4D4D">
        <w:rPr>
          <w:szCs w:val="18"/>
        </w:rPr>
        <w:t xml:space="preserve">. De cumulatieve groeicijfers worden gebruikt bij het toezicht op de naleving van het uitgavenpad in de controlerekening. </w:t>
      </w:r>
      <w:r w:rsidRPr="000B4D4D" w:rsidR="00CA3F88">
        <w:rPr>
          <w:szCs w:val="18"/>
        </w:rPr>
        <w:t>Daarin</w:t>
      </w:r>
      <w:r w:rsidRPr="000B4D4D">
        <w:rPr>
          <w:szCs w:val="18"/>
        </w:rPr>
        <w:t xml:space="preserve"> wordt de realisatie van de uitgavengroei van 2024 </w:t>
      </w:r>
      <w:r w:rsidRPr="000B4D4D" w:rsidR="00CA3F88">
        <w:rPr>
          <w:szCs w:val="18"/>
        </w:rPr>
        <w:t>ook</w:t>
      </w:r>
      <w:r w:rsidRPr="000B4D4D">
        <w:rPr>
          <w:szCs w:val="18"/>
        </w:rPr>
        <w:t xml:space="preserve"> meegenomen in de cumulatieve uitgavengroei. </w:t>
      </w:r>
    </w:p>
    <w:p w:rsidR="003B3605" w:rsidP="00D452B6" w:rsidRDefault="00A63CF0" w14:paraId="081E5954" w14:textId="76E1028A">
      <w:pPr>
        <w:autoSpaceDN w:val="0"/>
        <w:spacing w:after="0" w:line="240" w:lineRule="exact"/>
        <w:textAlignment w:val="baseline"/>
        <w:rPr>
          <w:szCs w:val="18"/>
        </w:rPr>
      </w:pPr>
      <w:r w:rsidRPr="0052472F">
        <w:rPr>
          <w:b/>
          <w:szCs w:val="18"/>
        </w:rPr>
        <w:lastRenderedPageBreak/>
        <w:t xml:space="preserve">Door hogere kasschuiven en onderuitputting in 2024 viel de groei van de netto primaire uitgaven lager uit dan eerder geraamd, namelijk </w:t>
      </w:r>
      <w:r w:rsidRPr="0052472F" w:rsidR="00A30C35">
        <w:rPr>
          <w:b/>
          <w:szCs w:val="18"/>
        </w:rPr>
        <w:t>5,</w:t>
      </w:r>
      <w:r w:rsidRPr="009A661E" w:rsidR="0052472F">
        <w:rPr>
          <w:b/>
          <w:szCs w:val="18"/>
        </w:rPr>
        <w:t>7</w:t>
      </w:r>
      <w:r w:rsidRPr="0052472F">
        <w:rPr>
          <w:b/>
          <w:szCs w:val="18"/>
        </w:rPr>
        <w:t>% in plaats van de eerder geraamde 6,9%.</w:t>
      </w:r>
      <w:r w:rsidRPr="000B4D4D">
        <w:rPr>
          <w:b/>
          <w:szCs w:val="18"/>
        </w:rPr>
        <w:t xml:space="preserve"> </w:t>
      </w:r>
      <w:r w:rsidRPr="000B4D4D" w:rsidR="00E41F5A">
        <w:rPr>
          <w:szCs w:val="18"/>
        </w:rPr>
        <w:t>H</w:t>
      </w:r>
      <w:r w:rsidRPr="000B4D4D">
        <w:rPr>
          <w:szCs w:val="18"/>
        </w:rPr>
        <w:t xml:space="preserve">iermee </w:t>
      </w:r>
      <w:r w:rsidRPr="00E90504" w:rsidR="003C1E33">
        <w:rPr>
          <w:szCs w:val="18"/>
        </w:rPr>
        <w:t>voldoet Nederland niet</w:t>
      </w:r>
      <w:r w:rsidRPr="000B4D4D">
        <w:rPr>
          <w:szCs w:val="18"/>
        </w:rPr>
        <w:t xml:space="preserve"> aan de landspecifieke aanbeveling om de overheidsuitgaven in 2024 niet meer te laten groeien dan 3,5%. De geraamde ontwikkeling van het uitgavenpad is weergegeven in</w:t>
      </w:r>
      <w:r w:rsidR="006A0599">
        <w:rPr>
          <w:szCs w:val="18"/>
        </w:rPr>
        <w:t xml:space="preserve"> </w:t>
      </w:r>
      <w:r w:rsidR="00E24EDB">
        <w:rPr>
          <w:szCs w:val="18"/>
        </w:rPr>
        <w:t>t</w:t>
      </w:r>
      <w:r w:rsidRPr="000B4D4D">
        <w:rPr>
          <w:szCs w:val="18"/>
        </w:rPr>
        <w:t xml:space="preserve">abel 1a. Ook in de komende jaren zal de </w:t>
      </w:r>
      <w:r w:rsidRPr="000B4D4D" w:rsidR="00D51180">
        <w:rPr>
          <w:szCs w:val="18"/>
        </w:rPr>
        <w:t xml:space="preserve">(cumulatieve) </w:t>
      </w:r>
      <w:r w:rsidRPr="000B4D4D">
        <w:rPr>
          <w:szCs w:val="18"/>
        </w:rPr>
        <w:t xml:space="preserve">groei van de netto primaire overheidsuitgaven naar verwachting </w:t>
      </w:r>
      <w:r w:rsidRPr="00E90504" w:rsidR="00A30C35">
        <w:rPr>
          <w:szCs w:val="18"/>
        </w:rPr>
        <w:t>hoger</w:t>
      </w:r>
      <w:r w:rsidRPr="000B4D4D">
        <w:rPr>
          <w:szCs w:val="18"/>
        </w:rPr>
        <w:t xml:space="preserve"> zijn</w:t>
      </w:r>
      <w:r w:rsidRPr="000B4D4D" w:rsidR="00820A1D">
        <w:rPr>
          <w:szCs w:val="18"/>
        </w:rPr>
        <w:t xml:space="preserve"> dan de aanbevolen maximale groei</w:t>
      </w:r>
      <w:r w:rsidRPr="000B4D4D">
        <w:rPr>
          <w:szCs w:val="18"/>
        </w:rPr>
        <w:t>. Hiermee voldoet Nederland in de rami</w:t>
      </w:r>
      <w:r w:rsidRPr="00250A96">
        <w:rPr>
          <w:szCs w:val="18"/>
        </w:rPr>
        <w:t xml:space="preserve">ng </w:t>
      </w:r>
      <w:r w:rsidRPr="00E90504">
        <w:rPr>
          <w:szCs w:val="18"/>
        </w:rPr>
        <w:t>ook</w:t>
      </w:r>
      <w:r w:rsidRPr="000B4D4D">
        <w:rPr>
          <w:szCs w:val="18"/>
        </w:rPr>
        <w:t xml:space="preserve"> in de komende jare</w:t>
      </w:r>
      <w:r w:rsidRPr="00250A96">
        <w:rPr>
          <w:szCs w:val="18"/>
        </w:rPr>
        <w:t xml:space="preserve">n </w:t>
      </w:r>
      <w:r w:rsidRPr="00E90504" w:rsidR="00A30C35">
        <w:rPr>
          <w:szCs w:val="18"/>
        </w:rPr>
        <w:t>niet</w:t>
      </w:r>
      <w:r w:rsidRPr="000B4D4D" w:rsidR="00A30C35">
        <w:rPr>
          <w:szCs w:val="18"/>
        </w:rPr>
        <w:t xml:space="preserve"> </w:t>
      </w:r>
      <w:r w:rsidRPr="000B4D4D">
        <w:rPr>
          <w:szCs w:val="18"/>
        </w:rPr>
        <w:t xml:space="preserve">aan </w:t>
      </w:r>
      <w:r w:rsidRPr="000B4D4D" w:rsidR="00867F6A">
        <w:rPr>
          <w:szCs w:val="18"/>
        </w:rPr>
        <w:t>de door de Raad aanbevolen maximale groei van de netto primaire uitgaven</w:t>
      </w:r>
      <w:r w:rsidRPr="000B4D4D">
        <w:rPr>
          <w:szCs w:val="18"/>
        </w:rPr>
        <w:t xml:space="preserve">. </w:t>
      </w:r>
    </w:p>
    <w:p w:rsidR="003B3605" w:rsidP="00D452B6" w:rsidRDefault="003B3605" w14:paraId="60F83C82" w14:textId="77777777">
      <w:pPr>
        <w:autoSpaceDN w:val="0"/>
        <w:spacing w:after="0" w:line="240" w:lineRule="exact"/>
        <w:textAlignment w:val="baseline"/>
        <w:rPr>
          <w:szCs w:val="18"/>
        </w:rPr>
      </w:pPr>
    </w:p>
    <w:p w:rsidR="00D452B6" w:rsidP="00D452B6" w:rsidRDefault="003B3605" w14:paraId="3242DEF1" w14:textId="0D02A20C">
      <w:pPr>
        <w:autoSpaceDN w:val="0"/>
        <w:spacing w:after="0" w:line="240" w:lineRule="exact"/>
        <w:textAlignment w:val="baseline"/>
        <w:rPr>
          <w:szCs w:val="18"/>
        </w:rPr>
      </w:pPr>
      <w:r w:rsidRPr="00287490">
        <w:rPr>
          <w:b/>
          <w:bCs/>
          <w:szCs w:val="18"/>
        </w:rPr>
        <w:t xml:space="preserve">Nederland houdt zich aan de in het </w:t>
      </w:r>
      <w:r w:rsidR="0035681A">
        <w:rPr>
          <w:b/>
          <w:bCs/>
          <w:szCs w:val="18"/>
        </w:rPr>
        <w:t>h</w:t>
      </w:r>
      <w:r w:rsidRPr="00287490">
        <w:rPr>
          <w:b/>
          <w:bCs/>
          <w:szCs w:val="18"/>
        </w:rPr>
        <w:t>oofdlijn</w:t>
      </w:r>
      <w:r w:rsidR="0035681A">
        <w:rPr>
          <w:b/>
          <w:bCs/>
          <w:szCs w:val="18"/>
        </w:rPr>
        <w:t>en</w:t>
      </w:r>
      <w:r w:rsidRPr="00287490">
        <w:rPr>
          <w:b/>
          <w:bCs/>
          <w:szCs w:val="18"/>
        </w:rPr>
        <w:t>akkoord afgesproken budgettaire kaders en blijft binnen de Europese referentiewaarden.</w:t>
      </w:r>
      <w:r>
        <w:rPr>
          <w:szCs w:val="18"/>
        </w:rPr>
        <w:t xml:space="preserve"> </w:t>
      </w:r>
      <w:r w:rsidRPr="00287490">
        <w:rPr>
          <w:szCs w:val="18"/>
        </w:rPr>
        <w:t>Met het maatregelenpakket uit de Voorjaarsnota 2025 houdt het kabinet vast aan trendmatig begroten, wat bijdraagt aan stabiel en voorspelbaar beleid.</w:t>
      </w:r>
      <w:r>
        <w:rPr>
          <w:szCs w:val="18"/>
        </w:rPr>
        <w:t xml:space="preserve"> Zowel het uitgavenkader als het inkomstenkader zijn gerespecteerd, wat ervoor zorgt dat er geen rekeningen zijn doorgeschoven naar toekomstige generaties.</w:t>
      </w:r>
      <w:r w:rsidRPr="000B4D4D">
        <w:rPr>
          <w:szCs w:val="18"/>
        </w:rPr>
        <w:t xml:space="preserve"> </w:t>
      </w:r>
      <w:r>
        <w:rPr>
          <w:szCs w:val="18"/>
        </w:rPr>
        <w:t>Daar komt bij dat z</w:t>
      </w:r>
      <w:r w:rsidRPr="000B4D4D" w:rsidR="00D452B6">
        <w:rPr>
          <w:szCs w:val="18"/>
        </w:rPr>
        <w:t>olang de Nederlandse overheidsfinanciën binnen de Europese referentiewaarden blijven (3% en 60%)</w:t>
      </w:r>
      <w:r w:rsidR="001D5E1A">
        <w:rPr>
          <w:szCs w:val="18"/>
        </w:rPr>
        <w:t xml:space="preserve">, </w:t>
      </w:r>
      <w:r w:rsidRPr="000B4D4D" w:rsidR="00D452B6">
        <w:rPr>
          <w:szCs w:val="18"/>
        </w:rPr>
        <w:t>Nederland wel effectief invulling</w:t>
      </w:r>
      <w:r>
        <w:rPr>
          <w:szCs w:val="18"/>
        </w:rPr>
        <w:t xml:space="preserve"> geeft</w:t>
      </w:r>
      <w:r w:rsidRPr="000B4D4D" w:rsidR="00D452B6">
        <w:rPr>
          <w:szCs w:val="18"/>
        </w:rPr>
        <w:t xml:space="preserve"> aan de afspraak om buitensporige tekorten te vermijden en kunnen de Commissie en de Raad geen handhavingsmaatregelen opleggen.</w:t>
      </w:r>
      <w:r>
        <w:rPr>
          <w:szCs w:val="18"/>
        </w:rPr>
        <w:t xml:space="preserve"> </w:t>
      </w:r>
      <w:r w:rsidR="001D5E1A">
        <w:rPr>
          <w:szCs w:val="18"/>
        </w:rPr>
        <w:t>Door de maatregelen uit het hoofdlijnenakkoord blijven de overheidsfinanciën in de raming gedurende de kabinetsperiode binnen deze Europese referentiewaarden.</w:t>
      </w:r>
    </w:p>
    <w:p w:rsidR="003B3605" w:rsidP="00D452B6" w:rsidRDefault="003B3605" w14:paraId="02BA41B2" w14:textId="77777777">
      <w:pPr>
        <w:autoSpaceDN w:val="0"/>
        <w:spacing w:after="0" w:line="240" w:lineRule="exact"/>
        <w:textAlignment w:val="baseline"/>
        <w:rPr>
          <w:szCs w:val="18"/>
        </w:rPr>
      </w:pPr>
    </w:p>
    <w:p w:rsidRPr="000B4D4D" w:rsidR="003B3605" w:rsidP="00D452B6" w:rsidRDefault="003B3605" w14:paraId="76BD3588" w14:textId="60DEF1FE">
      <w:pPr>
        <w:autoSpaceDN w:val="0"/>
        <w:spacing w:after="0" w:line="240" w:lineRule="exact"/>
        <w:textAlignment w:val="baseline"/>
        <w:rPr>
          <w:szCs w:val="18"/>
        </w:rPr>
      </w:pPr>
      <w:r w:rsidRPr="004A48EA">
        <w:rPr>
          <w:b/>
          <w:bCs/>
          <w:szCs w:val="18"/>
        </w:rPr>
        <w:t>Nederland zet een eerste stap in de beheersing van de overheidsuitgaven door het uitgavenniveau structureel te beperken.</w:t>
      </w:r>
      <w:r>
        <w:rPr>
          <w:szCs w:val="18"/>
        </w:rPr>
        <w:t xml:space="preserve"> </w:t>
      </w:r>
      <w:r w:rsidRPr="003B3605">
        <w:rPr>
          <w:szCs w:val="18"/>
        </w:rPr>
        <w:t xml:space="preserve">De afgelopen jaren zijn de overheidsuitgaven sterk gestegen als percentage van het bbp. De maatregelen uit het </w:t>
      </w:r>
      <w:r w:rsidR="00944475">
        <w:rPr>
          <w:szCs w:val="18"/>
        </w:rPr>
        <w:t>h</w:t>
      </w:r>
      <w:r w:rsidRPr="003B3605">
        <w:rPr>
          <w:szCs w:val="18"/>
        </w:rPr>
        <w:t>oofdlijnenakkoord verminderen de groei van de overheidsuitgaven vanaf 2027. Het kabinet onderkent dat ook volgende kabinetten stappen moeten zetten en vertrouwt erop dat zij die stappen ook zullen zetten om de tekorten en de schuld op de middellange termijn binnen de Europese referentiewaarden te houden</w:t>
      </w:r>
    </w:p>
    <w:p w:rsidRPr="000B4D4D" w:rsidR="00A63CF0" w:rsidP="00E90504" w:rsidRDefault="003C43A5" w14:paraId="4A3C15C2" w14:textId="29D385EB">
      <w:pPr>
        <w:autoSpaceDN w:val="0"/>
        <w:spacing w:after="0" w:line="240" w:lineRule="exact"/>
        <w:textAlignment w:val="baseline"/>
        <w:rPr>
          <w:szCs w:val="18"/>
        </w:rPr>
      </w:pPr>
      <w:r w:rsidRPr="000B4D4D">
        <w:rPr>
          <w:szCs w:val="18"/>
        </w:rPr>
        <w:t xml:space="preserve"> </w:t>
      </w:r>
    </w:p>
    <w:p w:rsidRPr="002E31BB" w:rsidR="00A63CF0" w:rsidP="00A63CF0" w:rsidRDefault="00805625" w14:paraId="0009851F" w14:textId="20DBC0C1">
      <w:pPr>
        <w:rPr>
          <w:i/>
          <w:szCs w:val="18"/>
        </w:rPr>
      </w:pPr>
      <w:r w:rsidRPr="002E31BB">
        <w:rPr>
          <w:i/>
          <w:szCs w:val="18"/>
        </w:rPr>
        <w:t>T</w:t>
      </w:r>
      <w:r w:rsidRPr="002E31BB" w:rsidR="00A63CF0">
        <w:rPr>
          <w:i/>
          <w:szCs w:val="18"/>
        </w:rPr>
        <w:t>abel 1a</w:t>
      </w:r>
      <w:r w:rsidRPr="002E31BB" w:rsidR="00D24032">
        <w:rPr>
          <w:i/>
          <w:szCs w:val="18"/>
        </w:rPr>
        <w:t>:</w:t>
      </w:r>
      <w:r w:rsidRPr="002E31BB" w:rsidR="00A63CF0">
        <w:rPr>
          <w:i/>
          <w:szCs w:val="18"/>
        </w:rPr>
        <w:t xml:space="preserve"> jaarlijkse en cumulatieve groei van de netto primaire uitgaven. Zowel het </w:t>
      </w:r>
      <w:r w:rsidRPr="002E31BB" w:rsidR="003074ED">
        <w:rPr>
          <w:i/>
          <w:szCs w:val="18"/>
        </w:rPr>
        <w:t xml:space="preserve">aanbevolen </w:t>
      </w:r>
      <w:r w:rsidRPr="002E31BB" w:rsidR="00A63CF0">
        <w:rPr>
          <w:i/>
          <w:szCs w:val="18"/>
        </w:rPr>
        <w:t>pad als de cijfers van het CPB.</w:t>
      </w:r>
    </w:p>
    <w:tbl>
      <w:tblPr>
        <w:tblStyle w:val="Tabelraster"/>
        <w:tblW w:w="0" w:type="auto"/>
        <w:tblLook w:val="04A0" w:firstRow="1" w:lastRow="0" w:firstColumn="1" w:lastColumn="0" w:noHBand="0" w:noVBand="1"/>
      </w:tblPr>
      <w:tblGrid>
        <w:gridCol w:w="4753"/>
        <w:gridCol w:w="740"/>
        <w:gridCol w:w="671"/>
        <w:gridCol w:w="671"/>
        <w:gridCol w:w="671"/>
        <w:gridCol w:w="671"/>
      </w:tblGrid>
      <w:tr w:rsidRPr="002E31BB" w:rsidR="00FB2103" w:rsidTr="00A81C0A" w14:paraId="661E92AD" w14:textId="77777777">
        <w:tc>
          <w:tcPr>
            <w:tcW w:w="4753" w:type="dxa"/>
            <w:shd w:val="clear" w:color="auto" w:fill="01689B"/>
          </w:tcPr>
          <w:p w:rsidRPr="002E31BB" w:rsidR="00FB2103" w:rsidP="00FD7B90" w:rsidRDefault="00FB2103" w14:paraId="7B0081E2" w14:textId="77777777">
            <w:pPr>
              <w:rPr>
                <w:b/>
                <w:color w:val="FFFFFF" w:themeColor="background1"/>
                <w:sz w:val="16"/>
                <w:szCs w:val="16"/>
              </w:rPr>
            </w:pPr>
            <w:bookmarkStart w:name="_Hlk196394475" w:id="9"/>
          </w:p>
        </w:tc>
        <w:tc>
          <w:tcPr>
            <w:tcW w:w="740" w:type="dxa"/>
            <w:shd w:val="clear" w:color="auto" w:fill="01689B"/>
          </w:tcPr>
          <w:p w:rsidRPr="002E31BB" w:rsidR="00FB2103" w:rsidP="00FD7B90" w:rsidRDefault="00FB2103" w14:paraId="5D83BF6C" w14:textId="77777777">
            <w:pPr>
              <w:rPr>
                <w:b/>
                <w:color w:val="FFFFFF" w:themeColor="background1"/>
                <w:sz w:val="16"/>
                <w:szCs w:val="16"/>
              </w:rPr>
            </w:pPr>
            <w:r w:rsidRPr="002E31BB">
              <w:rPr>
                <w:b/>
                <w:color w:val="FFFFFF" w:themeColor="background1"/>
                <w:sz w:val="16"/>
                <w:szCs w:val="16"/>
              </w:rPr>
              <w:t>2024</w:t>
            </w:r>
          </w:p>
        </w:tc>
        <w:tc>
          <w:tcPr>
            <w:tcW w:w="0" w:type="auto"/>
            <w:shd w:val="clear" w:color="auto" w:fill="01689B"/>
          </w:tcPr>
          <w:p w:rsidRPr="002E31BB" w:rsidR="00FB2103" w:rsidP="00FD7B90" w:rsidRDefault="00FB2103" w14:paraId="22538A0C" w14:textId="77777777">
            <w:pPr>
              <w:rPr>
                <w:b/>
                <w:color w:val="FFFFFF" w:themeColor="background1"/>
                <w:sz w:val="16"/>
                <w:szCs w:val="16"/>
              </w:rPr>
            </w:pPr>
            <w:r w:rsidRPr="002E31BB">
              <w:rPr>
                <w:b/>
                <w:color w:val="FFFFFF" w:themeColor="background1"/>
                <w:sz w:val="16"/>
                <w:szCs w:val="16"/>
              </w:rPr>
              <w:t>2025</w:t>
            </w:r>
          </w:p>
        </w:tc>
        <w:tc>
          <w:tcPr>
            <w:tcW w:w="0" w:type="auto"/>
            <w:shd w:val="clear" w:color="auto" w:fill="01689B"/>
          </w:tcPr>
          <w:p w:rsidRPr="002E31BB" w:rsidR="00FB2103" w:rsidP="00FD7B90" w:rsidRDefault="00FB2103" w14:paraId="79E3B2D7" w14:textId="77777777">
            <w:pPr>
              <w:rPr>
                <w:b/>
                <w:color w:val="FFFFFF" w:themeColor="background1"/>
                <w:sz w:val="16"/>
                <w:szCs w:val="16"/>
              </w:rPr>
            </w:pPr>
            <w:r w:rsidRPr="002E31BB">
              <w:rPr>
                <w:b/>
                <w:color w:val="FFFFFF" w:themeColor="background1"/>
                <w:sz w:val="16"/>
                <w:szCs w:val="16"/>
              </w:rPr>
              <w:t>2026</w:t>
            </w:r>
          </w:p>
        </w:tc>
        <w:tc>
          <w:tcPr>
            <w:tcW w:w="0" w:type="auto"/>
            <w:shd w:val="clear" w:color="auto" w:fill="01689B"/>
          </w:tcPr>
          <w:p w:rsidRPr="002E31BB" w:rsidR="00FB2103" w:rsidP="00FD7B90" w:rsidRDefault="00FB2103" w14:paraId="2F50E30F" w14:textId="77777777">
            <w:pPr>
              <w:rPr>
                <w:b/>
                <w:color w:val="FFFFFF" w:themeColor="background1"/>
                <w:sz w:val="16"/>
                <w:szCs w:val="16"/>
              </w:rPr>
            </w:pPr>
            <w:r w:rsidRPr="002E31BB">
              <w:rPr>
                <w:b/>
                <w:color w:val="FFFFFF" w:themeColor="background1"/>
                <w:sz w:val="16"/>
                <w:szCs w:val="16"/>
              </w:rPr>
              <w:t>2027</w:t>
            </w:r>
          </w:p>
        </w:tc>
        <w:tc>
          <w:tcPr>
            <w:tcW w:w="0" w:type="auto"/>
            <w:shd w:val="clear" w:color="auto" w:fill="01689B"/>
          </w:tcPr>
          <w:p w:rsidRPr="002E31BB" w:rsidR="00FB2103" w:rsidP="00FD7B90" w:rsidRDefault="00FB2103" w14:paraId="4D238127" w14:textId="77777777">
            <w:pPr>
              <w:rPr>
                <w:b/>
                <w:color w:val="FFFFFF" w:themeColor="background1"/>
                <w:sz w:val="16"/>
                <w:szCs w:val="16"/>
              </w:rPr>
            </w:pPr>
            <w:r w:rsidRPr="002E31BB">
              <w:rPr>
                <w:b/>
                <w:color w:val="FFFFFF" w:themeColor="background1"/>
                <w:sz w:val="16"/>
                <w:szCs w:val="16"/>
              </w:rPr>
              <w:t>2028</w:t>
            </w:r>
          </w:p>
        </w:tc>
      </w:tr>
      <w:tr w:rsidRPr="002E31BB" w:rsidR="00C01C99" w:rsidTr="00A81C0A" w14:paraId="245D3EC3" w14:textId="77777777">
        <w:tc>
          <w:tcPr>
            <w:tcW w:w="4753" w:type="dxa"/>
            <w:shd w:val="clear" w:color="auto" w:fill="01689B"/>
          </w:tcPr>
          <w:p w:rsidRPr="002E31BB" w:rsidR="00C01C99" w:rsidP="00C01C99" w:rsidRDefault="00C01C99" w14:paraId="4CB7EC4E" w14:textId="77777777">
            <w:pPr>
              <w:rPr>
                <w:b/>
                <w:sz w:val="16"/>
                <w:szCs w:val="16"/>
              </w:rPr>
            </w:pPr>
          </w:p>
        </w:tc>
        <w:tc>
          <w:tcPr>
            <w:tcW w:w="740" w:type="dxa"/>
            <w:shd w:val="clear" w:color="auto" w:fill="01689B"/>
          </w:tcPr>
          <w:p w:rsidRPr="002E31BB" w:rsidR="00C01C99" w:rsidP="00C01C99" w:rsidRDefault="00C01C99" w14:paraId="46F13923" w14:textId="5DE4A4F6">
            <w:pPr>
              <w:rPr>
                <w:b/>
                <w:bCs/>
                <w:color w:val="FFFFFF" w:themeColor="background1"/>
                <w:sz w:val="16"/>
                <w:szCs w:val="16"/>
              </w:rPr>
            </w:pPr>
            <w:r w:rsidRPr="002E31BB">
              <w:rPr>
                <w:b/>
                <w:bCs/>
                <w:color w:val="FFFFFF" w:themeColor="background1"/>
                <w:sz w:val="16"/>
                <w:szCs w:val="16"/>
              </w:rPr>
              <w:t>%g</w:t>
            </w:r>
          </w:p>
        </w:tc>
        <w:tc>
          <w:tcPr>
            <w:tcW w:w="0" w:type="auto"/>
            <w:shd w:val="clear" w:color="auto" w:fill="01689B"/>
          </w:tcPr>
          <w:p w:rsidRPr="002E31BB" w:rsidR="00C01C99" w:rsidP="00C01C99" w:rsidRDefault="00C01C99" w14:paraId="2F29D486" w14:textId="3A7B486F">
            <w:pPr>
              <w:rPr>
                <w:b/>
                <w:bCs/>
                <w:color w:val="FFFFFF" w:themeColor="background1"/>
                <w:sz w:val="16"/>
                <w:szCs w:val="16"/>
              </w:rPr>
            </w:pPr>
            <w:r w:rsidRPr="002E31BB">
              <w:rPr>
                <w:b/>
                <w:bCs/>
                <w:color w:val="FFFFFF" w:themeColor="background1"/>
                <w:sz w:val="16"/>
                <w:szCs w:val="16"/>
              </w:rPr>
              <w:t>%g</w:t>
            </w:r>
          </w:p>
        </w:tc>
        <w:tc>
          <w:tcPr>
            <w:tcW w:w="0" w:type="auto"/>
            <w:shd w:val="clear" w:color="auto" w:fill="01689B"/>
          </w:tcPr>
          <w:p w:rsidRPr="002E31BB" w:rsidR="00C01C99" w:rsidP="00C01C99" w:rsidRDefault="00C01C99" w14:paraId="72CAE63A" w14:textId="15134D51">
            <w:pPr>
              <w:rPr>
                <w:b/>
                <w:bCs/>
                <w:color w:val="FFFFFF" w:themeColor="background1"/>
                <w:sz w:val="16"/>
                <w:szCs w:val="16"/>
              </w:rPr>
            </w:pPr>
            <w:r w:rsidRPr="002E31BB">
              <w:rPr>
                <w:b/>
                <w:bCs/>
                <w:color w:val="FFFFFF" w:themeColor="background1"/>
                <w:sz w:val="16"/>
                <w:szCs w:val="16"/>
              </w:rPr>
              <w:t>%g</w:t>
            </w:r>
          </w:p>
        </w:tc>
        <w:tc>
          <w:tcPr>
            <w:tcW w:w="0" w:type="auto"/>
            <w:shd w:val="clear" w:color="auto" w:fill="01689B"/>
          </w:tcPr>
          <w:p w:rsidRPr="002E31BB" w:rsidR="00C01C99" w:rsidP="00C01C99" w:rsidRDefault="00C01C99" w14:paraId="6CEF3F32" w14:textId="2840EE08">
            <w:pPr>
              <w:rPr>
                <w:b/>
                <w:bCs/>
                <w:color w:val="FFFFFF" w:themeColor="background1"/>
                <w:sz w:val="16"/>
                <w:szCs w:val="16"/>
              </w:rPr>
            </w:pPr>
            <w:r w:rsidRPr="002E31BB">
              <w:rPr>
                <w:b/>
                <w:bCs/>
                <w:color w:val="FFFFFF" w:themeColor="background1"/>
                <w:sz w:val="16"/>
                <w:szCs w:val="16"/>
              </w:rPr>
              <w:t>%g</w:t>
            </w:r>
          </w:p>
        </w:tc>
        <w:tc>
          <w:tcPr>
            <w:tcW w:w="0" w:type="auto"/>
            <w:shd w:val="clear" w:color="auto" w:fill="01689B"/>
          </w:tcPr>
          <w:p w:rsidRPr="002E31BB" w:rsidR="00C01C99" w:rsidP="00C01C99" w:rsidRDefault="006001ED" w14:paraId="31585262" w14:textId="7D6DF04A">
            <w:pPr>
              <w:rPr>
                <w:b/>
                <w:bCs/>
                <w:color w:val="FFFFFF" w:themeColor="background1"/>
                <w:sz w:val="16"/>
                <w:szCs w:val="16"/>
              </w:rPr>
            </w:pPr>
            <w:r w:rsidRPr="002E31BB">
              <w:rPr>
                <w:b/>
                <w:bCs/>
                <w:color w:val="FFFFFF" w:themeColor="background1"/>
                <w:sz w:val="16"/>
                <w:szCs w:val="16"/>
              </w:rPr>
              <w:t>%g</w:t>
            </w:r>
          </w:p>
        </w:tc>
      </w:tr>
      <w:tr w:rsidRPr="002E31BB" w:rsidR="00A81C0A" w:rsidTr="00A81C0A" w14:paraId="5CDFF001" w14:textId="77777777">
        <w:tc>
          <w:tcPr>
            <w:tcW w:w="4753" w:type="dxa"/>
            <w:shd w:val="clear" w:color="auto" w:fill="DDEFF8"/>
          </w:tcPr>
          <w:p w:rsidRPr="002E31BB" w:rsidR="00A81C0A" w:rsidP="00A81C0A" w:rsidRDefault="00A81C0A" w14:paraId="3DEDEB10" w14:textId="77777777">
            <w:pPr>
              <w:rPr>
                <w:sz w:val="16"/>
                <w:szCs w:val="16"/>
              </w:rPr>
            </w:pPr>
            <w:r w:rsidRPr="002E31BB">
              <w:rPr>
                <w:b/>
                <w:sz w:val="16"/>
                <w:szCs w:val="16"/>
              </w:rPr>
              <w:t>CPB:</w:t>
            </w:r>
            <w:r w:rsidRPr="002E31BB">
              <w:rPr>
                <w:sz w:val="16"/>
                <w:szCs w:val="16"/>
              </w:rPr>
              <w:t xml:space="preserve"> Groei van de netto primaire uitgaven per jaar – geraamd</w:t>
            </w:r>
          </w:p>
        </w:tc>
        <w:tc>
          <w:tcPr>
            <w:tcW w:w="740" w:type="dxa"/>
          </w:tcPr>
          <w:p w:rsidRPr="009A661E" w:rsidR="00A81C0A" w:rsidP="00A81C0A" w:rsidRDefault="00A81C0A" w14:paraId="6B5F9416" w14:textId="67D02E43">
            <w:pPr>
              <w:rPr>
                <w:sz w:val="16"/>
                <w:szCs w:val="16"/>
                <w:highlight w:val="yellow"/>
              </w:rPr>
            </w:pPr>
            <w:r w:rsidRPr="001952A0">
              <w:rPr>
                <w:sz w:val="16"/>
                <w:szCs w:val="20"/>
              </w:rPr>
              <w:t>5,7</w:t>
            </w:r>
          </w:p>
        </w:tc>
        <w:tc>
          <w:tcPr>
            <w:tcW w:w="0" w:type="auto"/>
          </w:tcPr>
          <w:p w:rsidRPr="009A661E" w:rsidR="00A81C0A" w:rsidP="00A81C0A" w:rsidRDefault="00A81C0A" w14:paraId="4CC0F093" w14:textId="388BB2AE">
            <w:pPr>
              <w:rPr>
                <w:sz w:val="16"/>
                <w:szCs w:val="16"/>
                <w:highlight w:val="yellow"/>
              </w:rPr>
            </w:pPr>
            <w:r>
              <w:rPr>
                <w:sz w:val="16"/>
                <w:szCs w:val="20"/>
              </w:rPr>
              <w:t>7,9</w:t>
            </w:r>
          </w:p>
        </w:tc>
        <w:tc>
          <w:tcPr>
            <w:tcW w:w="0" w:type="auto"/>
          </w:tcPr>
          <w:p w:rsidRPr="009A661E" w:rsidR="00A81C0A" w:rsidP="00A81C0A" w:rsidRDefault="00A81C0A" w14:paraId="20DA167D" w14:textId="62529E17">
            <w:pPr>
              <w:rPr>
                <w:sz w:val="16"/>
                <w:szCs w:val="16"/>
                <w:highlight w:val="yellow"/>
              </w:rPr>
            </w:pPr>
            <w:r>
              <w:rPr>
                <w:sz w:val="16"/>
                <w:szCs w:val="20"/>
              </w:rPr>
              <w:t>3,4</w:t>
            </w:r>
          </w:p>
        </w:tc>
        <w:tc>
          <w:tcPr>
            <w:tcW w:w="0" w:type="auto"/>
          </w:tcPr>
          <w:p w:rsidRPr="009A661E" w:rsidR="00A81C0A" w:rsidP="00A81C0A" w:rsidRDefault="00A81C0A" w14:paraId="699D8024" w14:textId="1687D33E">
            <w:pPr>
              <w:rPr>
                <w:sz w:val="16"/>
                <w:szCs w:val="16"/>
                <w:highlight w:val="yellow"/>
              </w:rPr>
            </w:pPr>
            <w:r w:rsidRPr="001952A0">
              <w:rPr>
                <w:sz w:val="16"/>
                <w:szCs w:val="20"/>
              </w:rPr>
              <w:t>3,2</w:t>
            </w:r>
          </w:p>
        </w:tc>
        <w:tc>
          <w:tcPr>
            <w:tcW w:w="0" w:type="auto"/>
          </w:tcPr>
          <w:p w:rsidRPr="009A661E" w:rsidR="00A81C0A" w:rsidP="00A81C0A" w:rsidRDefault="00A81C0A" w14:paraId="5A49D0E6" w14:textId="73BFA0CD">
            <w:pPr>
              <w:rPr>
                <w:sz w:val="16"/>
                <w:szCs w:val="16"/>
                <w:highlight w:val="yellow"/>
              </w:rPr>
            </w:pPr>
            <w:r w:rsidRPr="001952A0">
              <w:rPr>
                <w:sz w:val="16"/>
                <w:szCs w:val="20"/>
              </w:rPr>
              <w:t>4,2</w:t>
            </w:r>
          </w:p>
        </w:tc>
      </w:tr>
      <w:tr w:rsidRPr="002E31BB" w:rsidR="00A81C0A" w:rsidTr="00A81C0A" w14:paraId="1B4C8DB3" w14:textId="77777777">
        <w:tc>
          <w:tcPr>
            <w:tcW w:w="4753" w:type="dxa"/>
            <w:shd w:val="clear" w:color="auto" w:fill="DDEFF8"/>
          </w:tcPr>
          <w:p w:rsidRPr="002E31BB" w:rsidR="00A81C0A" w:rsidP="00A81C0A" w:rsidRDefault="00A81C0A" w14:paraId="16073826" w14:textId="77777777">
            <w:pPr>
              <w:rPr>
                <w:sz w:val="16"/>
                <w:szCs w:val="16"/>
              </w:rPr>
            </w:pPr>
            <w:r w:rsidRPr="002E31BB">
              <w:rPr>
                <w:b/>
                <w:sz w:val="16"/>
                <w:szCs w:val="16"/>
              </w:rPr>
              <w:t xml:space="preserve">CPB: </w:t>
            </w:r>
            <w:r w:rsidRPr="002E31BB">
              <w:rPr>
                <w:sz w:val="16"/>
                <w:szCs w:val="16"/>
              </w:rPr>
              <w:t>Groei van netto primaire uitgaven cumulatief - geraamd</w:t>
            </w:r>
          </w:p>
        </w:tc>
        <w:tc>
          <w:tcPr>
            <w:tcW w:w="740" w:type="dxa"/>
          </w:tcPr>
          <w:p w:rsidRPr="009A661E" w:rsidR="00A81C0A" w:rsidP="00A81C0A" w:rsidRDefault="00A81C0A" w14:paraId="2E01BEDB" w14:textId="1988C9EB">
            <w:pPr>
              <w:rPr>
                <w:sz w:val="16"/>
                <w:szCs w:val="16"/>
                <w:highlight w:val="yellow"/>
              </w:rPr>
            </w:pPr>
            <w:r w:rsidRPr="001952A0">
              <w:rPr>
                <w:sz w:val="16"/>
                <w:szCs w:val="20"/>
              </w:rPr>
              <w:t>5,7</w:t>
            </w:r>
          </w:p>
        </w:tc>
        <w:tc>
          <w:tcPr>
            <w:tcW w:w="0" w:type="auto"/>
          </w:tcPr>
          <w:p w:rsidRPr="009A661E" w:rsidR="00A81C0A" w:rsidP="00A81C0A" w:rsidRDefault="00A81C0A" w14:paraId="1403A21E" w14:textId="2FB6F026">
            <w:pPr>
              <w:rPr>
                <w:sz w:val="16"/>
                <w:szCs w:val="16"/>
                <w:highlight w:val="yellow"/>
              </w:rPr>
            </w:pPr>
            <w:r w:rsidRPr="001952A0">
              <w:rPr>
                <w:sz w:val="16"/>
                <w:szCs w:val="20"/>
              </w:rPr>
              <w:t>14,1</w:t>
            </w:r>
          </w:p>
        </w:tc>
        <w:tc>
          <w:tcPr>
            <w:tcW w:w="0" w:type="auto"/>
          </w:tcPr>
          <w:p w:rsidRPr="009A661E" w:rsidR="00A81C0A" w:rsidP="00A81C0A" w:rsidRDefault="00A81C0A" w14:paraId="6A6F021B" w14:textId="1827A8FD">
            <w:pPr>
              <w:rPr>
                <w:sz w:val="16"/>
                <w:szCs w:val="16"/>
                <w:highlight w:val="yellow"/>
              </w:rPr>
            </w:pPr>
            <w:r w:rsidRPr="001952A0">
              <w:rPr>
                <w:sz w:val="16"/>
                <w:szCs w:val="20"/>
              </w:rPr>
              <w:t>18,</w:t>
            </w:r>
            <w:r>
              <w:rPr>
                <w:sz w:val="16"/>
                <w:szCs w:val="20"/>
              </w:rPr>
              <w:t>0</w:t>
            </w:r>
          </w:p>
        </w:tc>
        <w:tc>
          <w:tcPr>
            <w:tcW w:w="0" w:type="auto"/>
          </w:tcPr>
          <w:p w:rsidRPr="009A661E" w:rsidR="00A81C0A" w:rsidP="00A81C0A" w:rsidRDefault="00A81C0A" w14:paraId="3FB0C244" w14:textId="448ABAD1">
            <w:pPr>
              <w:rPr>
                <w:sz w:val="16"/>
                <w:szCs w:val="16"/>
                <w:highlight w:val="yellow"/>
              </w:rPr>
            </w:pPr>
            <w:r w:rsidRPr="001952A0">
              <w:rPr>
                <w:sz w:val="16"/>
                <w:szCs w:val="20"/>
              </w:rPr>
              <w:t>21,8</w:t>
            </w:r>
          </w:p>
        </w:tc>
        <w:tc>
          <w:tcPr>
            <w:tcW w:w="0" w:type="auto"/>
          </w:tcPr>
          <w:p w:rsidRPr="009A661E" w:rsidR="00A81C0A" w:rsidP="00A81C0A" w:rsidRDefault="00A81C0A" w14:paraId="7B19793A" w14:textId="192DB3A7">
            <w:pPr>
              <w:rPr>
                <w:sz w:val="16"/>
                <w:szCs w:val="16"/>
                <w:highlight w:val="yellow"/>
              </w:rPr>
            </w:pPr>
            <w:r>
              <w:rPr>
                <w:sz w:val="16"/>
                <w:szCs w:val="20"/>
              </w:rPr>
              <w:t>26,9</w:t>
            </w:r>
          </w:p>
        </w:tc>
      </w:tr>
      <w:tr w:rsidRPr="002E31BB" w:rsidR="00FB2103" w:rsidTr="00A81C0A" w14:paraId="69D4ECCD" w14:textId="77777777">
        <w:tc>
          <w:tcPr>
            <w:tcW w:w="4753" w:type="dxa"/>
            <w:shd w:val="clear" w:color="auto" w:fill="DDEFF8"/>
          </w:tcPr>
          <w:p w:rsidRPr="002E31BB" w:rsidR="00FB2103" w:rsidP="00FD7B90" w:rsidRDefault="00FB2103" w14:paraId="62E4C798" w14:textId="77777777">
            <w:pPr>
              <w:rPr>
                <w:b/>
                <w:sz w:val="16"/>
                <w:szCs w:val="16"/>
              </w:rPr>
            </w:pPr>
            <w:r w:rsidRPr="002E31BB">
              <w:rPr>
                <w:b/>
                <w:sz w:val="16"/>
                <w:szCs w:val="16"/>
              </w:rPr>
              <w:t xml:space="preserve">Aanbeveling van de Raad: </w:t>
            </w:r>
            <w:r w:rsidRPr="002E31BB">
              <w:rPr>
                <w:sz w:val="16"/>
                <w:szCs w:val="16"/>
              </w:rPr>
              <w:t>Groei van de netto primaire uitgaven per jaar</w:t>
            </w:r>
          </w:p>
        </w:tc>
        <w:tc>
          <w:tcPr>
            <w:tcW w:w="740" w:type="dxa"/>
          </w:tcPr>
          <w:p w:rsidRPr="002E31BB" w:rsidR="00FB2103" w:rsidP="00FD7B90" w:rsidRDefault="00EF7F38" w14:paraId="7DC9FB91" w14:textId="5FBBD82E">
            <w:pPr>
              <w:rPr>
                <w:sz w:val="16"/>
                <w:szCs w:val="16"/>
              </w:rPr>
            </w:pPr>
            <w:r w:rsidRPr="002E31BB">
              <w:rPr>
                <w:sz w:val="16"/>
                <w:szCs w:val="16"/>
              </w:rPr>
              <w:t>6,6</w:t>
            </w:r>
            <w:r w:rsidRPr="002E31BB" w:rsidR="001B5076">
              <w:rPr>
                <w:rStyle w:val="Voetnootmarkering"/>
                <w:sz w:val="16"/>
                <w:szCs w:val="16"/>
              </w:rPr>
              <w:footnoteReference w:id="7"/>
            </w:r>
          </w:p>
        </w:tc>
        <w:tc>
          <w:tcPr>
            <w:tcW w:w="0" w:type="auto"/>
          </w:tcPr>
          <w:p w:rsidRPr="002E31BB" w:rsidR="00FB2103" w:rsidP="00FD7B90" w:rsidRDefault="00FB2103" w14:paraId="48C4D25A" w14:textId="77777777">
            <w:pPr>
              <w:rPr>
                <w:sz w:val="16"/>
                <w:szCs w:val="16"/>
              </w:rPr>
            </w:pPr>
            <w:r w:rsidRPr="002E31BB">
              <w:rPr>
                <w:sz w:val="16"/>
                <w:szCs w:val="16"/>
              </w:rPr>
              <w:t>3,5</w:t>
            </w:r>
          </w:p>
        </w:tc>
        <w:tc>
          <w:tcPr>
            <w:tcW w:w="0" w:type="auto"/>
          </w:tcPr>
          <w:p w:rsidRPr="002E31BB" w:rsidR="00FB2103" w:rsidP="00FD7B90" w:rsidRDefault="00FB2103" w14:paraId="41C69718" w14:textId="77777777">
            <w:pPr>
              <w:rPr>
                <w:sz w:val="16"/>
                <w:szCs w:val="16"/>
              </w:rPr>
            </w:pPr>
            <w:r w:rsidRPr="002E31BB">
              <w:rPr>
                <w:sz w:val="16"/>
                <w:szCs w:val="16"/>
              </w:rPr>
              <w:t>3,3</w:t>
            </w:r>
          </w:p>
        </w:tc>
        <w:tc>
          <w:tcPr>
            <w:tcW w:w="0" w:type="auto"/>
          </w:tcPr>
          <w:p w:rsidRPr="002E31BB" w:rsidR="00FB2103" w:rsidP="00FD7B90" w:rsidRDefault="00FB2103" w14:paraId="7A9F49BC" w14:textId="77777777">
            <w:pPr>
              <w:rPr>
                <w:sz w:val="16"/>
                <w:szCs w:val="16"/>
              </w:rPr>
            </w:pPr>
            <w:r w:rsidRPr="002E31BB">
              <w:rPr>
                <w:sz w:val="16"/>
                <w:szCs w:val="16"/>
              </w:rPr>
              <w:t>3,0</w:t>
            </w:r>
          </w:p>
        </w:tc>
        <w:tc>
          <w:tcPr>
            <w:tcW w:w="0" w:type="auto"/>
          </w:tcPr>
          <w:p w:rsidRPr="002E31BB" w:rsidR="00FB2103" w:rsidP="00FD7B90" w:rsidRDefault="00FB2103" w14:paraId="4BDC9F37" w14:textId="77777777">
            <w:pPr>
              <w:rPr>
                <w:sz w:val="16"/>
                <w:szCs w:val="16"/>
              </w:rPr>
            </w:pPr>
            <w:r w:rsidRPr="002E31BB">
              <w:rPr>
                <w:sz w:val="16"/>
                <w:szCs w:val="16"/>
              </w:rPr>
              <w:t>3,0</w:t>
            </w:r>
          </w:p>
        </w:tc>
      </w:tr>
      <w:tr w:rsidRPr="002E31BB" w:rsidR="00FB2103" w:rsidTr="00A81C0A" w14:paraId="0FE57612" w14:textId="77777777">
        <w:tc>
          <w:tcPr>
            <w:tcW w:w="4753" w:type="dxa"/>
            <w:shd w:val="clear" w:color="auto" w:fill="DDEFF8"/>
          </w:tcPr>
          <w:p w:rsidRPr="002E31BB" w:rsidR="00FB2103" w:rsidP="00FD7B90" w:rsidRDefault="00FB2103" w14:paraId="288D5CED" w14:textId="77777777">
            <w:pPr>
              <w:rPr>
                <w:b/>
                <w:sz w:val="16"/>
                <w:szCs w:val="16"/>
              </w:rPr>
            </w:pPr>
            <w:r w:rsidRPr="002E31BB">
              <w:rPr>
                <w:b/>
                <w:sz w:val="16"/>
                <w:szCs w:val="16"/>
              </w:rPr>
              <w:t xml:space="preserve">Aanbeveling van de Raad: </w:t>
            </w:r>
            <w:r w:rsidRPr="002E31BB">
              <w:rPr>
                <w:sz w:val="16"/>
                <w:szCs w:val="16"/>
              </w:rPr>
              <w:t>Groei van netto primaire uitgaven cumulatief</w:t>
            </w:r>
          </w:p>
        </w:tc>
        <w:tc>
          <w:tcPr>
            <w:tcW w:w="740" w:type="dxa"/>
          </w:tcPr>
          <w:p w:rsidRPr="002E31BB" w:rsidR="00FB2103" w:rsidP="00FD7B90" w:rsidRDefault="00EF7F38" w14:paraId="5232AB84" w14:textId="10B7BD77">
            <w:pPr>
              <w:rPr>
                <w:sz w:val="16"/>
                <w:szCs w:val="16"/>
              </w:rPr>
            </w:pPr>
            <w:r w:rsidRPr="002E31BB">
              <w:rPr>
                <w:sz w:val="16"/>
                <w:szCs w:val="16"/>
              </w:rPr>
              <w:t>6,6</w:t>
            </w:r>
          </w:p>
        </w:tc>
        <w:tc>
          <w:tcPr>
            <w:tcW w:w="0" w:type="auto"/>
          </w:tcPr>
          <w:p w:rsidRPr="002E31BB" w:rsidR="00FB2103" w:rsidP="00FD7B90" w:rsidRDefault="002E31BB" w14:paraId="7CEAC25D" w14:textId="21F26887">
            <w:pPr>
              <w:rPr>
                <w:sz w:val="16"/>
                <w:szCs w:val="16"/>
              </w:rPr>
            </w:pPr>
            <w:r w:rsidRPr="009A661E">
              <w:rPr>
                <w:sz w:val="16"/>
                <w:szCs w:val="16"/>
              </w:rPr>
              <w:t>10,4</w:t>
            </w:r>
          </w:p>
        </w:tc>
        <w:tc>
          <w:tcPr>
            <w:tcW w:w="0" w:type="auto"/>
          </w:tcPr>
          <w:p w:rsidRPr="002E31BB" w:rsidR="00FB2103" w:rsidP="00FD7B90" w:rsidRDefault="00FB2103" w14:paraId="552F5AB3" w14:textId="77777777">
            <w:pPr>
              <w:rPr>
                <w:sz w:val="16"/>
                <w:szCs w:val="16"/>
              </w:rPr>
            </w:pPr>
            <w:r w:rsidRPr="002E31BB">
              <w:rPr>
                <w:sz w:val="16"/>
                <w:szCs w:val="16"/>
              </w:rPr>
              <w:t>14,0</w:t>
            </w:r>
          </w:p>
        </w:tc>
        <w:tc>
          <w:tcPr>
            <w:tcW w:w="0" w:type="auto"/>
          </w:tcPr>
          <w:p w:rsidRPr="002E31BB" w:rsidR="00FB2103" w:rsidP="00FD7B90" w:rsidRDefault="002E31BB" w14:paraId="14B77B0B" w14:textId="11B484E7">
            <w:pPr>
              <w:rPr>
                <w:sz w:val="16"/>
                <w:szCs w:val="16"/>
              </w:rPr>
            </w:pPr>
            <w:r w:rsidRPr="009A661E">
              <w:rPr>
                <w:sz w:val="16"/>
                <w:szCs w:val="16"/>
              </w:rPr>
              <w:t>17,5</w:t>
            </w:r>
          </w:p>
        </w:tc>
        <w:tc>
          <w:tcPr>
            <w:tcW w:w="0" w:type="auto"/>
          </w:tcPr>
          <w:p w:rsidRPr="002E31BB" w:rsidR="00FB2103" w:rsidP="00FD7B90" w:rsidRDefault="002E31BB" w14:paraId="5DF80BB1" w14:textId="2A5C7B89">
            <w:pPr>
              <w:rPr>
                <w:sz w:val="16"/>
                <w:szCs w:val="16"/>
              </w:rPr>
            </w:pPr>
            <w:r w:rsidRPr="009A661E">
              <w:rPr>
                <w:sz w:val="16"/>
                <w:szCs w:val="16"/>
              </w:rPr>
              <w:t>21,0</w:t>
            </w:r>
          </w:p>
        </w:tc>
      </w:tr>
      <w:tr w:rsidRPr="000B4D4D" w:rsidR="00FB2103" w:rsidTr="00A81C0A" w14:paraId="057AA134" w14:textId="77777777">
        <w:tc>
          <w:tcPr>
            <w:tcW w:w="4753" w:type="dxa"/>
            <w:shd w:val="clear" w:color="auto" w:fill="DDEFF8"/>
          </w:tcPr>
          <w:p w:rsidRPr="002E31BB" w:rsidR="00FB2103" w:rsidP="00FD7B90" w:rsidRDefault="00FB2103" w14:paraId="70EF522C" w14:textId="77777777">
            <w:pPr>
              <w:rPr>
                <w:sz w:val="16"/>
                <w:szCs w:val="16"/>
              </w:rPr>
            </w:pPr>
            <w:r w:rsidRPr="002E31BB">
              <w:rPr>
                <w:sz w:val="16"/>
                <w:szCs w:val="16"/>
              </w:rPr>
              <w:t>Landspecifieke aanbeveling 2024 groei netto primaire overheidsuitgaven</w:t>
            </w:r>
          </w:p>
        </w:tc>
        <w:tc>
          <w:tcPr>
            <w:tcW w:w="740" w:type="dxa"/>
          </w:tcPr>
          <w:p w:rsidRPr="00106C84" w:rsidR="00FB2103" w:rsidP="00FD7B90" w:rsidRDefault="00FB2103" w14:paraId="283066AF" w14:textId="77777777">
            <w:pPr>
              <w:rPr>
                <w:sz w:val="16"/>
                <w:szCs w:val="16"/>
              </w:rPr>
            </w:pPr>
            <w:r w:rsidRPr="002E31BB">
              <w:rPr>
                <w:sz w:val="16"/>
                <w:szCs w:val="16"/>
              </w:rPr>
              <w:t>3,5</w:t>
            </w:r>
          </w:p>
        </w:tc>
        <w:tc>
          <w:tcPr>
            <w:tcW w:w="0" w:type="auto"/>
          </w:tcPr>
          <w:p w:rsidRPr="00106C84" w:rsidR="00FB2103" w:rsidP="00FD7B90" w:rsidRDefault="00FB2103" w14:paraId="63E0156C" w14:textId="77777777">
            <w:pPr>
              <w:rPr>
                <w:sz w:val="16"/>
                <w:szCs w:val="16"/>
              </w:rPr>
            </w:pPr>
          </w:p>
        </w:tc>
        <w:tc>
          <w:tcPr>
            <w:tcW w:w="0" w:type="auto"/>
          </w:tcPr>
          <w:p w:rsidRPr="00106C84" w:rsidR="00FB2103" w:rsidP="00FD7B90" w:rsidRDefault="00FB2103" w14:paraId="26A2C5E0" w14:textId="77777777">
            <w:pPr>
              <w:rPr>
                <w:sz w:val="16"/>
                <w:szCs w:val="16"/>
              </w:rPr>
            </w:pPr>
          </w:p>
        </w:tc>
        <w:tc>
          <w:tcPr>
            <w:tcW w:w="0" w:type="auto"/>
          </w:tcPr>
          <w:p w:rsidRPr="00106C84" w:rsidR="00FB2103" w:rsidP="00FD7B90" w:rsidRDefault="00FB2103" w14:paraId="4D8DDC98" w14:textId="77777777">
            <w:pPr>
              <w:rPr>
                <w:sz w:val="16"/>
                <w:szCs w:val="16"/>
              </w:rPr>
            </w:pPr>
          </w:p>
        </w:tc>
        <w:tc>
          <w:tcPr>
            <w:tcW w:w="0" w:type="auto"/>
          </w:tcPr>
          <w:p w:rsidRPr="00106C84" w:rsidR="00FB2103" w:rsidP="00FD7B90" w:rsidRDefault="00FB2103" w14:paraId="5654923A" w14:textId="77777777">
            <w:pPr>
              <w:rPr>
                <w:sz w:val="16"/>
                <w:szCs w:val="16"/>
              </w:rPr>
            </w:pPr>
          </w:p>
        </w:tc>
      </w:tr>
      <w:bookmarkEnd w:id="9"/>
    </w:tbl>
    <w:p w:rsidRPr="000B4D4D" w:rsidR="00FB2103" w:rsidP="00A63CF0" w:rsidRDefault="00FB2103" w14:paraId="49AC8894" w14:textId="77777777">
      <w:pPr>
        <w:rPr>
          <w:iCs/>
          <w:szCs w:val="18"/>
        </w:rPr>
      </w:pPr>
    </w:p>
    <w:p w:rsidR="00A63CF0" w:rsidP="00BE212F" w:rsidRDefault="00066A26" w14:paraId="797892CC" w14:textId="678433BD">
      <w:pPr>
        <w:rPr>
          <w:iCs/>
          <w:szCs w:val="18"/>
        </w:rPr>
      </w:pPr>
      <w:r w:rsidRPr="00066A26">
        <w:rPr>
          <w:b/>
          <w:bCs/>
          <w:iCs/>
          <w:szCs w:val="18"/>
        </w:rPr>
        <w:t xml:space="preserve">De cumulatieve netto uitgavengroei valt hoger uit dan gerapporteerd in het budgettair structureel plan. </w:t>
      </w:r>
      <w:r w:rsidRPr="00C53DBB">
        <w:rPr>
          <w:szCs w:val="18"/>
        </w:rPr>
        <w:t xml:space="preserve">Waar de </w:t>
      </w:r>
      <w:r w:rsidRPr="00C53DBB" w:rsidR="0035681A">
        <w:rPr>
          <w:szCs w:val="18"/>
        </w:rPr>
        <w:t>groei van</w:t>
      </w:r>
      <w:r w:rsidRPr="00C53DBB">
        <w:rPr>
          <w:szCs w:val="18"/>
        </w:rPr>
        <w:t xml:space="preserve"> de cumulatieve uitgaven in het budgettair structureel plan uitkwam op 25,9%, </w:t>
      </w:r>
      <w:r w:rsidRPr="00C53DBB" w:rsidR="0035681A">
        <w:rPr>
          <w:szCs w:val="18"/>
        </w:rPr>
        <w:t>komt</w:t>
      </w:r>
      <w:r w:rsidRPr="00C53DBB">
        <w:rPr>
          <w:szCs w:val="18"/>
        </w:rPr>
        <w:t xml:space="preserve"> deze in </w:t>
      </w:r>
      <w:r w:rsidRPr="00C53DBB" w:rsidR="008A74A6">
        <w:rPr>
          <w:szCs w:val="18"/>
        </w:rPr>
        <w:t>de voortgangsrapportage</w:t>
      </w:r>
      <w:r w:rsidRPr="00C53DBB">
        <w:rPr>
          <w:szCs w:val="18"/>
        </w:rPr>
        <w:t xml:space="preserve"> uit op </w:t>
      </w:r>
      <w:r w:rsidRPr="00C53DBB">
        <w:rPr>
          <w:iCs/>
          <w:szCs w:val="18"/>
        </w:rPr>
        <w:t>2</w:t>
      </w:r>
      <w:r w:rsidRPr="009A661E" w:rsidR="00C53DBB">
        <w:rPr>
          <w:iCs/>
          <w:szCs w:val="18"/>
        </w:rPr>
        <w:t>6</w:t>
      </w:r>
      <w:r w:rsidRPr="00C53DBB">
        <w:rPr>
          <w:iCs/>
          <w:szCs w:val="18"/>
        </w:rPr>
        <w:t>,</w:t>
      </w:r>
      <w:r w:rsidRPr="009A661E" w:rsidR="00C53DBB">
        <w:rPr>
          <w:iCs/>
          <w:szCs w:val="18"/>
        </w:rPr>
        <w:t>9</w:t>
      </w:r>
      <w:r w:rsidRPr="00C53DBB">
        <w:rPr>
          <w:szCs w:val="18"/>
        </w:rPr>
        <w:t>%</w:t>
      </w:r>
      <w:r w:rsidRPr="00C53DBB" w:rsidR="00DA1849">
        <w:rPr>
          <w:szCs w:val="18"/>
        </w:rPr>
        <w:t xml:space="preserve"> (zie tabel 1b)</w:t>
      </w:r>
      <w:r w:rsidRPr="00C53DBB">
        <w:rPr>
          <w:szCs w:val="18"/>
        </w:rPr>
        <w:t>.</w:t>
      </w:r>
      <w:r w:rsidRPr="00C53DBB">
        <w:rPr>
          <w:b/>
          <w:szCs w:val="18"/>
        </w:rPr>
        <w:t xml:space="preserve"> </w:t>
      </w:r>
      <w:r w:rsidRPr="00C53DBB">
        <w:rPr>
          <w:szCs w:val="18"/>
        </w:rPr>
        <w:t>Dit komt door zowel nominale ontwikkelingen en prijsbijstellingen als hogere bbp-gerelateerde uitgaven (defensie, EU-afdrachten en het Gemeente- en Provinciefonds).</w:t>
      </w:r>
      <w:r w:rsidRPr="00066A26">
        <w:rPr>
          <w:iCs/>
          <w:szCs w:val="18"/>
        </w:rPr>
        <w:t xml:space="preserve"> In 2024 is er eenmalig juist sprake van een lagere netto uitgavengroei, door beleidsmatige lastenverhogingen die ingevoerd zijn. </w:t>
      </w:r>
      <w:r w:rsidR="008A6589">
        <w:rPr>
          <w:iCs/>
          <w:szCs w:val="18"/>
        </w:rPr>
        <w:t xml:space="preserve">Door een lagere uitgavengroei in 2024 </w:t>
      </w:r>
      <w:r w:rsidRPr="00066A26">
        <w:rPr>
          <w:iCs/>
          <w:szCs w:val="18"/>
        </w:rPr>
        <w:t xml:space="preserve">valt de groei in 2025 een hoger uit. Dit heeft </w:t>
      </w:r>
      <w:r w:rsidR="008A6589">
        <w:rPr>
          <w:iCs/>
          <w:szCs w:val="18"/>
        </w:rPr>
        <w:t xml:space="preserve">dus </w:t>
      </w:r>
      <w:r w:rsidRPr="00066A26">
        <w:rPr>
          <w:iCs/>
          <w:szCs w:val="18"/>
        </w:rPr>
        <w:t>geen effect op de cumulatieve uitgaven</w:t>
      </w:r>
      <w:r w:rsidR="003250A7">
        <w:rPr>
          <w:iCs/>
          <w:szCs w:val="18"/>
        </w:rPr>
        <w:t>.</w:t>
      </w:r>
    </w:p>
    <w:p w:rsidR="003B3605" w:rsidP="00BE212F" w:rsidRDefault="003B3605" w14:paraId="56D4BBD7" w14:textId="77777777">
      <w:pPr>
        <w:rPr>
          <w:iCs/>
          <w:szCs w:val="18"/>
        </w:rPr>
      </w:pPr>
    </w:p>
    <w:p w:rsidR="003B3605" w:rsidP="00BE212F" w:rsidRDefault="003B3605" w14:paraId="6CB02420" w14:textId="77777777">
      <w:pPr>
        <w:rPr>
          <w:iCs/>
          <w:szCs w:val="18"/>
        </w:rPr>
      </w:pPr>
    </w:p>
    <w:p w:rsidR="003B3605" w:rsidP="00BE212F" w:rsidRDefault="003B3605" w14:paraId="4EB19BB3" w14:textId="77777777">
      <w:pPr>
        <w:rPr>
          <w:iCs/>
          <w:szCs w:val="18"/>
        </w:rPr>
      </w:pPr>
    </w:p>
    <w:p w:rsidR="003B3605" w:rsidP="00BE212F" w:rsidRDefault="003B3605" w14:paraId="6B62D569" w14:textId="77777777">
      <w:pPr>
        <w:rPr>
          <w:iCs/>
          <w:szCs w:val="18"/>
        </w:rPr>
      </w:pPr>
    </w:p>
    <w:p w:rsidRPr="00BE212F" w:rsidR="003B3605" w:rsidP="00BE212F" w:rsidRDefault="003B3605" w14:paraId="6A021FE0" w14:textId="77777777">
      <w:pPr>
        <w:rPr>
          <w:iCs/>
          <w:szCs w:val="18"/>
        </w:rPr>
      </w:pPr>
    </w:p>
    <w:p w:rsidR="00815481" w:rsidP="00FB1BEC" w:rsidRDefault="00815481" w14:paraId="3FF80CCF" w14:textId="38D0E668">
      <w:pPr>
        <w:rPr>
          <w:szCs w:val="18"/>
        </w:rPr>
      </w:pPr>
      <w:r w:rsidRPr="004E1CA4">
        <w:rPr>
          <w:i/>
          <w:szCs w:val="18"/>
        </w:rPr>
        <w:t xml:space="preserve"> Tabel 1b: verschillenanalyse uitgavengroei budgettair structureel plan</w:t>
      </w:r>
      <w:r w:rsidR="00F312C5">
        <w:rPr>
          <w:rStyle w:val="Voetnootmarkering"/>
          <w:i/>
          <w:szCs w:val="18"/>
        </w:rPr>
        <w:footnoteReference w:id="8"/>
      </w:r>
      <w:r w:rsidRPr="004E1CA4">
        <w:rPr>
          <w:i/>
          <w:szCs w:val="18"/>
        </w:rPr>
        <w:t xml:space="preserve"> en voortgangs</w:t>
      </w:r>
      <w:r w:rsidR="00944475">
        <w:rPr>
          <w:i/>
          <w:szCs w:val="18"/>
        </w:rPr>
        <w:t>rapportage</w:t>
      </w:r>
      <w:r w:rsidR="00F312C5">
        <w:rPr>
          <w:rStyle w:val="Voetnootmarkering"/>
          <w:i/>
          <w:szCs w:val="18"/>
        </w:rPr>
        <w:footnoteReference w:id="9"/>
      </w:r>
    </w:p>
    <w:tbl>
      <w:tblPr>
        <w:tblStyle w:val="Tabelraster"/>
        <w:tblpPr w:leftFromText="141" w:rightFromText="141" w:vertAnchor="page" w:horzAnchor="margin" w:tblpY="2279"/>
        <w:tblW w:w="9011" w:type="dxa"/>
        <w:tblLook w:val="04A0" w:firstRow="1" w:lastRow="0" w:firstColumn="1" w:lastColumn="0" w:noHBand="0" w:noVBand="1"/>
      </w:tblPr>
      <w:tblGrid>
        <w:gridCol w:w="5307"/>
        <w:gridCol w:w="744"/>
        <w:gridCol w:w="740"/>
        <w:gridCol w:w="740"/>
        <w:gridCol w:w="740"/>
        <w:gridCol w:w="740"/>
      </w:tblGrid>
      <w:tr w:rsidR="003B3605" w:rsidTr="00AE6179" w14:paraId="3CA4DFA8" w14:textId="77777777">
        <w:trPr>
          <w:trHeight w:val="188"/>
        </w:trPr>
        <w:tc>
          <w:tcPr>
            <w:tcW w:w="5307" w:type="dxa"/>
            <w:tcBorders>
              <w:top w:val="single" w:color="auto" w:sz="4" w:space="0"/>
              <w:left w:val="single" w:color="auto" w:sz="4" w:space="0"/>
              <w:bottom w:val="single" w:color="auto" w:sz="4" w:space="0"/>
              <w:right w:val="single" w:color="auto" w:sz="4" w:space="0"/>
            </w:tcBorders>
            <w:shd w:val="clear" w:color="auto" w:fill="01689B"/>
          </w:tcPr>
          <w:p w:rsidRPr="004E1CA4" w:rsidR="003B3605" w:rsidP="003B3605" w:rsidRDefault="003B3605" w14:paraId="11F1693C" w14:textId="77777777">
            <w:pPr>
              <w:rPr>
                <w:b/>
                <w:bCs/>
                <w:sz w:val="16"/>
                <w:szCs w:val="16"/>
              </w:rPr>
            </w:pPr>
          </w:p>
        </w:tc>
        <w:tc>
          <w:tcPr>
            <w:tcW w:w="744" w:type="dxa"/>
            <w:tcBorders>
              <w:top w:val="single" w:color="auto" w:sz="4" w:space="0"/>
              <w:left w:val="single" w:color="auto" w:sz="4" w:space="0"/>
              <w:bottom w:val="single" w:color="auto" w:sz="4" w:space="0"/>
              <w:right w:val="single" w:color="auto" w:sz="4" w:space="0"/>
            </w:tcBorders>
            <w:shd w:val="clear" w:color="auto" w:fill="01689B"/>
            <w:hideMark/>
          </w:tcPr>
          <w:p w:rsidRPr="004E1CA4" w:rsidR="003B3605" w:rsidP="003B3605" w:rsidRDefault="003B3605" w14:paraId="755EEA93" w14:textId="77777777">
            <w:pPr>
              <w:rPr>
                <w:b/>
                <w:color w:val="FFFFFF" w:themeColor="background1"/>
                <w:sz w:val="16"/>
                <w:szCs w:val="16"/>
              </w:rPr>
            </w:pPr>
            <w:r w:rsidRPr="004E1CA4">
              <w:rPr>
                <w:b/>
                <w:color w:val="FFFFFF" w:themeColor="background1"/>
                <w:sz w:val="16"/>
                <w:szCs w:val="16"/>
              </w:rPr>
              <w:t>2024</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4E1CA4" w:rsidR="003B3605" w:rsidP="003B3605" w:rsidRDefault="003B3605" w14:paraId="555A0A0E" w14:textId="77777777">
            <w:pPr>
              <w:rPr>
                <w:b/>
                <w:color w:val="FFFFFF" w:themeColor="background1"/>
                <w:sz w:val="16"/>
                <w:szCs w:val="16"/>
              </w:rPr>
            </w:pPr>
            <w:r w:rsidRPr="004E1CA4">
              <w:rPr>
                <w:b/>
                <w:color w:val="FFFFFF" w:themeColor="background1"/>
                <w:sz w:val="16"/>
                <w:szCs w:val="16"/>
              </w:rPr>
              <w:t>2025</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4E1CA4" w:rsidR="003B3605" w:rsidP="003B3605" w:rsidRDefault="003B3605" w14:paraId="7A409047" w14:textId="77777777">
            <w:pPr>
              <w:rPr>
                <w:b/>
                <w:color w:val="FFFFFF" w:themeColor="background1"/>
                <w:sz w:val="16"/>
                <w:szCs w:val="16"/>
              </w:rPr>
            </w:pPr>
            <w:r w:rsidRPr="004E1CA4">
              <w:rPr>
                <w:b/>
                <w:color w:val="FFFFFF" w:themeColor="background1"/>
                <w:sz w:val="16"/>
                <w:szCs w:val="16"/>
              </w:rPr>
              <w:t>2026</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4E1CA4" w:rsidR="003B3605" w:rsidP="003B3605" w:rsidRDefault="003B3605" w14:paraId="19EBE1CA" w14:textId="77777777">
            <w:pPr>
              <w:rPr>
                <w:b/>
                <w:color w:val="FFFFFF" w:themeColor="background1"/>
                <w:sz w:val="16"/>
                <w:szCs w:val="16"/>
              </w:rPr>
            </w:pPr>
            <w:r w:rsidRPr="004E1CA4">
              <w:rPr>
                <w:b/>
                <w:color w:val="FFFFFF" w:themeColor="background1"/>
                <w:sz w:val="16"/>
                <w:szCs w:val="16"/>
              </w:rPr>
              <w:t>2027</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4E1CA4" w:rsidR="003B3605" w:rsidP="003B3605" w:rsidRDefault="003B3605" w14:paraId="0941CEBD" w14:textId="77777777">
            <w:pPr>
              <w:rPr>
                <w:b/>
                <w:color w:val="FFFFFF" w:themeColor="background1"/>
                <w:sz w:val="16"/>
                <w:szCs w:val="16"/>
              </w:rPr>
            </w:pPr>
            <w:r w:rsidRPr="004E1CA4">
              <w:rPr>
                <w:b/>
                <w:color w:val="FFFFFF" w:themeColor="background1"/>
                <w:sz w:val="16"/>
                <w:szCs w:val="16"/>
              </w:rPr>
              <w:t>2028</w:t>
            </w:r>
          </w:p>
        </w:tc>
      </w:tr>
      <w:tr w:rsidR="003B3605" w:rsidTr="00AE6179" w14:paraId="297F04C7" w14:textId="77777777">
        <w:trPr>
          <w:trHeight w:val="142"/>
        </w:trPr>
        <w:tc>
          <w:tcPr>
            <w:tcW w:w="5307" w:type="dxa"/>
            <w:tcBorders>
              <w:top w:val="single" w:color="auto" w:sz="4" w:space="0"/>
              <w:left w:val="single" w:color="auto" w:sz="4" w:space="0"/>
              <w:bottom w:val="single" w:color="auto" w:sz="4" w:space="0"/>
              <w:right w:val="single" w:color="auto" w:sz="4" w:space="0"/>
            </w:tcBorders>
            <w:shd w:val="clear" w:color="auto" w:fill="01689B"/>
          </w:tcPr>
          <w:p w:rsidRPr="004E1CA4" w:rsidR="003B3605" w:rsidP="003B3605" w:rsidRDefault="003B3605" w14:paraId="1C251650" w14:textId="77777777">
            <w:pPr>
              <w:rPr>
                <w:b/>
                <w:bCs/>
                <w:sz w:val="16"/>
                <w:szCs w:val="16"/>
              </w:rPr>
            </w:pPr>
          </w:p>
        </w:tc>
        <w:tc>
          <w:tcPr>
            <w:tcW w:w="744" w:type="dxa"/>
            <w:tcBorders>
              <w:top w:val="single" w:color="auto" w:sz="4" w:space="0"/>
              <w:left w:val="single" w:color="auto" w:sz="4" w:space="0"/>
              <w:bottom w:val="single" w:color="auto" w:sz="4" w:space="0"/>
              <w:right w:val="single" w:color="auto" w:sz="4" w:space="0"/>
            </w:tcBorders>
            <w:shd w:val="clear" w:color="auto" w:fill="01689B"/>
            <w:hideMark/>
          </w:tcPr>
          <w:p w:rsidRPr="005D1698" w:rsidR="003B3605" w:rsidP="00BF6980" w:rsidRDefault="003B3605" w14:paraId="55D5AC37" w14:textId="77777777">
            <w:pPr>
              <w:rPr>
                <w:b/>
                <w:bCs/>
                <w:color w:val="FFFFFF" w:themeColor="background1"/>
                <w:sz w:val="16"/>
                <w:szCs w:val="16"/>
              </w:rPr>
            </w:pPr>
            <w:r w:rsidRPr="005D1698">
              <w:rPr>
                <w:b/>
                <w:bCs/>
                <w:color w:val="FFFFFF" w:themeColor="background1"/>
                <w:sz w:val="16"/>
                <w:szCs w:val="16"/>
              </w:rPr>
              <w:t>%g</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5D1698" w:rsidR="003B3605" w:rsidP="00BF6980" w:rsidRDefault="003B3605" w14:paraId="013C99D1" w14:textId="77777777">
            <w:pPr>
              <w:rPr>
                <w:b/>
                <w:bCs/>
                <w:color w:val="FFFFFF" w:themeColor="background1"/>
                <w:sz w:val="16"/>
                <w:szCs w:val="16"/>
              </w:rPr>
            </w:pPr>
            <w:r w:rsidRPr="005D1698">
              <w:rPr>
                <w:b/>
                <w:bCs/>
                <w:color w:val="FFFFFF" w:themeColor="background1"/>
                <w:sz w:val="16"/>
                <w:szCs w:val="16"/>
              </w:rPr>
              <w:t>%g</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5D1698" w:rsidR="003B3605" w:rsidP="00BF6980" w:rsidRDefault="003B3605" w14:paraId="0CE5A69E" w14:textId="77777777">
            <w:pPr>
              <w:rPr>
                <w:b/>
                <w:bCs/>
                <w:color w:val="FFFFFF" w:themeColor="background1"/>
                <w:sz w:val="16"/>
                <w:szCs w:val="16"/>
              </w:rPr>
            </w:pPr>
            <w:r w:rsidRPr="005D1698">
              <w:rPr>
                <w:b/>
                <w:bCs/>
                <w:color w:val="FFFFFF" w:themeColor="background1"/>
                <w:sz w:val="16"/>
                <w:szCs w:val="16"/>
              </w:rPr>
              <w:t>%g</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5D1698" w:rsidR="003B3605" w:rsidP="00BF6980" w:rsidRDefault="003B3605" w14:paraId="6135BE02" w14:textId="77777777">
            <w:pPr>
              <w:rPr>
                <w:b/>
                <w:bCs/>
                <w:color w:val="FFFFFF" w:themeColor="background1"/>
                <w:sz w:val="16"/>
                <w:szCs w:val="16"/>
              </w:rPr>
            </w:pPr>
            <w:r w:rsidRPr="005D1698">
              <w:rPr>
                <w:b/>
                <w:bCs/>
                <w:color w:val="FFFFFF" w:themeColor="background1"/>
                <w:sz w:val="16"/>
                <w:szCs w:val="16"/>
              </w:rPr>
              <w:t>%g</w:t>
            </w:r>
          </w:p>
        </w:tc>
        <w:tc>
          <w:tcPr>
            <w:tcW w:w="0" w:type="auto"/>
            <w:tcBorders>
              <w:top w:val="single" w:color="auto" w:sz="4" w:space="0"/>
              <w:left w:val="single" w:color="auto" w:sz="4" w:space="0"/>
              <w:bottom w:val="single" w:color="auto" w:sz="4" w:space="0"/>
              <w:right w:val="single" w:color="auto" w:sz="4" w:space="0"/>
            </w:tcBorders>
            <w:shd w:val="clear" w:color="auto" w:fill="01689B"/>
            <w:hideMark/>
          </w:tcPr>
          <w:p w:rsidRPr="005D1698" w:rsidR="003B3605" w:rsidP="00BF6980" w:rsidRDefault="003B3605" w14:paraId="65C74A6C" w14:textId="77777777">
            <w:pPr>
              <w:rPr>
                <w:b/>
                <w:bCs/>
                <w:color w:val="FFFFFF" w:themeColor="background1"/>
                <w:sz w:val="16"/>
                <w:szCs w:val="16"/>
              </w:rPr>
            </w:pPr>
            <w:r w:rsidRPr="005D1698">
              <w:rPr>
                <w:b/>
                <w:bCs/>
                <w:color w:val="FFFFFF" w:themeColor="background1"/>
                <w:sz w:val="16"/>
                <w:szCs w:val="16"/>
              </w:rPr>
              <w:t>%g</w:t>
            </w:r>
          </w:p>
        </w:tc>
      </w:tr>
      <w:tr w:rsidR="00AE6179" w:rsidTr="00AE6179" w14:paraId="12650398" w14:textId="77777777">
        <w:trPr>
          <w:trHeight w:val="377"/>
        </w:trPr>
        <w:tc>
          <w:tcPr>
            <w:tcW w:w="5307" w:type="dxa"/>
            <w:tcBorders>
              <w:top w:val="single" w:color="auto" w:sz="4" w:space="0"/>
              <w:left w:val="single" w:color="auto" w:sz="4" w:space="0"/>
              <w:bottom w:val="single" w:color="auto" w:sz="4" w:space="0"/>
              <w:right w:val="single" w:color="auto" w:sz="4" w:space="0"/>
            </w:tcBorders>
            <w:shd w:val="clear" w:color="auto" w:fill="DDEFF8"/>
            <w:hideMark/>
          </w:tcPr>
          <w:p w:rsidRPr="004E1CA4" w:rsidR="00AE6179" w:rsidP="00AE6179" w:rsidRDefault="00AE6179" w14:paraId="08E6FD38" w14:textId="77777777">
            <w:pPr>
              <w:rPr>
                <w:sz w:val="16"/>
                <w:szCs w:val="16"/>
              </w:rPr>
            </w:pPr>
            <w:r w:rsidRPr="004E1CA4">
              <w:rPr>
                <w:b/>
                <w:bCs/>
                <w:sz w:val="16"/>
                <w:szCs w:val="16"/>
              </w:rPr>
              <w:t>CPB:</w:t>
            </w:r>
            <w:r w:rsidRPr="004E1CA4">
              <w:rPr>
                <w:sz w:val="16"/>
                <w:szCs w:val="16"/>
              </w:rPr>
              <w:t xml:space="preserve"> Groei van de netto primaire uitgaven per jaar – geraamd V</w:t>
            </w:r>
            <w:r>
              <w:rPr>
                <w:sz w:val="16"/>
                <w:szCs w:val="16"/>
              </w:rPr>
              <w:t>oorjaarsnota</w:t>
            </w:r>
          </w:p>
        </w:tc>
        <w:tc>
          <w:tcPr>
            <w:tcW w:w="744" w:type="dxa"/>
            <w:tcBorders>
              <w:top w:val="single" w:color="auto" w:sz="4" w:space="0"/>
              <w:left w:val="single" w:color="auto" w:sz="4" w:space="0"/>
              <w:bottom w:val="single" w:color="auto" w:sz="4" w:space="0"/>
              <w:right w:val="single" w:color="auto" w:sz="4" w:space="0"/>
            </w:tcBorders>
            <w:hideMark/>
          </w:tcPr>
          <w:p w:rsidRPr="009A661E" w:rsidR="00AE6179" w:rsidP="00AE6179" w:rsidRDefault="00AE6179" w14:paraId="208D064B" w14:textId="55C1D7C3">
            <w:pPr>
              <w:rPr>
                <w:sz w:val="16"/>
                <w:szCs w:val="16"/>
                <w:highlight w:val="yellow"/>
              </w:rPr>
            </w:pPr>
            <w:r w:rsidRPr="001952A0">
              <w:rPr>
                <w:sz w:val="16"/>
                <w:szCs w:val="20"/>
              </w:rPr>
              <w:t>5,7</w:t>
            </w:r>
          </w:p>
        </w:tc>
        <w:tc>
          <w:tcPr>
            <w:tcW w:w="0" w:type="auto"/>
            <w:tcBorders>
              <w:top w:val="single" w:color="auto" w:sz="4" w:space="0"/>
              <w:left w:val="single" w:color="auto" w:sz="4" w:space="0"/>
              <w:bottom w:val="single" w:color="auto" w:sz="4" w:space="0"/>
              <w:right w:val="single" w:color="auto" w:sz="4" w:space="0"/>
            </w:tcBorders>
            <w:hideMark/>
          </w:tcPr>
          <w:p w:rsidRPr="009A661E" w:rsidR="00AE6179" w:rsidP="00AE6179" w:rsidRDefault="00AE6179" w14:paraId="5D372085" w14:textId="087F4895">
            <w:pPr>
              <w:rPr>
                <w:sz w:val="16"/>
                <w:szCs w:val="16"/>
                <w:highlight w:val="yellow"/>
              </w:rPr>
            </w:pPr>
            <w:r>
              <w:rPr>
                <w:sz w:val="16"/>
                <w:szCs w:val="20"/>
              </w:rPr>
              <w:t>7,9</w:t>
            </w:r>
          </w:p>
        </w:tc>
        <w:tc>
          <w:tcPr>
            <w:tcW w:w="0" w:type="auto"/>
            <w:tcBorders>
              <w:top w:val="single" w:color="auto" w:sz="4" w:space="0"/>
              <w:left w:val="single" w:color="auto" w:sz="4" w:space="0"/>
              <w:bottom w:val="single" w:color="auto" w:sz="4" w:space="0"/>
              <w:right w:val="single" w:color="auto" w:sz="4" w:space="0"/>
            </w:tcBorders>
            <w:hideMark/>
          </w:tcPr>
          <w:p w:rsidRPr="009A661E" w:rsidR="00AE6179" w:rsidP="00AE6179" w:rsidRDefault="00AE6179" w14:paraId="26E76DC7" w14:textId="16102F75">
            <w:pPr>
              <w:rPr>
                <w:sz w:val="16"/>
                <w:szCs w:val="16"/>
                <w:highlight w:val="yellow"/>
              </w:rPr>
            </w:pPr>
            <w:r>
              <w:rPr>
                <w:sz w:val="16"/>
                <w:szCs w:val="20"/>
              </w:rPr>
              <w:t>3,4</w:t>
            </w:r>
          </w:p>
        </w:tc>
        <w:tc>
          <w:tcPr>
            <w:tcW w:w="0" w:type="auto"/>
            <w:tcBorders>
              <w:top w:val="single" w:color="auto" w:sz="4" w:space="0"/>
              <w:left w:val="single" w:color="auto" w:sz="4" w:space="0"/>
              <w:bottom w:val="single" w:color="auto" w:sz="4" w:space="0"/>
              <w:right w:val="single" w:color="auto" w:sz="4" w:space="0"/>
            </w:tcBorders>
            <w:hideMark/>
          </w:tcPr>
          <w:p w:rsidRPr="009A661E" w:rsidR="00AE6179" w:rsidP="00AE6179" w:rsidRDefault="00AE6179" w14:paraId="176B2E82" w14:textId="05F95F3E">
            <w:pPr>
              <w:rPr>
                <w:sz w:val="16"/>
                <w:szCs w:val="16"/>
                <w:highlight w:val="yellow"/>
              </w:rPr>
            </w:pPr>
            <w:r w:rsidRPr="001952A0">
              <w:rPr>
                <w:sz w:val="16"/>
                <w:szCs w:val="20"/>
              </w:rPr>
              <w:t>3,2</w:t>
            </w:r>
          </w:p>
        </w:tc>
        <w:tc>
          <w:tcPr>
            <w:tcW w:w="0" w:type="auto"/>
            <w:tcBorders>
              <w:top w:val="single" w:color="auto" w:sz="4" w:space="0"/>
              <w:left w:val="single" w:color="auto" w:sz="4" w:space="0"/>
              <w:bottom w:val="single" w:color="auto" w:sz="4" w:space="0"/>
              <w:right w:val="single" w:color="auto" w:sz="4" w:space="0"/>
            </w:tcBorders>
            <w:hideMark/>
          </w:tcPr>
          <w:p w:rsidRPr="009A661E" w:rsidR="00AE6179" w:rsidP="00AE6179" w:rsidRDefault="00AE6179" w14:paraId="05E3E215" w14:textId="4AC788CB">
            <w:pPr>
              <w:rPr>
                <w:sz w:val="16"/>
                <w:szCs w:val="16"/>
                <w:highlight w:val="yellow"/>
              </w:rPr>
            </w:pPr>
            <w:r w:rsidRPr="001952A0">
              <w:rPr>
                <w:sz w:val="16"/>
                <w:szCs w:val="20"/>
              </w:rPr>
              <w:t>4,2</w:t>
            </w:r>
          </w:p>
        </w:tc>
      </w:tr>
      <w:tr w:rsidR="003B3605" w:rsidTr="00AE6179" w14:paraId="653BCE71" w14:textId="77777777">
        <w:trPr>
          <w:trHeight w:val="368"/>
        </w:trPr>
        <w:tc>
          <w:tcPr>
            <w:tcW w:w="5307" w:type="dxa"/>
            <w:tcBorders>
              <w:top w:val="single" w:color="auto" w:sz="4" w:space="0"/>
              <w:left w:val="single" w:color="auto" w:sz="4" w:space="0"/>
              <w:bottom w:val="single" w:color="auto" w:sz="4" w:space="0"/>
              <w:right w:val="single" w:color="auto" w:sz="4" w:space="0"/>
            </w:tcBorders>
            <w:shd w:val="clear" w:color="auto" w:fill="DDEFF8"/>
            <w:hideMark/>
          </w:tcPr>
          <w:p w:rsidRPr="004E1CA4" w:rsidR="003B3605" w:rsidP="003B3605" w:rsidRDefault="003B3605" w14:paraId="48478807" w14:textId="77777777">
            <w:pPr>
              <w:rPr>
                <w:sz w:val="16"/>
                <w:szCs w:val="16"/>
              </w:rPr>
            </w:pPr>
            <w:r w:rsidRPr="004E1CA4">
              <w:rPr>
                <w:b/>
                <w:bCs/>
                <w:sz w:val="16"/>
                <w:szCs w:val="16"/>
              </w:rPr>
              <w:t>CPB:</w:t>
            </w:r>
            <w:r w:rsidRPr="004E1CA4">
              <w:rPr>
                <w:sz w:val="16"/>
                <w:szCs w:val="16"/>
              </w:rPr>
              <w:t xml:space="preserve"> Groei van de netto primaire uitgaven per jaar – geraamd </w:t>
            </w:r>
            <w:r w:rsidR="00F312C5">
              <w:rPr>
                <w:sz w:val="16"/>
                <w:szCs w:val="16"/>
              </w:rPr>
              <w:t>M</w:t>
            </w:r>
            <w:r>
              <w:rPr>
                <w:sz w:val="16"/>
                <w:szCs w:val="16"/>
              </w:rPr>
              <w:t>acro-</w:t>
            </w:r>
            <w:r w:rsidR="00F312C5">
              <w:rPr>
                <w:sz w:val="16"/>
                <w:szCs w:val="16"/>
              </w:rPr>
              <w:t>E</w:t>
            </w:r>
            <w:r>
              <w:rPr>
                <w:sz w:val="16"/>
                <w:szCs w:val="16"/>
              </w:rPr>
              <w:t xml:space="preserve">conomische </w:t>
            </w:r>
            <w:r w:rsidR="00F312C5">
              <w:rPr>
                <w:sz w:val="16"/>
                <w:szCs w:val="16"/>
              </w:rPr>
              <w:t>V</w:t>
            </w:r>
            <w:r>
              <w:rPr>
                <w:sz w:val="16"/>
                <w:szCs w:val="16"/>
              </w:rPr>
              <w:t>erkenning</w:t>
            </w:r>
          </w:p>
        </w:tc>
        <w:tc>
          <w:tcPr>
            <w:tcW w:w="744" w:type="dxa"/>
            <w:tcBorders>
              <w:top w:val="single" w:color="auto" w:sz="4" w:space="0"/>
              <w:left w:val="single" w:color="auto" w:sz="4" w:space="0"/>
              <w:bottom w:val="single" w:color="auto" w:sz="4" w:space="0"/>
              <w:right w:val="single" w:color="auto" w:sz="4" w:space="0"/>
            </w:tcBorders>
            <w:hideMark/>
          </w:tcPr>
          <w:p w:rsidRPr="004E1CA4" w:rsidR="003B3605" w:rsidP="003B3605" w:rsidRDefault="003B3605" w14:paraId="7B3A5C04" w14:textId="77777777">
            <w:pPr>
              <w:rPr>
                <w:sz w:val="16"/>
                <w:szCs w:val="16"/>
              </w:rPr>
            </w:pPr>
            <w:r w:rsidRPr="004E1CA4">
              <w:rPr>
                <w:sz w:val="16"/>
                <w:szCs w:val="16"/>
              </w:rPr>
              <w:t>6,9</w:t>
            </w:r>
          </w:p>
        </w:tc>
        <w:tc>
          <w:tcPr>
            <w:tcW w:w="0" w:type="auto"/>
            <w:tcBorders>
              <w:top w:val="single" w:color="auto" w:sz="4" w:space="0"/>
              <w:left w:val="single" w:color="auto" w:sz="4" w:space="0"/>
              <w:bottom w:val="single" w:color="auto" w:sz="4" w:space="0"/>
              <w:right w:val="single" w:color="auto" w:sz="4" w:space="0"/>
            </w:tcBorders>
            <w:hideMark/>
          </w:tcPr>
          <w:p w:rsidRPr="004E1CA4" w:rsidR="003B3605" w:rsidP="003B3605" w:rsidRDefault="003B3605" w14:paraId="08E8FFBD" w14:textId="77777777">
            <w:pPr>
              <w:rPr>
                <w:sz w:val="16"/>
                <w:szCs w:val="16"/>
              </w:rPr>
            </w:pPr>
            <w:r w:rsidRPr="004E1CA4">
              <w:rPr>
                <w:sz w:val="16"/>
                <w:szCs w:val="16"/>
              </w:rPr>
              <w:t>6,8</w:t>
            </w:r>
          </w:p>
        </w:tc>
        <w:tc>
          <w:tcPr>
            <w:tcW w:w="0" w:type="auto"/>
            <w:tcBorders>
              <w:top w:val="single" w:color="auto" w:sz="4" w:space="0"/>
              <w:left w:val="single" w:color="auto" w:sz="4" w:space="0"/>
              <w:bottom w:val="single" w:color="auto" w:sz="4" w:space="0"/>
              <w:right w:val="single" w:color="auto" w:sz="4" w:space="0"/>
            </w:tcBorders>
            <w:hideMark/>
          </w:tcPr>
          <w:p w:rsidRPr="004E1CA4" w:rsidR="003B3605" w:rsidP="003B3605" w:rsidRDefault="003B3605" w14:paraId="6DA7B9EB" w14:textId="77777777">
            <w:pPr>
              <w:rPr>
                <w:sz w:val="16"/>
                <w:szCs w:val="16"/>
              </w:rPr>
            </w:pPr>
            <w:r w:rsidRPr="004E1CA4">
              <w:rPr>
                <w:sz w:val="16"/>
                <w:szCs w:val="16"/>
              </w:rPr>
              <w:t>3,5</w:t>
            </w:r>
          </w:p>
        </w:tc>
        <w:tc>
          <w:tcPr>
            <w:tcW w:w="0" w:type="auto"/>
            <w:tcBorders>
              <w:top w:val="single" w:color="auto" w:sz="4" w:space="0"/>
              <w:left w:val="single" w:color="auto" w:sz="4" w:space="0"/>
              <w:bottom w:val="single" w:color="auto" w:sz="4" w:space="0"/>
              <w:right w:val="single" w:color="auto" w:sz="4" w:space="0"/>
            </w:tcBorders>
            <w:hideMark/>
          </w:tcPr>
          <w:p w:rsidRPr="004E1CA4" w:rsidR="003B3605" w:rsidP="003B3605" w:rsidRDefault="003B3605" w14:paraId="5694586B" w14:textId="77777777">
            <w:pPr>
              <w:rPr>
                <w:sz w:val="16"/>
                <w:szCs w:val="16"/>
              </w:rPr>
            </w:pPr>
            <w:r w:rsidRPr="004E1CA4">
              <w:rPr>
                <w:sz w:val="16"/>
                <w:szCs w:val="16"/>
              </w:rPr>
              <w:t>2,1</w:t>
            </w:r>
          </w:p>
        </w:tc>
        <w:tc>
          <w:tcPr>
            <w:tcW w:w="0" w:type="auto"/>
            <w:tcBorders>
              <w:top w:val="single" w:color="auto" w:sz="4" w:space="0"/>
              <w:left w:val="single" w:color="auto" w:sz="4" w:space="0"/>
              <w:bottom w:val="single" w:color="auto" w:sz="4" w:space="0"/>
              <w:right w:val="single" w:color="auto" w:sz="4" w:space="0"/>
            </w:tcBorders>
            <w:hideMark/>
          </w:tcPr>
          <w:p w:rsidRPr="004E1CA4" w:rsidR="003B3605" w:rsidP="003B3605" w:rsidRDefault="003B3605" w14:paraId="1410D804" w14:textId="77777777">
            <w:pPr>
              <w:rPr>
                <w:sz w:val="16"/>
                <w:szCs w:val="16"/>
              </w:rPr>
            </w:pPr>
            <w:r w:rsidRPr="004E1CA4">
              <w:rPr>
                <w:sz w:val="16"/>
                <w:szCs w:val="16"/>
              </w:rPr>
              <w:t>4,3</w:t>
            </w:r>
          </w:p>
        </w:tc>
      </w:tr>
      <w:tr w:rsidR="00AE6179" w:rsidTr="00AE6179" w14:paraId="6B639BAA" w14:textId="77777777">
        <w:trPr>
          <w:trHeight w:val="368"/>
        </w:trPr>
        <w:tc>
          <w:tcPr>
            <w:tcW w:w="5307" w:type="dxa"/>
            <w:tcBorders>
              <w:top w:val="single" w:color="auto" w:sz="4" w:space="0"/>
              <w:left w:val="single" w:color="auto" w:sz="4" w:space="0"/>
              <w:bottom w:val="single" w:color="auto" w:sz="4" w:space="0"/>
              <w:right w:val="single" w:color="auto" w:sz="4" w:space="0"/>
            </w:tcBorders>
            <w:shd w:val="clear" w:color="auto" w:fill="DDEFF8"/>
          </w:tcPr>
          <w:p w:rsidRPr="004E1CA4" w:rsidR="00AE6179" w:rsidP="00AE6179" w:rsidRDefault="00AE6179" w14:paraId="426BBFB5" w14:textId="77777777">
            <w:pPr>
              <w:rPr>
                <w:b/>
                <w:bCs/>
                <w:sz w:val="16"/>
                <w:szCs w:val="16"/>
              </w:rPr>
            </w:pPr>
            <w:r w:rsidRPr="004E1CA4">
              <w:rPr>
                <w:b/>
                <w:bCs/>
                <w:sz w:val="16"/>
                <w:szCs w:val="16"/>
              </w:rPr>
              <w:t xml:space="preserve">CPB: </w:t>
            </w:r>
            <w:r w:rsidRPr="004E1CA4">
              <w:rPr>
                <w:sz w:val="16"/>
                <w:szCs w:val="16"/>
              </w:rPr>
              <w:t>Groei van netto primaire uitgaven cumulatief – geraamd  V</w:t>
            </w:r>
            <w:r>
              <w:rPr>
                <w:sz w:val="16"/>
                <w:szCs w:val="16"/>
              </w:rPr>
              <w:t>oorjaarsnota</w:t>
            </w:r>
          </w:p>
        </w:tc>
        <w:tc>
          <w:tcPr>
            <w:tcW w:w="744" w:type="dxa"/>
            <w:tcBorders>
              <w:top w:val="single" w:color="auto" w:sz="4" w:space="0"/>
              <w:left w:val="single" w:color="auto" w:sz="4" w:space="0"/>
              <w:bottom w:val="single" w:color="auto" w:sz="4" w:space="0"/>
              <w:right w:val="single" w:color="auto" w:sz="4" w:space="0"/>
            </w:tcBorders>
          </w:tcPr>
          <w:p w:rsidRPr="009A661E" w:rsidR="00AE6179" w:rsidP="00AE6179" w:rsidRDefault="00AE6179" w14:paraId="3AA669DB" w14:textId="63D7A138">
            <w:pPr>
              <w:rPr>
                <w:sz w:val="16"/>
                <w:szCs w:val="16"/>
                <w:highlight w:val="yellow"/>
              </w:rPr>
            </w:pPr>
            <w:r w:rsidRPr="001952A0">
              <w:rPr>
                <w:sz w:val="16"/>
                <w:szCs w:val="20"/>
              </w:rPr>
              <w:t>5,7</w:t>
            </w:r>
          </w:p>
        </w:tc>
        <w:tc>
          <w:tcPr>
            <w:tcW w:w="0" w:type="auto"/>
            <w:tcBorders>
              <w:top w:val="single" w:color="auto" w:sz="4" w:space="0"/>
              <w:left w:val="single" w:color="auto" w:sz="4" w:space="0"/>
              <w:bottom w:val="single" w:color="auto" w:sz="4" w:space="0"/>
              <w:right w:val="single" w:color="auto" w:sz="4" w:space="0"/>
            </w:tcBorders>
          </w:tcPr>
          <w:p w:rsidRPr="009A661E" w:rsidR="00AE6179" w:rsidP="00AE6179" w:rsidRDefault="00AE6179" w14:paraId="1D37CE01" w14:textId="6250DA80">
            <w:pPr>
              <w:rPr>
                <w:sz w:val="16"/>
                <w:szCs w:val="16"/>
                <w:highlight w:val="yellow"/>
              </w:rPr>
            </w:pPr>
            <w:r w:rsidRPr="001952A0">
              <w:rPr>
                <w:sz w:val="16"/>
                <w:szCs w:val="20"/>
              </w:rPr>
              <w:t>14,1</w:t>
            </w:r>
          </w:p>
        </w:tc>
        <w:tc>
          <w:tcPr>
            <w:tcW w:w="0" w:type="auto"/>
            <w:tcBorders>
              <w:top w:val="single" w:color="auto" w:sz="4" w:space="0"/>
              <w:left w:val="single" w:color="auto" w:sz="4" w:space="0"/>
              <w:bottom w:val="single" w:color="auto" w:sz="4" w:space="0"/>
              <w:right w:val="single" w:color="auto" w:sz="4" w:space="0"/>
            </w:tcBorders>
          </w:tcPr>
          <w:p w:rsidRPr="009A661E" w:rsidR="00AE6179" w:rsidP="00AE6179" w:rsidRDefault="00AE6179" w14:paraId="00E6AEDE" w14:textId="52DB55B0">
            <w:pPr>
              <w:rPr>
                <w:sz w:val="16"/>
                <w:szCs w:val="16"/>
                <w:highlight w:val="yellow"/>
              </w:rPr>
            </w:pPr>
            <w:r w:rsidRPr="001952A0">
              <w:rPr>
                <w:sz w:val="16"/>
                <w:szCs w:val="20"/>
              </w:rPr>
              <w:t>18,</w:t>
            </w:r>
            <w:r>
              <w:rPr>
                <w:sz w:val="16"/>
                <w:szCs w:val="20"/>
              </w:rPr>
              <w:t>0</w:t>
            </w:r>
          </w:p>
        </w:tc>
        <w:tc>
          <w:tcPr>
            <w:tcW w:w="0" w:type="auto"/>
            <w:tcBorders>
              <w:top w:val="single" w:color="auto" w:sz="4" w:space="0"/>
              <w:left w:val="single" w:color="auto" w:sz="4" w:space="0"/>
              <w:bottom w:val="single" w:color="auto" w:sz="4" w:space="0"/>
              <w:right w:val="single" w:color="auto" w:sz="4" w:space="0"/>
            </w:tcBorders>
          </w:tcPr>
          <w:p w:rsidRPr="009A661E" w:rsidR="00AE6179" w:rsidP="00AE6179" w:rsidRDefault="00AE6179" w14:paraId="2CCF3E76" w14:textId="43731E13">
            <w:pPr>
              <w:rPr>
                <w:sz w:val="16"/>
                <w:szCs w:val="16"/>
                <w:highlight w:val="yellow"/>
              </w:rPr>
            </w:pPr>
            <w:r w:rsidRPr="001952A0">
              <w:rPr>
                <w:sz w:val="16"/>
                <w:szCs w:val="20"/>
              </w:rPr>
              <w:t>21,8</w:t>
            </w:r>
          </w:p>
        </w:tc>
        <w:tc>
          <w:tcPr>
            <w:tcW w:w="0" w:type="auto"/>
            <w:tcBorders>
              <w:top w:val="single" w:color="auto" w:sz="4" w:space="0"/>
              <w:left w:val="single" w:color="auto" w:sz="4" w:space="0"/>
              <w:bottom w:val="single" w:color="auto" w:sz="4" w:space="0"/>
              <w:right w:val="single" w:color="auto" w:sz="4" w:space="0"/>
            </w:tcBorders>
          </w:tcPr>
          <w:p w:rsidRPr="009A661E" w:rsidR="00AE6179" w:rsidP="00AE6179" w:rsidRDefault="00AE6179" w14:paraId="259BF71B" w14:textId="32559047">
            <w:pPr>
              <w:rPr>
                <w:sz w:val="16"/>
                <w:szCs w:val="16"/>
                <w:highlight w:val="yellow"/>
              </w:rPr>
            </w:pPr>
            <w:r>
              <w:rPr>
                <w:sz w:val="16"/>
                <w:szCs w:val="20"/>
              </w:rPr>
              <w:t>26,9</w:t>
            </w:r>
          </w:p>
        </w:tc>
      </w:tr>
      <w:tr w:rsidR="003B3605" w:rsidTr="00AE6179" w14:paraId="35504B17" w14:textId="77777777">
        <w:trPr>
          <w:trHeight w:val="368"/>
        </w:trPr>
        <w:tc>
          <w:tcPr>
            <w:tcW w:w="5307" w:type="dxa"/>
            <w:tcBorders>
              <w:top w:val="single" w:color="auto" w:sz="4" w:space="0"/>
              <w:left w:val="single" w:color="auto" w:sz="4" w:space="0"/>
              <w:bottom w:val="single" w:color="auto" w:sz="4" w:space="0"/>
              <w:right w:val="single" w:color="auto" w:sz="4" w:space="0"/>
            </w:tcBorders>
            <w:shd w:val="clear" w:color="auto" w:fill="DDEFF8"/>
          </w:tcPr>
          <w:p w:rsidRPr="004E1CA4" w:rsidR="003B3605" w:rsidP="003B3605" w:rsidRDefault="003B3605" w14:paraId="6757AA93" w14:textId="77777777">
            <w:pPr>
              <w:rPr>
                <w:b/>
                <w:bCs/>
                <w:sz w:val="16"/>
                <w:szCs w:val="16"/>
              </w:rPr>
            </w:pPr>
            <w:r w:rsidRPr="004E1CA4">
              <w:rPr>
                <w:b/>
                <w:bCs/>
                <w:sz w:val="16"/>
                <w:szCs w:val="16"/>
              </w:rPr>
              <w:t xml:space="preserve">CPB: </w:t>
            </w:r>
            <w:r w:rsidRPr="004E1CA4">
              <w:rPr>
                <w:sz w:val="16"/>
                <w:szCs w:val="16"/>
              </w:rPr>
              <w:t xml:space="preserve">Groei van netto primaire uitgaven cumulatief – geraamd </w:t>
            </w:r>
            <w:r>
              <w:rPr>
                <w:sz w:val="16"/>
                <w:szCs w:val="16"/>
              </w:rPr>
              <w:t xml:space="preserve">  </w:t>
            </w:r>
            <w:r w:rsidR="00F312C5">
              <w:rPr>
                <w:sz w:val="16"/>
                <w:szCs w:val="16"/>
              </w:rPr>
              <w:t>M</w:t>
            </w:r>
            <w:r>
              <w:rPr>
                <w:sz w:val="16"/>
                <w:szCs w:val="16"/>
              </w:rPr>
              <w:t>acro-</w:t>
            </w:r>
            <w:r w:rsidR="00F312C5">
              <w:rPr>
                <w:sz w:val="16"/>
                <w:szCs w:val="16"/>
              </w:rPr>
              <w:t>E</w:t>
            </w:r>
            <w:r>
              <w:rPr>
                <w:sz w:val="16"/>
                <w:szCs w:val="16"/>
              </w:rPr>
              <w:t xml:space="preserve">conomische </w:t>
            </w:r>
            <w:r w:rsidR="00F312C5">
              <w:rPr>
                <w:sz w:val="16"/>
                <w:szCs w:val="16"/>
              </w:rPr>
              <w:t>V</w:t>
            </w:r>
            <w:r>
              <w:rPr>
                <w:sz w:val="16"/>
                <w:szCs w:val="16"/>
              </w:rPr>
              <w:t>erkenning</w:t>
            </w:r>
          </w:p>
        </w:tc>
        <w:tc>
          <w:tcPr>
            <w:tcW w:w="744" w:type="dxa"/>
            <w:tcBorders>
              <w:top w:val="single" w:color="auto" w:sz="4" w:space="0"/>
              <w:left w:val="single" w:color="auto" w:sz="4" w:space="0"/>
              <w:bottom w:val="single" w:color="auto" w:sz="4" w:space="0"/>
              <w:right w:val="single" w:color="auto" w:sz="4" w:space="0"/>
            </w:tcBorders>
          </w:tcPr>
          <w:p w:rsidRPr="004E1CA4" w:rsidR="003B3605" w:rsidP="003B3605" w:rsidRDefault="003B3605" w14:paraId="2937BB85" w14:textId="77777777">
            <w:pPr>
              <w:rPr>
                <w:sz w:val="16"/>
                <w:szCs w:val="16"/>
              </w:rPr>
            </w:pPr>
            <w:r w:rsidRPr="004E1CA4">
              <w:rPr>
                <w:sz w:val="16"/>
                <w:szCs w:val="16"/>
              </w:rPr>
              <w:t>6,9</w:t>
            </w:r>
          </w:p>
        </w:tc>
        <w:tc>
          <w:tcPr>
            <w:tcW w:w="0" w:type="auto"/>
            <w:tcBorders>
              <w:top w:val="single" w:color="auto" w:sz="4" w:space="0"/>
              <w:left w:val="single" w:color="auto" w:sz="4" w:space="0"/>
              <w:bottom w:val="single" w:color="auto" w:sz="4" w:space="0"/>
              <w:right w:val="single" w:color="auto" w:sz="4" w:space="0"/>
            </w:tcBorders>
          </w:tcPr>
          <w:p w:rsidRPr="004E1CA4" w:rsidR="003B3605" w:rsidP="003B3605" w:rsidRDefault="003B3605" w14:paraId="5A21A94B" w14:textId="77777777">
            <w:pPr>
              <w:rPr>
                <w:sz w:val="16"/>
                <w:szCs w:val="16"/>
              </w:rPr>
            </w:pPr>
            <w:r w:rsidRPr="004E1CA4">
              <w:rPr>
                <w:sz w:val="16"/>
                <w:szCs w:val="16"/>
              </w:rPr>
              <w:t>14,1</w:t>
            </w:r>
          </w:p>
        </w:tc>
        <w:tc>
          <w:tcPr>
            <w:tcW w:w="0" w:type="auto"/>
            <w:tcBorders>
              <w:top w:val="single" w:color="auto" w:sz="4" w:space="0"/>
              <w:left w:val="single" w:color="auto" w:sz="4" w:space="0"/>
              <w:bottom w:val="single" w:color="auto" w:sz="4" w:space="0"/>
              <w:right w:val="single" w:color="auto" w:sz="4" w:space="0"/>
            </w:tcBorders>
          </w:tcPr>
          <w:p w:rsidRPr="004E1CA4" w:rsidR="003B3605" w:rsidP="003B3605" w:rsidRDefault="003B3605" w14:paraId="58688321" w14:textId="77777777">
            <w:pPr>
              <w:rPr>
                <w:sz w:val="16"/>
                <w:szCs w:val="16"/>
              </w:rPr>
            </w:pPr>
            <w:r w:rsidRPr="004E1CA4">
              <w:rPr>
                <w:sz w:val="16"/>
                <w:szCs w:val="16"/>
              </w:rPr>
              <w:t>18,1</w:t>
            </w:r>
          </w:p>
        </w:tc>
        <w:tc>
          <w:tcPr>
            <w:tcW w:w="0" w:type="auto"/>
            <w:tcBorders>
              <w:top w:val="single" w:color="auto" w:sz="4" w:space="0"/>
              <w:left w:val="single" w:color="auto" w:sz="4" w:space="0"/>
              <w:bottom w:val="single" w:color="auto" w:sz="4" w:space="0"/>
              <w:right w:val="single" w:color="auto" w:sz="4" w:space="0"/>
            </w:tcBorders>
          </w:tcPr>
          <w:p w:rsidRPr="004E1CA4" w:rsidR="003B3605" w:rsidP="003B3605" w:rsidRDefault="003B3605" w14:paraId="3C7B5D82" w14:textId="77777777">
            <w:pPr>
              <w:rPr>
                <w:sz w:val="16"/>
                <w:szCs w:val="16"/>
              </w:rPr>
            </w:pPr>
            <w:r w:rsidRPr="004E1CA4">
              <w:rPr>
                <w:sz w:val="16"/>
                <w:szCs w:val="16"/>
              </w:rPr>
              <w:t>20,7</w:t>
            </w:r>
          </w:p>
        </w:tc>
        <w:tc>
          <w:tcPr>
            <w:tcW w:w="0" w:type="auto"/>
            <w:tcBorders>
              <w:top w:val="single" w:color="auto" w:sz="4" w:space="0"/>
              <w:left w:val="single" w:color="auto" w:sz="4" w:space="0"/>
              <w:bottom w:val="single" w:color="auto" w:sz="4" w:space="0"/>
              <w:right w:val="single" w:color="auto" w:sz="4" w:space="0"/>
            </w:tcBorders>
          </w:tcPr>
          <w:p w:rsidRPr="004E1CA4" w:rsidR="003B3605" w:rsidP="003B3605" w:rsidRDefault="003B3605" w14:paraId="63BF19DE" w14:textId="77777777">
            <w:pPr>
              <w:rPr>
                <w:sz w:val="16"/>
                <w:szCs w:val="16"/>
              </w:rPr>
            </w:pPr>
            <w:r w:rsidRPr="004E1CA4">
              <w:rPr>
                <w:sz w:val="16"/>
                <w:szCs w:val="16"/>
              </w:rPr>
              <w:t>25,9</w:t>
            </w:r>
          </w:p>
        </w:tc>
      </w:tr>
    </w:tbl>
    <w:p w:rsidR="00BE212F" w:rsidP="00BE212F" w:rsidRDefault="00BE212F" w14:paraId="5ED5647C" w14:textId="77777777">
      <w:pPr>
        <w:pStyle w:val="Geenafstand"/>
        <w:rPr>
          <w:rFonts w:ascii="Verdana" w:hAnsi="Verdana"/>
          <w:b/>
          <w:bCs/>
          <w:sz w:val="18"/>
          <w:szCs w:val="18"/>
        </w:rPr>
      </w:pPr>
    </w:p>
    <w:p w:rsidRPr="00BE212F" w:rsidR="00815481" w:rsidP="00BE212F" w:rsidRDefault="00BE212F" w14:paraId="59D93435" w14:textId="178CB150">
      <w:pPr>
        <w:pStyle w:val="Geenafstand"/>
        <w:rPr>
          <w:rFonts w:ascii="Verdana" w:hAnsi="Verdana"/>
          <w:b/>
          <w:bCs/>
          <w:sz w:val="18"/>
          <w:szCs w:val="18"/>
        </w:rPr>
      </w:pPr>
      <w:r w:rsidRPr="000B4D4D">
        <w:rPr>
          <w:rFonts w:ascii="Verdana" w:hAnsi="Verdana"/>
          <w:b/>
          <w:bCs/>
          <w:sz w:val="18"/>
          <w:szCs w:val="18"/>
        </w:rPr>
        <w:t>2.</w:t>
      </w:r>
      <w:r w:rsidRPr="000B4D4D" w:rsidDel="002B4523">
        <w:rPr>
          <w:rFonts w:ascii="Verdana" w:hAnsi="Verdana"/>
          <w:b/>
          <w:bCs/>
          <w:sz w:val="18"/>
          <w:szCs w:val="18"/>
        </w:rPr>
        <w:t>2</w:t>
      </w:r>
      <w:r w:rsidRPr="000B4D4D">
        <w:rPr>
          <w:rFonts w:ascii="Verdana" w:hAnsi="Verdana"/>
          <w:b/>
          <w:bCs/>
          <w:sz w:val="18"/>
          <w:szCs w:val="18"/>
        </w:rPr>
        <w:t xml:space="preserve"> Samenvatting belangrijkste economische en budgettaire variabelen</w:t>
      </w:r>
    </w:p>
    <w:p w:rsidRPr="000B4D4D" w:rsidR="00A63CF0" w:rsidP="00FB1BEC" w:rsidRDefault="00A63CF0" w14:paraId="439D3458" w14:textId="24F4AE8E">
      <w:pPr>
        <w:rPr>
          <w:szCs w:val="18"/>
        </w:rPr>
      </w:pPr>
      <w:r w:rsidRPr="000B4D4D">
        <w:rPr>
          <w:szCs w:val="18"/>
        </w:rPr>
        <w:t xml:space="preserve">Het bbp is in 2024 harder gegroeid dan eerder geraamd. Namelijk 0,9% in plaats van de eerder geraamde 0,6% in het </w:t>
      </w:r>
      <w:r w:rsidRPr="000B4D4D" w:rsidR="001609B5">
        <w:rPr>
          <w:szCs w:val="18"/>
        </w:rPr>
        <w:t>budgettair-structureel plan</w:t>
      </w:r>
      <w:r w:rsidRPr="000B4D4D">
        <w:rPr>
          <w:szCs w:val="18"/>
        </w:rPr>
        <w:t xml:space="preserve">. Dit is voornamelijk gekomen door een toename in consumptie van de overheid (3,1%) en huishoudens (1%). Hiermee komt het bbp in 2024 uit op </w:t>
      </w:r>
      <w:r w:rsidRPr="000B4D4D" w:rsidR="00DB3DC0">
        <w:rPr>
          <w:szCs w:val="18"/>
        </w:rPr>
        <w:t>113</w:t>
      </w:r>
      <w:r w:rsidRPr="000B4D4D" w:rsidR="00A94287">
        <w:rPr>
          <w:szCs w:val="18"/>
        </w:rPr>
        <w:t>2</w:t>
      </w:r>
      <w:r w:rsidRPr="000B4D4D" w:rsidR="00DB3DC0">
        <w:rPr>
          <w:szCs w:val="18"/>
        </w:rPr>
        <w:t>,</w:t>
      </w:r>
      <w:r w:rsidRPr="000B4D4D" w:rsidR="00A94287">
        <w:rPr>
          <w:szCs w:val="18"/>
        </w:rPr>
        <w:t>7</w:t>
      </w:r>
      <w:r w:rsidRPr="000B4D4D">
        <w:rPr>
          <w:szCs w:val="18"/>
        </w:rPr>
        <w:t xml:space="preserve"> miljard euro. Voor 2025 raamt het CPB een bbp groei van 1,9% </w:t>
      </w:r>
      <w:r w:rsidRPr="000B4D4D" w:rsidR="003074ED">
        <w:rPr>
          <w:szCs w:val="18"/>
        </w:rPr>
        <w:t>(i</w:t>
      </w:r>
      <w:r w:rsidRPr="000B4D4D" w:rsidR="00B61201">
        <w:rPr>
          <w:szCs w:val="18"/>
        </w:rPr>
        <w:t>n plaats van</w:t>
      </w:r>
      <w:r w:rsidRPr="000B4D4D" w:rsidR="003074ED">
        <w:rPr>
          <w:szCs w:val="18"/>
        </w:rPr>
        <w:t xml:space="preserve"> </w:t>
      </w:r>
      <w:r w:rsidRPr="000B4D4D" w:rsidR="002458C7">
        <w:rPr>
          <w:szCs w:val="18"/>
        </w:rPr>
        <w:t>1,</w:t>
      </w:r>
      <w:r w:rsidRPr="000B4D4D" w:rsidR="00A94287">
        <w:rPr>
          <w:szCs w:val="18"/>
        </w:rPr>
        <w:t>5</w:t>
      </w:r>
      <w:r w:rsidRPr="000B4D4D" w:rsidR="003074ED">
        <w:rPr>
          <w:szCs w:val="18"/>
        </w:rPr>
        <w:t xml:space="preserve">% </w:t>
      </w:r>
      <w:r w:rsidRPr="000B4D4D" w:rsidR="00B61201">
        <w:rPr>
          <w:szCs w:val="18"/>
        </w:rPr>
        <w:t>bij</w:t>
      </w:r>
      <w:r w:rsidRPr="000B4D4D" w:rsidR="003074ED">
        <w:rPr>
          <w:szCs w:val="18"/>
        </w:rPr>
        <w:t xml:space="preserve"> het budgettair-structurele plan) </w:t>
      </w:r>
      <w:r w:rsidRPr="000B4D4D">
        <w:rPr>
          <w:szCs w:val="18"/>
        </w:rPr>
        <w:t xml:space="preserve">en voor 2026 1,5%. </w:t>
      </w:r>
      <w:r w:rsidRPr="000B4D4D" w:rsidR="001609B5">
        <w:rPr>
          <w:szCs w:val="18"/>
        </w:rPr>
        <w:t>De inflatie kwam in 2024 (3,</w:t>
      </w:r>
      <w:r w:rsidRPr="000B4D4D" w:rsidR="00DB3DC0">
        <w:rPr>
          <w:szCs w:val="18"/>
        </w:rPr>
        <w:t>3</w:t>
      </w:r>
      <w:r w:rsidRPr="000B4D4D" w:rsidR="001609B5">
        <w:rPr>
          <w:szCs w:val="18"/>
        </w:rPr>
        <w:t>%) 0,3%-punt lager uit dan geraamd bij het budgettair-structureel plan (3,6%).</w:t>
      </w:r>
      <w:r w:rsidRPr="000B4D4D" w:rsidR="00D06F47">
        <w:rPr>
          <w:szCs w:val="18"/>
        </w:rPr>
        <w:t xml:space="preserve"> De inflatieraming voor 2025 blijft hetzelfde: 3,2%</w:t>
      </w:r>
      <w:r w:rsidRPr="000B4D4D" w:rsidR="002458C7">
        <w:rPr>
          <w:szCs w:val="18"/>
        </w:rPr>
        <w:t>. Voor 2026 is de verwachtte inflatie 2,6%.</w:t>
      </w:r>
    </w:p>
    <w:p w:rsidRPr="000B4D4D" w:rsidR="00A63CF0" w:rsidP="00FB1BEC" w:rsidRDefault="00A63CF0" w14:paraId="00EDE618" w14:textId="420EBE62">
      <w:pPr>
        <w:rPr>
          <w:szCs w:val="18"/>
        </w:rPr>
      </w:pPr>
      <w:r w:rsidRPr="000B4D4D">
        <w:rPr>
          <w:szCs w:val="18"/>
        </w:rPr>
        <w:t>Tabel 1</w:t>
      </w:r>
      <w:r w:rsidR="00FD4443">
        <w:rPr>
          <w:szCs w:val="18"/>
        </w:rPr>
        <w:t xml:space="preserve">c </w:t>
      </w:r>
      <w:r w:rsidRPr="000B4D4D">
        <w:rPr>
          <w:szCs w:val="18"/>
        </w:rPr>
        <w:t>presenteert de samenvatting van de</w:t>
      </w:r>
      <w:r w:rsidRPr="000B4D4D" w:rsidR="00805625">
        <w:rPr>
          <w:szCs w:val="18"/>
        </w:rPr>
        <w:t xml:space="preserve"> belangrijkste</w:t>
      </w:r>
      <w:r w:rsidRPr="000B4D4D">
        <w:rPr>
          <w:szCs w:val="18"/>
        </w:rPr>
        <w:t xml:space="preserve"> budgettaire variabelen. De ontwikkelingen van deze variabelen zal verder worden toegelicht in Hoofdstuk 4 (budgettaire </w:t>
      </w:r>
      <w:r w:rsidRPr="000B4D4D" w:rsidR="00B61201">
        <w:rPr>
          <w:szCs w:val="18"/>
        </w:rPr>
        <w:t>ontwikkelingen</w:t>
      </w:r>
      <w:r w:rsidRPr="000B4D4D">
        <w:rPr>
          <w:szCs w:val="18"/>
        </w:rPr>
        <w:t>).</w:t>
      </w:r>
    </w:p>
    <w:p w:rsidRPr="000B4D4D" w:rsidR="00D24032" w:rsidP="00FB1BEC" w:rsidRDefault="00BE212F" w14:paraId="5058409F" w14:textId="6E6676A6">
      <w:pPr>
        <w:rPr>
          <w:szCs w:val="18"/>
        </w:rPr>
      </w:pPr>
      <w:r>
        <w:rPr>
          <w:i/>
          <w:iCs/>
          <w:szCs w:val="18"/>
        </w:rPr>
        <w:t>T</w:t>
      </w:r>
      <w:r w:rsidRPr="00E90504" w:rsidR="00D24032">
        <w:rPr>
          <w:i/>
          <w:iCs/>
          <w:szCs w:val="18"/>
        </w:rPr>
        <w:t>abel 1</w:t>
      </w:r>
      <w:r w:rsidR="00FD4443">
        <w:rPr>
          <w:i/>
          <w:iCs/>
          <w:szCs w:val="18"/>
        </w:rPr>
        <w:t>c</w:t>
      </w:r>
      <w:r w:rsidRPr="00E90504" w:rsidR="00D24032">
        <w:rPr>
          <w:i/>
          <w:iCs/>
          <w:szCs w:val="18"/>
        </w:rPr>
        <w:t>: ontwikkeling van de belangrijkste budgettaire variabelen</w:t>
      </w:r>
    </w:p>
    <w:tbl>
      <w:tblPr>
        <w:tblW w:w="9185" w:type="dxa"/>
        <w:tblCellMar>
          <w:left w:w="70" w:type="dxa"/>
          <w:right w:w="70" w:type="dxa"/>
        </w:tblCellMar>
        <w:tblLook w:val="04A0" w:firstRow="1" w:lastRow="0" w:firstColumn="1" w:lastColumn="0" w:noHBand="0" w:noVBand="1"/>
      </w:tblPr>
      <w:tblGrid>
        <w:gridCol w:w="3205"/>
        <w:gridCol w:w="1180"/>
        <w:gridCol w:w="960"/>
        <w:gridCol w:w="960"/>
        <w:gridCol w:w="960"/>
        <w:gridCol w:w="960"/>
        <w:gridCol w:w="960"/>
      </w:tblGrid>
      <w:tr w:rsidRPr="00BE212F" w:rsidR="00BE212F" w:rsidTr="005D1698" w14:paraId="4DB67456" w14:textId="77777777">
        <w:trPr>
          <w:trHeight w:val="47"/>
        </w:trPr>
        <w:tc>
          <w:tcPr>
            <w:tcW w:w="3205"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BE212F" w:rsidR="00BE212F" w:rsidP="00BE212F" w:rsidRDefault="00BE212F" w14:paraId="59221CDC" w14:textId="77777777">
            <w:pPr>
              <w:spacing w:after="0" w:line="240" w:lineRule="auto"/>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w:t>
            </w:r>
          </w:p>
        </w:tc>
        <w:tc>
          <w:tcPr>
            <w:tcW w:w="1180" w:type="dxa"/>
            <w:tcBorders>
              <w:top w:val="single" w:color="auto" w:sz="4" w:space="0"/>
              <w:left w:val="nil"/>
              <w:bottom w:val="single" w:color="auto" w:sz="4" w:space="0"/>
              <w:right w:val="single" w:color="auto" w:sz="4" w:space="0"/>
            </w:tcBorders>
            <w:shd w:val="clear" w:color="000000" w:fill="01689B"/>
            <w:noWrap/>
            <w:vAlign w:val="center"/>
            <w:hideMark/>
          </w:tcPr>
          <w:p w:rsidRPr="00BE212F" w:rsidR="00BE212F" w:rsidP="00BE212F" w:rsidRDefault="00BE212F" w14:paraId="0CBA16F1"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2023</w:t>
            </w:r>
          </w:p>
        </w:tc>
        <w:tc>
          <w:tcPr>
            <w:tcW w:w="960" w:type="dxa"/>
            <w:tcBorders>
              <w:top w:val="single" w:color="auto" w:sz="4" w:space="0"/>
              <w:left w:val="nil"/>
              <w:bottom w:val="single" w:color="auto" w:sz="4" w:space="0"/>
              <w:right w:val="single" w:color="auto" w:sz="4" w:space="0"/>
            </w:tcBorders>
            <w:shd w:val="clear" w:color="000000" w:fill="01689B"/>
            <w:noWrap/>
            <w:vAlign w:val="center"/>
            <w:hideMark/>
          </w:tcPr>
          <w:p w:rsidRPr="00BE212F" w:rsidR="00BE212F" w:rsidP="00BE212F" w:rsidRDefault="00BE212F" w14:paraId="5A0EC80F"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2024</w:t>
            </w:r>
          </w:p>
        </w:tc>
        <w:tc>
          <w:tcPr>
            <w:tcW w:w="960" w:type="dxa"/>
            <w:tcBorders>
              <w:top w:val="single" w:color="auto" w:sz="4" w:space="0"/>
              <w:left w:val="nil"/>
              <w:bottom w:val="single" w:color="auto" w:sz="4" w:space="0"/>
              <w:right w:val="single" w:color="auto" w:sz="4" w:space="0"/>
            </w:tcBorders>
            <w:shd w:val="clear" w:color="000000" w:fill="01689B"/>
            <w:noWrap/>
            <w:vAlign w:val="center"/>
            <w:hideMark/>
          </w:tcPr>
          <w:p w:rsidRPr="00BE212F" w:rsidR="00BE212F" w:rsidP="00BE212F" w:rsidRDefault="00BE212F" w14:paraId="041DBD3F"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2025</w:t>
            </w:r>
          </w:p>
        </w:tc>
        <w:tc>
          <w:tcPr>
            <w:tcW w:w="960" w:type="dxa"/>
            <w:tcBorders>
              <w:top w:val="single" w:color="auto" w:sz="4" w:space="0"/>
              <w:left w:val="nil"/>
              <w:bottom w:val="single" w:color="auto" w:sz="4" w:space="0"/>
              <w:right w:val="single" w:color="auto" w:sz="4" w:space="0"/>
            </w:tcBorders>
            <w:shd w:val="clear" w:color="000000" w:fill="01689B"/>
            <w:noWrap/>
            <w:vAlign w:val="center"/>
            <w:hideMark/>
          </w:tcPr>
          <w:p w:rsidRPr="00BE212F" w:rsidR="00BE212F" w:rsidP="00BE212F" w:rsidRDefault="00BE212F" w14:paraId="03F1CC8B"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2026</w:t>
            </w:r>
          </w:p>
        </w:tc>
        <w:tc>
          <w:tcPr>
            <w:tcW w:w="960" w:type="dxa"/>
            <w:tcBorders>
              <w:top w:val="single" w:color="auto" w:sz="4" w:space="0"/>
              <w:left w:val="nil"/>
              <w:bottom w:val="single" w:color="auto" w:sz="4" w:space="0"/>
              <w:right w:val="single" w:color="auto" w:sz="4" w:space="0"/>
            </w:tcBorders>
            <w:shd w:val="clear" w:color="000000" w:fill="01689B"/>
            <w:noWrap/>
            <w:vAlign w:val="center"/>
            <w:hideMark/>
          </w:tcPr>
          <w:p w:rsidRPr="00BE212F" w:rsidR="00BE212F" w:rsidP="00BE212F" w:rsidRDefault="00BE212F" w14:paraId="6E409BE1"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2027</w:t>
            </w:r>
          </w:p>
        </w:tc>
        <w:tc>
          <w:tcPr>
            <w:tcW w:w="960" w:type="dxa"/>
            <w:tcBorders>
              <w:top w:val="single" w:color="auto" w:sz="4" w:space="0"/>
              <w:left w:val="nil"/>
              <w:bottom w:val="single" w:color="auto" w:sz="4" w:space="0"/>
              <w:right w:val="single" w:color="auto" w:sz="4" w:space="0"/>
            </w:tcBorders>
            <w:shd w:val="clear" w:color="000000" w:fill="01689B"/>
            <w:noWrap/>
            <w:vAlign w:val="center"/>
            <w:hideMark/>
          </w:tcPr>
          <w:p w:rsidRPr="00BE212F" w:rsidR="00BE212F" w:rsidP="00BE212F" w:rsidRDefault="00BE212F" w14:paraId="3FA8E719"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2028</w:t>
            </w:r>
          </w:p>
        </w:tc>
      </w:tr>
      <w:tr w:rsidRPr="00BE212F" w:rsidR="00BE212F" w:rsidTr="005D1698" w14:paraId="3B1A68CE" w14:textId="77777777">
        <w:trPr>
          <w:trHeight w:val="89"/>
        </w:trPr>
        <w:tc>
          <w:tcPr>
            <w:tcW w:w="3205" w:type="dxa"/>
            <w:tcBorders>
              <w:top w:val="nil"/>
              <w:left w:val="single" w:color="auto" w:sz="4" w:space="0"/>
              <w:bottom w:val="single" w:color="auto" w:sz="4" w:space="0"/>
              <w:right w:val="single" w:color="auto" w:sz="4" w:space="0"/>
            </w:tcBorders>
            <w:shd w:val="clear" w:color="000000" w:fill="01689B"/>
            <w:noWrap/>
            <w:vAlign w:val="center"/>
            <w:hideMark/>
          </w:tcPr>
          <w:p w:rsidRPr="00BE212F" w:rsidR="00BE212F" w:rsidP="00BE212F" w:rsidRDefault="00BE212F" w14:paraId="6B99E14E" w14:textId="77777777">
            <w:pPr>
              <w:spacing w:after="0" w:line="240" w:lineRule="auto"/>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w:t>
            </w:r>
          </w:p>
        </w:tc>
        <w:tc>
          <w:tcPr>
            <w:tcW w:w="1180" w:type="dxa"/>
            <w:tcBorders>
              <w:top w:val="nil"/>
              <w:left w:val="nil"/>
              <w:bottom w:val="single" w:color="auto" w:sz="4" w:space="0"/>
              <w:right w:val="single" w:color="auto" w:sz="4" w:space="0"/>
            </w:tcBorders>
            <w:shd w:val="clear" w:color="000000" w:fill="01689B"/>
            <w:noWrap/>
            <w:vAlign w:val="center"/>
            <w:hideMark/>
          </w:tcPr>
          <w:p w:rsidRPr="00BE212F" w:rsidR="00BE212F" w:rsidP="00BF6980" w:rsidRDefault="00BE212F" w14:paraId="096553EB"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000000" w:fill="01689B"/>
            <w:noWrap/>
            <w:vAlign w:val="center"/>
            <w:hideMark/>
          </w:tcPr>
          <w:p w:rsidRPr="00BE212F" w:rsidR="00BE212F" w:rsidP="00BF6980" w:rsidRDefault="00BE212F" w14:paraId="0F51051D"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000000" w:fill="01689B"/>
            <w:noWrap/>
            <w:vAlign w:val="center"/>
            <w:hideMark/>
          </w:tcPr>
          <w:p w:rsidRPr="00BE212F" w:rsidR="00BE212F" w:rsidP="00BF6980" w:rsidRDefault="00BE212F" w14:paraId="323DD97E"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000000" w:fill="01689B"/>
            <w:noWrap/>
            <w:vAlign w:val="center"/>
            <w:hideMark/>
          </w:tcPr>
          <w:p w:rsidRPr="00BE212F" w:rsidR="00BE212F" w:rsidP="00BF6980" w:rsidRDefault="00BE212F" w14:paraId="09CD73D8"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000000" w:fill="01689B"/>
            <w:noWrap/>
            <w:vAlign w:val="center"/>
            <w:hideMark/>
          </w:tcPr>
          <w:p w:rsidRPr="00BE212F" w:rsidR="00BE212F" w:rsidP="00BF6980" w:rsidRDefault="00BE212F" w14:paraId="29E1DA5F"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000000" w:fill="01689B"/>
            <w:noWrap/>
            <w:vAlign w:val="center"/>
            <w:hideMark/>
          </w:tcPr>
          <w:p w:rsidRPr="00BE212F" w:rsidR="00BE212F" w:rsidP="00BF6980" w:rsidRDefault="00BE212F" w14:paraId="58832B21" w14:textId="77777777">
            <w:pPr>
              <w:spacing w:after="0" w:line="240" w:lineRule="auto"/>
              <w:jc w:val="right"/>
              <w:rPr>
                <w:rFonts w:eastAsia="Times New Roman" w:cs="Times New Roman"/>
                <w:b/>
                <w:bCs/>
                <w:color w:val="FFFFFF"/>
                <w:kern w:val="0"/>
                <w:sz w:val="16"/>
                <w:szCs w:val="16"/>
                <w:lang w:eastAsia="nl-NL"/>
                <w14:ligatures w14:val="none"/>
              </w:rPr>
            </w:pPr>
            <w:r w:rsidRPr="00BE212F">
              <w:rPr>
                <w:rFonts w:eastAsia="Times New Roman" w:cs="Times New Roman"/>
                <w:b/>
                <w:bCs/>
                <w:color w:val="FFFFFF"/>
                <w:kern w:val="0"/>
                <w:sz w:val="16"/>
                <w:szCs w:val="16"/>
                <w:lang w:eastAsia="nl-NL"/>
                <w14:ligatures w14:val="none"/>
              </w:rPr>
              <w:t>% bbp</w:t>
            </w:r>
          </w:p>
        </w:tc>
      </w:tr>
      <w:tr w:rsidRPr="00BE212F" w:rsidR="00BE212F" w:rsidTr="005D1698" w14:paraId="15ACC82D" w14:textId="77777777">
        <w:trPr>
          <w:trHeight w:val="250"/>
        </w:trPr>
        <w:tc>
          <w:tcPr>
            <w:tcW w:w="3205" w:type="dxa"/>
            <w:tcBorders>
              <w:top w:val="nil"/>
              <w:left w:val="single" w:color="auto" w:sz="4" w:space="0"/>
              <w:bottom w:val="single" w:color="auto" w:sz="4" w:space="0"/>
              <w:right w:val="single" w:color="auto" w:sz="4" w:space="0"/>
            </w:tcBorders>
            <w:shd w:val="clear" w:color="000000" w:fill="DDEFF8"/>
            <w:noWrap/>
            <w:vAlign w:val="center"/>
            <w:hideMark/>
          </w:tcPr>
          <w:p w:rsidRPr="00BE212F" w:rsidR="00BE212F" w:rsidP="00BE212F" w:rsidRDefault="00BE212F" w14:paraId="7F337C2D" w14:textId="77777777">
            <w:pPr>
              <w:spacing w:after="0" w:line="240" w:lineRule="auto"/>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Financieringssaldo</w:t>
            </w:r>
          </w:p>
        </w:tc>
        <w:tc>
          <w:tcPr>
            <w:tcW w:w="118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52FC647"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-0,4</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44D67C6A"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-0,9</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36FDAA0"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-2,3</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25233073"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-2,8</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52067D39"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-2</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5DFEDE8E"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-2,2</w:t>
            </w:r>
          </w:p>
        </w:tc>
      </w:tr>
      <w:tr w:rsidRPr="00BE212F" w:rsidR="00BE212F" w:rsidTr="005D1698" w14:paraId="537E221A" w14:textId="77777777">
        <w:trPr>
          <w:trHeight w:val="250"/>
        </w:trPr>
        <w:tc>
          <w:tcPr>
            <w:tcW w:w="3205" w:type="dxa"/>
            <w:tcBorders>
              <w:top w:val="nil"/>
              <w:left w:val="single" w:color="auto" w:sz="4" w:space="0"/>
              <w:bottom w:val="single" w:color="auto" w:sz="4" w:space="0"/>
              <w:right w:val="single" w:color="auto" w:sz="4" w:space="0"/>
            </w:tcBorders>
            <w:shd w:val="clear" w:color="000000" w:fill="DDEFF8"/>
            <w:noWrap/>
            <w:vAlign w:val="center"/>
            <w:hideMark/>
          </w:tcPr>
          <w:p w:rsidRPr="00BE212F" w:rsidR="00BE212F" w:rsidP="00BE212F" w:rsidRDefault="00BE212F" w14:paraId="208830FA" w14:textId="77777777">
            <w:pPr>
              <w:spacing w:after="0" w:line="240" w:lineRule="auto"/>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Structureel saldo</w:t>
            </w:r>
          </w:p>
        </w:tc>
        <w:tc>
          <w:tcPr>
            <w:tcW w:w="118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23CBBD5D"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-0,9</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5A2C6AC1"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-0,3</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5086360"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-1,9</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5DD93DFA"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-1,6</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22B936F"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-1,5</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0CC3ED95"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-1,6</w:t>
            </w:r>
          </w:p>
        </w:tc>
      </w:tr>
      <w:tr w:rsidRPr="00BE212F" w:rsidR="00BE212F" w:rsidTr="005D1698" w14:paraId="3A94B584" w14:textId="77777777">
        <w:trPr>
          <w:trHeight w:val="250"/>
        </w:trPr>
        <w:tc>
          <w:tcPr>
            <w:tcW w:w="3205" w:type="dxa"/>
            <w:tcBorders>
              <w:top w:val="nil"/>
              <w:left w:val="single" w:color="auto" w:sz="4" w:space="0"/>
              <w:bottom w:val="single" w:color="auto" w:sz="4" w:space="0"/>
              <w:right w:val="single" w:color="auto" w:sz="4" w:space="0"/>
            </w:tcBorders>
            <w:shd w:val="clear" w:color="000000" w:fill="DDEFF8"/>
            <w:noWrap/>
            <w:vAlign w:val="center"/>
            <w:hideMark/>
          </w:tcPr>
          <w:p w:rsidRPr="00BE212F" w:rsidR="00BE212F" w:rsidP="00BE212F" w:rsidRDefault="00BE212F" w14:paraId="28EF2965" w14:textId="77777777">
            <w:pPr>
              <w:spacing w:after="0" w:line="240" w:lineRule="auto"/>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Structureel primair saldo</w:t>
            </w:r>
          </w:p>
        </w:tc>
        <w:tc>
          <w:tcPr>
            <w:tcW w:w="118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A13DB62"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-0,2</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66D43AAE"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0,4</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6DC1D9E"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-1,1</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56932A0"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-0,7</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5FC82A9F"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-0,5</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1D17F167"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-0,6</w:t>
            </w:r>
          </w:p>
        </w:tc>
      </w:tr>
      <w:tr w:rsidRPr="00BE212F" w:rsidR="00BE212F" w:rsidTr="005D1698" w14:paraId="3ECAEE48" w14:textId="77777777">
        <w:trPr>
          <w:trHeight w:val="250"/>
        </w:trPr>
        <w:tc>
          <w:tcPr>
            <w:tcW w:w="3205" w:type="dxa"/>
            <w:tcBorders>
              <w:top w:val="nil"/>
              <w:left w:val="single" w:color="auto" w:sz="4" w:space="0"/>
              <w:bottom w:val="single" w:color="auto" w:sz="4" w:space="0"/>
              <w:right w:val="single" w:color="auto" w:sz="4" w:space="0"/>
            </w:tcBorders>
            <w:shd w:val="clear" w:color="000000" w:fill="DDEFF8"/>
            <w:noWrap/>
            <w:vAlign w:val="center"/>
            <w:hideMark/>
          </w:tcPr>
          <w:p w:rsidRPr="00BE212F" w:rsidR="00BE212F" w:rsidP="00BE212F" w:rsidRDefault="00BE212F" w14:paraId="76044C29" w14:textId="77777777">
            <w:pPr>
              <w:spacing w:after="0" w:line="240" w:lineRule="auto"/>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Staatsschuld</w:t>
            </w:r>
          </w:p>
        </w:tc>
        <w:tc>
          <w:tcPr>
            <w:tcW w:w="118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1DEABE7A"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45,2</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519A1248" w14:textId="690D4E6E">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43,</w:t>
            </w:r>
            <w:r w:rsidR="002635E4">
              <w:rPr>
                <w:rFonts w:eastAsia="Times New Roman" w:cs="Times New Roman"/>
                <w:kern w:val="0"/>
                <w:sz w:val="16"/>
                <w:szCs w:val="16"/>
                <w:lang w:eastAsia="nl-NL"/>
                <w14:ligatures w14:val="none"/>
              </w:rPr>
              <w:t>3</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1EBC2455"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45</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32CA91FE"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47,8</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204F9132"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48,5</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2781EF6D"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49,2</w:t>
            </w:r>
          </w:p>
        </w:tc>
      </w:tr>
      <w:tr w:rsidRPr="00BE212F" w:rsidR="00BE212F" w:rsidTr="005D1698" w14:paraId="0BB0F5BB" w14:textId="77777777">
        <w:trPr>
          <w:trHeight w:val="250"/>
        </w:trPr>
        <w:tc>
          <w:tcPr>
            <w:tcW w:w="3205" w:type="dxa"/>
            <w:tcBorders>
              <w:top w:val="nil"/>
              <w:left w:val="single" w:color="auto" w:sz="4" w:space="0"/>
              <w:bottom w:val="single" w:color="auto" w:sz="4" w:space="0"/>
              <w:right w:val="single" w:color="auto" w:sz="4" w:space="0"/>
            </w:tcBorders>
            <w:shd w:val="clear" w:color="000000" w:fill="DDEFF8"/>
            <w:noWrap/>
            <w:vAlign w:val="center"/>
            <w:hideMark/>
          </w:tcPr>
          <w:p w:rsidRPr="00BE212F" w:rsidR="00BE212F" w:rsidP="00BE212F" w:rsidRDefault="00BE212F" w14:paraId="0A241727" w14:textId="77777777">
            <w:pPr>
              <w:spacing w:after="0" w:line="240" w:lineRule="auto"/>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Verandering in staatsschuld</w:t>
            </w:r>
          </w:p>
        </w:tc>
        <w:tc>
          <w:tcPr>
            <w:tcW w:w="118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2598E23A"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-3,2</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752B813E"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-1,8</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210A0DE1"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1,6</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19C32903"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2,8</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6F091B5F"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0,6</w:t>
            </w:r>
          </w:p>
        </w:tc>
        <w:tc>
          <w:tcPr>
            <w:tcW w:w="960" w:type="dxa"/>
            <w:tcBorders>
              <w:top w:val="nil"/>
              <w:left w:val="nil"/>
              <w:bottom w:val="single" w:color="auto" w:sz="4" w:space="0"/>
              <w:right w:val="single" w:color="auto" w:sz="4" w:space="0"/>
            </w:tcBorders>
            <w:shd w:val="clear" w:color="auto" w:fill="auto"/>
            <w:noWrap/>
            <w:vAlign w:val="center"/>
            <w:hideMark/>
          </w:tcPr>
          <w:p w:rsidRPr="00BE212F" w:rsidR="00BE212F" w:rsidP="00BE212F" w:rsidRDefault="00BE212F" w14:paraId="4B6C100F" w14:textId="77777777">
            <w:pPr>
              <w:spacing w:after="0" w:line="240" w:lineRule="auto"/>
              <w:jc w:val="right"/>
              <w:rPr>
                <w:rFonts w:eastAsia="Times New Roman" w:cs="Times New Roman"/>
                <w:kern w:val="0"/>
                <w:sz w:val="16"/>
                <w:szCs w:val="16"/>
                <w:lang w:eastAsia="nl-NL"/>
                <w14:ligatures w14:val="none"/>
              </w:rPr>
            </w:pPr>
            <w:r w:rsidRPr="00BE212F">
              <w:rPr>
                <w:rFonts w:eastAsia="Times New Roman" w:cs="Times New Roman"/>
                <w:kern w:val="0"/>
                <w:sz w:val="16"/>
                <w:szCs w:val="16"/>
                <w:lang w:eastAsia="nl-NL"/>
                <w14:ligatures w14:val="none"/>
              </w:rPr>
              <w:t>0,7</w:t>
            </w:r>
          </w:p>
        </w:tc>
      </w:tr>
    </w:tbl>
    <w:p w:rsidR="004E1CA4" w:rsidP="004E1CA4" w:rsidRDefault="004E1CA4" w14:paraId="4AFD3CBE" w14:textId="77777777"/>
    <w:p w:rsidR="004E1CA4" w:rsidP="004E1CA4" w:rsidRDefault="004E1CA4" w14:paraId="44E60A6A" w14:textId="77777777"/>
    <w:p w:rsidR="004E1CA4" w:rsidP="004E1CA4" w:rsidRDefault="004E1CA4" w14:paraId="4BFE2373" w14:textId="77777777"/>
    <w:p w:rsidR="004E1CA4" w:rsidP="004E1CA4" w:rsidRDefault="004E1CA4" w14:paraId="00802660" w14:textId="77777777"/>
    <w:p w:rsidR="004E1CA4" w:rsidP="004E1CA4" w:rsidRDefault="004E1CA4" w14:paraId="11BA87EF" w14:textId="77777777"/>
    <w:p w:rsidR="004E1CA4" w:rsidP="004E1CA4" w:rsidRDefault="004E1CA4" w14:paraId="1316CBAF" w14:textId="77777777"/>
    <w:p w:rsidR="004E1CA4" w:rsidP="004E1CA4" w:rsidRDefault="004E1CA4" w14:paraId="60CF4F01" w14:textId="77777777"/>
    <w:p w:rsidR="004E1CA4" w:rsidP="004E1CA4" w:rsidRDefault="004E1CA4" w14:paraId="5BDA2971" w14:textId="77777777"/>
    <w:p w:rsidR="004E1CA4" w:rsidP="004E1CA4" w:rsidRDefault="004E1CA4" w14:paraId="0AF0954C" w14:textId="77777777"/>
    <w:p w:rsidR="004E1CA4" w:rsidP="004E1CA4" w:rsidRDefault="004E1CA4" w14:paraId="57373FF9" w14:textId="77777777"/>
    <w:p w:rsidR="004E1CA4" w:rsidP="004E1CA4" w:rsidRDefault="004E1CA4" w14:paraId="61DBCE7D" w14:textId="77777777"/>
    <w:p w:rsidRPr="004E1CA4" w:rsidR="004E1CA4" w:rsidP="004E1CA4" w:rsidRDefault="004E1CA4" w14:paraId="4F68687E" w14:textId="77777777"/>
    <w:p w:rsidR="00250A96" w:rsidP="00250A96" w:rsidRDefault="00250A96" w14:paraId="254A7087" w14:textId="77777777"/>
    <w:p w:rsidRPr="00E90504" w:rsidR="00D13A77" w:rsidP="00D13A77" w:rsidRDefault="00D13A77" w14:paraId="450A2366" w14:textId="28BF568F">
      <w:pPr>
        <w:pStyle w:val="Kop1"/>
        <w:rPr>
          <w:color w:val="auto"/>
        </w:rPr>
      </w:pPr>
      <w:bookmarkStart w:name="_Toc196830273" w:id="10"/>
      <w:r w:rsidRPr="00E90504">
        <w:t xml:space="preserve">Hoofdstuk 3: </w:t>
      </w:r>
      <w:r w:rsidRPr="00E90504">
        <w:br/>
      </w:r>
      <w:r w:rsidRPr="00E90504">
        <w:rPr>
          <w:color w:val="auto"/>
        </w:rPr>
        <w:t>Macro-economische ontwikkelingen</w:t>
      </w:r>
      <w:bookmarkEnd w:id="10"/>
      <w:r w:rsidRPr="00E90504">
        <w:rPr>
          <w:color w:val="auto"/>
        </w:rPr>
        <w:t xml:space="preserve">  </w:t>
      </w:r>
    </w:p>
    <w:p w:rsidRPr="000B4D4D" w:rsidR="00651DCA" w:rsidP="00651DCA" w:rsidRDefault="00651DCA" w14:paraId="2BF49CDA" w14:textId="77777777">
      <w:pPr>
        <w:rPr>
          <w:i/>
          <w:szCs w:val="18"/>
        </w:rPr>
      </w:pPr>
      <w:r w:rsidRPr="000B4D4D">
        <w:rPr>
          <w:i/>
          <w:szCs w:val="18"/>
        </w:rPr>
        <w:t>Het economisch beeld is verbeterd ten opzichte van de cijfers in het budgettair-structureel plan. De economie groeide in 2024 met 0,9% na een jaar van stagnatie in 2023. De groei werd voornamelijk gedreven door consumptieve bestedingen en de overheidsuitgaven. In 2025 en 2026 neemt de economische groei naar verwachting verder toe en neemt de inflatie langzamerhand af. Er is echter veel onzekerheid rondom het macro-economisch beeld door de geopolitieke ontwikkelingen en handelsbelemmeringen. De potentiële groei van het bbp vertraagt op middellange termijn, maar is hoger dan eerder geraamd. De cijfers zijn op basis van de raming van het CPB.</w:t>
      </w:r>
      <w:r w:rsidRPr="000B4D4D">
        <w:rPr>
          <w:rStyle w:val="Voetnootmarkering"/>
          <w:i/>
          <w:szCs w:val="18"/>
        </w:rPr>
        <w:footnoteReference w:id="10"/>
      </w:r>
      <w:r w:rsidRPr="000B4D4D">
        <w:rPr>
          <w:i/>
          <w:szCs w:val="18"/>
        </w:rPr>
        <w:t xml:space="preserve"> Realisatiecijfers komen van het CBS. </w:t>
      </w:r>
    </w:p>
    <w:p w:rsidRPr="000B4D4D" w:rsidR="00651DCA" w:rsidP="00651DCA" w:rsidRDefault="00651DCA" w14:paraId="623234A1" w14:textId="238B9CC6">
      <w:pPr>
        <w:rPr>
          <w:szCs w:val="18"/>
        </w:rPr>
      </w:pPr>
      <w:r w:rsidRPr="000B4D4D">
        <w:rPr>
          <w:b/>
          <w:szCs w:val="18"/>
        </w:rPr>
        <w:t xml:space="preserve">Nadat de economie stagneerde in 2023, was er weer sprake van groei in 2024. </w:t>
      </w:r>
      <w:r w:rsidRPr="000B4D4D">
        <w:rPr>
          <w:szCs w:val="18"/>
        </w:rPr>
        <w:t xml:space="preserve">De bbp-groei was in 2024 0,9%, nadat het bbp slechts 0,1% toenam in 2023. In 2023 stagneerde de economische groei door een afname van uitvoer en investeringen, terwijl bestedingen door huishoudens slechts beperkt toenamen. In 2024 werd de economische groei voornamelijk gedreven door binnenlandse bestedingen door huishoudens (1% groei) en de overheid (3,1% groei), zie ook figuur </w:t>
      </w:r>
      <w:r w:rsidRPr="000B4D4D" w:rsidR="002B0312">
        <w:rPr>
          <w:szCs w:val="18"/>
        </w:rPr>
        <w:t>1</w:t>
      </w:r>
      <w:r w:rsidRPr="000B4D4D">
        <w:rPr>
          <w:szCs w:val="18"/>
        </w:rPr>
        <w:t xml:space="preserve"> voor de groeibijdragen. De wereldhandel veerde in 2024 licht terug, waardoor de uitvoer (uitvoer van binnenlands geproduceerde producten en diensten en de wederuitvoer) een kleine positieve bijdrage leverde aan de bbp-groei. De investeringen dempten de economische groei in 2024.</w:t>
      </w:r>
    </w:p>
    <w:p w:rsidRPr="000B4D4D" w:rsidR="00651DCA" w:rsidP="00651DCA" w:rsidRDefault="00651DCA" w14:paraId="3B19F1BC" w14:textId="4292D08D">
      <w:pPr>
        <w:rPr>
          <w:szCs w:val="18"/>
        </w:rPr>
      </w:pPr>
      <w:r w:rsidRPr="000B4D4D">
        <w:rPr>
          <w:b/>
          <w:szCs w:val="18"/>
        </w:rPr>
        <w:t xml:space="preserve">Naar verwachting zet de economische groei sterker door in 2025 (+1,9%) en 2026 (+1,5%) en wordt </w:t>
      </w:r>
      <w:r w:rsidR="00551235">
        <w:rPr>
          <w:b/>
          <w:szCs w:val="18"/>
        </w:rPr>
        <w:t xml:space="preserve">deze </w:t>
      </w:r>
      <w:r w:rsidRPr="000B4D4D">
        <w:rPr>
          <w:b/>
          <w:szCs w:val="18"/>
        </w:rPr>
        <w:t xml:space="preserve">breed gedragen door consumptie, investeringen en export. </w:t>
      </w:r>
      <w:r w:rsidRPr="000B4D4D">
        <w:rPr>
          <w:szCs w:val="18"/>
        </w:rPr>
        <w:t>Het CPB verwacht dat de consumptie van huishoudens stijgt in 2025 en 2026 door een positieve koopkrachtontwikkeling. De lonen stijgen nog steeds harder dan de inflatie. Ook de lastenverlichtingen van het kabinet dragen positief bij aan de koopkracht. In 2025 blijven huishoudens door de onzekere wereld en het lage vertrouwen echter nog terughoudend, waardoor de consumptie minder hard stijgt dan het inkomen. De rest zien we terug in een verder</w:t>
      </w:r>
      <w:r w:rsidRPr="000B4D4D" w:rsidR="00F04C2C">
        <w:rPr>
          <w:szCs w:val="18"/>
        </w:rPr>
        <w:t>e</w:t>
      </w:r>
      <w:r w:rsidRPr="000B4D4D">
        <w:rPr>
          <w:szCs w:val="18"/>
        </w:rPr>
        <w:t xml:space="preserve"> verhoging van de spaarquote. Daarnaast groeit de overheidsconsumptie, met name door hogere zorg- en defensie-uitgaven. De uitvoer en investeringen laten in de raming een positieve ontwikkeling zien ten opzichte van voorgaande jaren. De uitvoer groeit in 2025 met 2,0%, investeringen nemen toe met 3,2%. </w:t>
      </w:r>
    </w:p>
    <w:p w:rsidRPr="00E90504" w:rsidR="00651DCA" w:rsidP="00651DCA" w:rsidRDefault="00651DCA" w14:paraId="6D5B8CB1" w14:textId="77777777">
      <w:pPr>
        <w:rPr>
          <w:rFonts w:asciiTheme="minorHAnsi" w:hAnsiTheme="minorHAnsi"/>
          <w:noProof/>
          <w:szCs w:val="18"/>
        </w:rPr>
      </w:pPr>
      <w:r w:rsidRPr="000B4D4D">
        <w:rPr>
          <w:b/>
          <w:szCs w:val="18"/>
        </w:rPr>
        <w:t>Het economisch beeld is verbeterd ten opzichte van de cijfers uit het budgettair-structureel plan.</w:t>
      </w:r>
      <w:r w:rsidRPr="000B4D4D">
        <w:rPr>
          <w:szCs w:val="18"/>
        </w:rPr>
        <w:t xml:space="preserve"> De bbp-groei kwam in 2024 0,3%-punt hoger uit dan geraamd in de Macro-Economische Verkenning 2025. De raming van de bbp-groei in 2025 is opwaarts bijgesteld met 0,4%-punt. De bijstelling wordt verklaard door de meevallende bbp-groei in de tweede helft van 2024. Op middellange termijn heeft het CPB de ramingen voor de economische groei ook positief bijgesteld.</w:t>
      </w:r>
      <w:r w:rsidRPr="00E90504">
        <w:rPr>
          <w:rFonts w:asciiTheme="minorHAnsi" w:hAnsiTheme="minorHAnsi"/>
          <w:noProof/>
          <w:szCs w:val="18"/>
        </w:rPr>
        <w:t xml:space="preserve"> </w:t>
      </w:r>
    </w:p>
    <w:p w:rsidR="00651DCA" w:rsidP="00651DCA" w:rsidRDefault="00651DCA" w14:paraId="6C314282" w14:textId="30182759">
      <w:pPr>
        <w:rPr>
          <w:bCs/>
          <w:szCs w:val="18"/>
        </w:rPr>
      </w:pPr>
      <w:r w:rsidRPr="000B4D4D">
        <w:rPr>
          <w:b/>
          <w:szCs w:val="18"/>
        </w:rPr>
        <w:t xml:space="preserve">De economische vooruitzichten zijn onzeker door geopolitieke spanningen en handelsbelemmeringen. </w:t>
      </w:r>
      <w:r w:rsidRPr="000B4D4D">
        <w:rPr>
          <w:bCs/>
          <w:szCs w:val="18"/>
        </w:rPr>
        <w:t xml:space="preserve">Recentelijk heeft de Verenigde Staten een reeks historische invoertarieven </w:t>
      </w:r>
      <w:r w:rsidRPr="000B4D4D" w:rsidR="003F453C">
        <w:rPr>
          <w:bCs/>
          <w:szCs w:val="18"/>
        </w:rPr>
        <w:t>aangekondigd.</w:t>
      </w:r>
      <w:r w:rsidRPr="000B4D4D">
        <w:rPr>
          <w:bCs/>
          <w:szCs w:val="18"/>
        </w:rPr>
        <w:t xml:space="preserve"> De invoertarieven en algehele onvoorspelbaarheid verstoren handelsstromen en dempen de economische activiteit en investeringen wereldwijd. Ook de financiële markten hebben aanzienlijke verliezen geleden, wat de onzekerheid verder kan vergroten. Vergeldingstarieven vanuit de EU op Amerikaanse goederen kunnen de prijzen voor producenten en consumenten verhogen. Als open economie profiteert Nederland van de wereldhandel, maar is daardoor ook extra gevoelig voor schokken. De impact van de recente gebeurtenissen op de Nederlandse economie is onzeker. In het CEP hield het CPB rekening met een aantal handelsontwrichtende maatregelen vanuit de Verenigde Staten, maar niet met brede invoertarieven. </w:t>
      </w:r>
    </w:p>
    <w:p w:rsidR="00B44514" w:rsidP="00651DCA" w:rsidRDefault="00B44514" w14:paraId="2EE02AF1" w14:textId="77777777">
      <w:pPr>
        <w:rPr>
          <w:bCs/>
          <w:szCs w:val="18"/>
        </w:rPr>
      </w:pPr>
    </w:p>
    <w:p w:rsidR="00B44514" w:rsidP="00651DCA" w:rsidRDefault="00B44514" w14:paraId="6084A62D" w14:textId="77777777">
      <w:pPr>
        <w:rPr>
          <w:bCs/>
          <w:szCs w:val="18"/>
        </w:rPr>
      </w:pPr>
    </w:p>
    <w:p w:rsidR="009961BF" w:rsidP="00651DCA" w:rsidRDefault="009961BF" w14:paraId="689F23DE" w14:textId="77777777">
      <w:pPr>
        <w:rPr>
          <w:bCs/>
          <w:i/>
          <w:iCs/>
          <w:szCs w:val="18"/>
        </w:rPr>
      </w:pPr>
    </w:p>
    <w:p w:rsidRPr="00B44514" w:rsidR="00B44514" w:rsidP="00651DCA" w:rsidRDefault="00B44514" w14:paraId="6BA74366" w14:textId="1DDDFF7D">
      <w:pPr>
        <w:rPr>
          <w:bCs/>
          <w:i/>
          <w:iCs/>
          <w:szCs w:val="18"/>
        </w:rPr>
      </w:pPr>
      <w:r w:rsidRPr="00B44514">
        <w:rPr>
          <w:bCs/>
          <w:i/>
          <w:iCs/>
          <w:szCs w:val="18"/>
        </w:rPr>
        <w:t>Figuur 1. Groeibijdragen bestedingen</w:t>
      </w:r>
    </w:p>
    <w:p w:rsidRPr="000B4D4D" w:rsidR="00651DCA" w:rsidP="00651DCA" w:rsidRDefault="00651DCA" w14:paraId="38D157C2" w14:textId="77777777">
      <w:pPr>
        <w:rPr>
          <w:szCs w:val="18"/>
        </w:rPr>
      </w:pPr>
      <w:r w:rsidRPr="00E90504">
        <w:rPr>
          <w:rFonts w:asciiTheme="minorHAnsi" w:hAnsiTheme="minorHAnsi"/>
          <w:noProof/>
          <w:szCs w:val="18"/>
        </w:rPr>
        <w:drawing>
          <wp:inline distT="0" distB="0" distL="0" distR="0" wp14:anchorId="23220118" wp14:editId="0CBF0476">
            <wp:extent cx="5212569" cy="2479148"/>
            <wp:effectExtent l="0" t="0" r="7620" b="0"/>
            <wp:docPr id="898125853" name="Grafiek 1">
              <a:extLst xmlns:a="http://schemas.openxmlformats.org/drawingml/2006/main">
                <a:ext uri="{FF2B5EF4-FFF2-40B4-BE49-F238E27FC236}">
                  <a16:creationId xmlns:a16="http://schemas.microsoft.com/office/drawing/2014/main" id="{51A857FC-08A8-DE74-E052-E65EB76E5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0B4D4D" w:rsidR="00651DCA" w:rsidP="00651DCA" w:rsidRDefault="00651DCA" w14:paraId="522081EC" w14:textId="77777777">
      <w:pPr>
        <w:rPr>
          <w:szCs w:val="18"/>
        </w:rPr>
      </w:pPr>
      <w:r w:rsidRPr="000B4D4D">
        <w:rPr>
          <w:b/>
          <w:szCs w:val="18"/>
        </w:rPr>
        <w:t>De inflatie neemt langzaam af ten opzichte van de piek in 2022, maar is nog steeds hoger dan normaal</w:t>
      </w:r>
      <w:r w:rsidRPr="000B4D4D">
        <w:rPr>
          <w:szCs w:val="18"/>
        </w:rPr>
        <w:t>. In de kern wordt inflatie gedreven door de mate van balans tussen vraag en aanbod in de economie. Dit wordt beïnvloed door monetair-, begrotings- en structureel beleid. Daarnaast kunnen externe aanbodschokken de inflatie opdrijven. Het CPB verwacht dat de inflatie de komende jaren verder afneemt. In de raming daalt de inflatie naar 3,2% in 2025 en 2,6% in 2026. Tegelijkertijd nemen de contractlonen harder toe dan de inflatie. In 2025 bereiken de reële lonen naar verwachting het niveau van 2021 – de periode vóór de energiecrisis.</w:t>
      </w:r>
    </w:p>
    <w:p w:rsidRPr="000B4D4D" w:rsidR="00651DCA" w:rsidP="00651DCA" w:rsidRDefault="00651DCA" w14:paraId="44250969" w14:textId="3E5B11BD">
      <w:pPr>
        <w:rPr>
          <w:szCs w:val="18"/>
        </w:rPr>
      </w:pPr>
      <w:r w:rsidRPr="000B4D4D">
        <w:rPr>
          <w:b/>
          <w:szCs w:val="18"/>
        </w:rPr>
        <w:t>De krapte op de arbeidsmarkt neemt af, maar blijft op een historisch hoog niveau.</w:t>
      </w:r>
      <w:r w:rsidRPr="000B4D4D">
        <w:rPr>
          <w:szCs w:val="18"/>
        </w:rPr>
        <w:t xml:space="preserve"> In 2024 bereikte de arbeidsparticipatie een recordniveau</w:t>
      </w:r>
      <w:r w:rsidRPr="000B4D4D" w:rsidR="00A94287">
        <w:rPr>
          <w:szCs w:val="18"/>
        </w:rPr>
        <w:t xml:space="preserve"> van</w:t>
      </w:r>
      <w:r w:rsidRPr="000B4D4D">
        <w:rPr>
          <w:szCs w:val="18"/>
        </w:rPr>
        <w:t xml:space="preserve"> 73%. De werkloosheid liep beperkt op van 3,6% in 2023 naar 3,7% in 2024. Alhoewel de arbeidsmarkt nog steeds krap is, is het aantal vacatures per werkenden gedaald. Waar het tweede kwartaal van 2022 142 vacatures per 100 werkenden telde, was dat eind 2024 108 vacatures per 100 werkenden. In 2025 stijgt de werkzame beroepsbevolking beperkt met 0,3%. Ook de groei van de werkgelegenheid (in uren) zwakt af naar 0,3% in 2025 en 2026. De werkloosheid loopt langzaam op tot 4% in 2026.</w:t>
      </w:r>
    </w:p>
    <w:p w:rsidRPr="000B4D4D" w:rsidR="00651DCA" w:rsidP="00651DCA" w:rsidRDefault="00651DCA" w14:paraId="5BE6D058" w14:textId="31BA67F7">
      <w:pPr>
        <w:rPr>
          <w:szCs w:val="18"/>
        </w:rPr>
      </w:pPr>
      <w:r w:rsidRPr="000B4D4D">
        <w:rPr>
          <w:b/>
          <w:szCs w:val="18"/>
        </w:rPr>
        <w:t>De lange rente schommelt rond de 2,7%</w:t>
      </w:r>
      <w:r w:rsidRPr="000B4D4D">
        <w:rPr>
          <w:szCs w:val="18"/>
        </w:rPr>
        <w:t>. In 2023 was de lange rente voor Nederland iets hoger met 2,8%, in 2024 weer wat lager met 2,6%. De ontwikkeling van de lange rente hangt af van de inflatieontwikkelingen, het rentepad van de Europese Centrale Bank en de reactie van financiële markten op de economische ontwikkelingen en -onzekerheden. Het CPB baseert de raming van de rente op mar</w:t>
      </w:r>
      <w:r w:rsidR="00E90504">
        <w:rPr>
          <w:szCs w:val="18"/>
        </w:rPr>
        <w:t>k</w:t>
      </w:r>
      <w:r w:rsidRPr="000B4D4D">
        <w:rPr>
          <w:szCs w:val="18"/>
        </w:rPr>
        <w:t>tprijzen.</w:t>
      </w:r>
    </w:p>
    <w:p w:rsidRPr="000B4D4D" w:rsidR="00D8289F" w:rsidP="00D8289F" w:rsidRDefault="00D8289F" w14:paraId="40D39995" w14:textId="77777777">
      <w:pPr>
        <w:rPr>
          <w:szCs w:val="18"/>
        </w:rPr>
      </w:pPr>
      <w:r w:rsidRPr="000B4D4D">
        <w:rPr>
          <w:b/>
          <w:szCs w:val="18"/>
        </w:rPr>
        <w:t xml:space="preserve">De </w:t>
      </w:r>
      <w:r w:rsidRPr="000B4D4D" w:rsidR="00867F6A">
        <w:rPr>
          <w:b/>
          <w:szCs w:val="18"/>
        </w:rPr>
        <w:t xml:space="preserve">verwachte </w:t>
      </w:r>
      <w:r w:rsidRPr="000B4D4D">
        <w:rPr>
          <w:b/>
          <w:szCs w:val="18"/>
        </w:rPr>
        <w:t xml:space="preserve">potentiële bbp-groei </w:t>
      </w:r>
      <w:r w:rsidRPr="000B4D4D" w:rsidR="00651DCA">
        <w:rPr>
          <w:b/>
          <w:szCs w:val="18"/>
        </w:rPr>
        <w:t>wordt</w:t>
      </w:r>
      <w:r w:rsidRPr="000B4D4D">
        <w:rPr>
          <w:b/>
          <w:szCs w:val="18"/>
        </w:rPr>
        <w:t xml:space="preserve"> naar verwachting lager dan eerdere jaren, maar hoger dan eerder door het CPB geraamd. </w:t>
      </w:r>
      <w:r w:rsidRPr="000B4D4D" w:rsidR="00651DCA">
        <w:rPr>
          <w:szCs w:val="18"/>
        </w:rPr>
        <w:t>De verwachte</w:t>
      </w:r>
      <w:r w:rsidRPr="000B4D4D">
        <w:rPr>
          <w:szCs w:val="18"/>
        </w:rPr>
        <w:t xml:space="preserve"> potentiële groei is gemiddeld zo’n 1% per jaar in de periode 2027-2033. De afgelopen 25 jaar lag de potentiële groei rond 1,5% per jaar.</w:t>
      </w:r>
      <w:r w:rsidRPr="000B4D4D">
        <w:rPr>
          <w:b/>
          <w:szCs w:val="18"/>
        </w:rPr>
        <w:t xml:space="preserve"> </w:t>
      </w:r>
      <w:r w:rsidRPr="000B4D4D">
        <w:rPr>
          <w:szCs w:val="18"/>
        </w:rPr>
        <w:t>Het arbeidsaanbod groeit minder hard door de afvlakkende groei van de beroepsbevolking en participatiegraad. De participatiegraad is al erg hoog, ook in internationaal perspectief, waardoor additionele groei beperkt is. De vergrijzing beperkt bovendien de groei van de beroepsbevolking. De structurele werkgelegenheid ligt echter hoger dan eerder geraamd door het CPB. Het structurele arbeidsaanbod is opwaarts bijgesteld</w:t>
      </w:r>
      <w:r w:rsidRPr="000B4D4D" w:rsidR="00651DCA">
        <w:rPr>
          <w:szCs w:val="18"/>
        </w:rPr>
        <w:t>.</w:t>
      </w:r>
      <w:r w:rsidRPr="000B4D4D">
        <w:rPr>
          <w:szCs w:val="18"/>
        </w:rPr>
        <w:t xml:space="preserve"> Dat komt door een wijziging in het niveau en de trends van de structurele participatiegraad van jongeren tussen 15 en 25 jaar en ouderen tussen 65 en 75 jaar. Het nominale bbp komt door deze bijstellingen en door de revisie van de Nationale rekeningen door het CBS vorig jaar ongeveer 7% hoger uit dan geraamd in het CEP van 2024.</w:t>
      </w:r>
    </w:p>
    <w:p w:rsidRPr="000B4D4D" w:rsidR="00D8289F" w:rsidP="00D8289F" w:rsidRDefault="00D8289F" w14:paraId="10B7CC43" w14:textId="408C66CF">
      <w:pPr>
        <w:rPr>
          <w:szCs w:val="18"/>
        </w:rPr>
      </w:pPr>
      <w:r w:rsidRPr="000B4D4D">
        <w:rPr>
          <w:b/>
          <w:szCs w:val="18"/>
        </w:rPr>
        <w:t>De productiviteitsgroei valt op middellange termijn lager uit dan eerder geraamd</w:t>
      </w:r>
      <w:r w:rsidRPr="000B4D4D">
        <w:rPr>
          <w:szCs w:val="18"/>
        </w:rPr>
        <w:t xml:space="preserve">. De </w:t>
      </w:r>
      <w:r w:rsidR="00D03F21">
        <w:rPr>
          <w:szCs w:val="18"/>
        </w:rPr>
        <w:t>structurele</w:t>
      </w:r>
      <w:r w:rsidRPr="000B4D4D">
        <w:rPr>
          <w:szCs w:val="18"/>
        </w:rPr>
        <w:t xml:space="preserve"> productiviteitsgroei wordt geraamd op 0,7% per jaar. Dit komt overeen met de gemiddelde structurele arbeidsproductiviteitsgroei de afgelopen twintig jaar. Het CPB wijst op de afgenomen groei in globalisering, het onzekere verloop van kunstmatige intelligentie, de </w:t>
      </w:r>
      <w:r w:rsidRPr="000B4D4D">
        <w:rPr>
          <w:szCs w:val="18"/>
        </w:rPr>
        <w:lastRenderedPageBreak/>
        <w:t>verdienstelijking van de Nederlandse economie en de afnemende groei van de scholingsgraad van de beroepsbevolking.</w:t>
      </w:r>
    </w:p>
    <w:p w:rsidR="00250A96" w:rsidP="00651DCA" w:rsidRDefault="00250A96" w14:paraId="12E05F63" w14:textId="77777777">
      <w:pPr>
        <w:contextualSpacing/>
        <w:rPr>
          <w:b/>
          <w:bCs/>
          <w:sz w:val="16"/>
          <w:szCs w:val="16"/>
          <w:highlight w:val="yellow"/>
        </w:rPr>
      </w:pPr>
    </w:p>
    <w:p w:rsidRPr="00106C84" w:rsidR="00651DCA" w:rsidP="00651DCA" w:rsidRDefault="00651DCA" w14:paraId="7623E5BA" w14:textId="65FEDFE3">
      <w:pPr>
        <w:contextualSpacing/>
        <w:rPr>
          <w:i/>
          <w:szCs w:val="18"/>
        </w:rPr>
      </w:pPr>
      <w:r w:rsidRPr="00106C84">
        <w:rPr>
          <w:i/>
          <w:szCs w:val="18"/>
        </w:rPr>
        <w:t xml:space="preserve">Tabel </w:t>
      </w:r>
      <w:r w:rsidRPr="00106C84" w:rsidR="002B0312">
        <w:rPr>
          <w:i/>
          <w:szCs w:val="18"/>
        </w:rPr>
        <w:t>2</w:t>
      </w:r>
      <w:r w:rsidR="00D24032">
        <w:rPr>
          <w:i/>
          <w:iCs/>
          <w:szCs w:val="18"/>
        </w:rPr>
        <w:t>:</w:t>
      </w:r>
      <w:r w:rsidRPr="00106C84">
        <w:rPr>
          <w:i/>
          <w:szCs w:val="18"/>
        </w:rPr>
        <w:t xml:space="preserve"> Ontwikkeling macro-economische variabelen </w:t>
      </w:r>
    </w:p>
    <w:tbl>
      <w:tblPr>
        <w:tblW w:w="9709" w:type="dxa"/>
        <w:tblCellMar>
          <w:left w:w="70" w:type="dxa"/>
          <w:right w:w="70" w:type="dxa"/>
        </w:tblCellMar>
        <w:tblLook w:val="04A0" w:firstRow="1" w:lastRow="0" w:firstColumn="1" w:lastColumn="0" w:noHBand="0" w:noVBand="1"/>
      </w:tblPr>
      <w:tblGrid>
        <w:gridCol w:w="2263"/>
        <w:gridCol w:w="642"/>
        <w:gridCol w:w="896"/>
        <w:gridCol w:w="844"/>
        <w:gridCol w:w="844"/>
        <w:gridCol w:w="844"/>
        <w:gridCol w:w="844"/>
        <w:gridCol w:w="844"/>
        <w:gridCol w:w="844"/>
        <w:gridCol w:w="844"/>
      </w:tblGrid>
      <w:tr w:rsidRPr="000B4D4D" w:rsidR="002F7CB3" w:rsidTr="00106C84" w14:paraId="0901CF8F" w14:textId="77777777">
        <w:trPr>
          <w:trHeight w:val="20"/>
        </w:trPr>
        <w:tc>
          <w:tcPr>
            <w:tcW w:w="2263" w:type="dxa"/>
            <w:tcBorders>
              <w:top w:val="single" w:color="auto" w:sz="4" w:space="0"/>
              <w:left w:val="single" w:color="auto" w:sz="4" w:space="0"/>
              <w:bottom w:val="single" w:color="auto" w:sz="4" w:space="0"/>
              <w:right w:val="single" w:color="auto" w:sz="4" w:space="0"/>
            </w:tcBorders>
            <w:shd w:val="clear" w:color="auto" w:fill="01689B"/>
            <w:noWrap/>
            <w:vAlign w:val="center"/>
            <w:hideMark/>
          </w:tcPr>
          <w:p w:rsidRPr="000B4D4D" w:rsidR="00651DCA" w:rsidP="00A40340" w:rsidRDefault="00651DCA" w14:paraId="5A31040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642" w:type="dxa"/>
            <w:tcBorders>
              <w:top w:val="single" w:color="auto" w:sz="4" w:space="0"/>
              <w:left w:val="nil"/>
              <w:bottom w:val="single" w:color="auto" w:sz="4" w:space="0"/>
              <w:right w:val="single" w:color="auto" w:sz="4" w:space="0"/>
            </w:tcBorders>
            <w:shd w:val="clear" w:color="auto" w:fill="01689B"/>
            <w:noWrap/>
            <w:vAlign w:val="center"/>
            <w:hideMark/>
          </w:tcPr>
          <w:p w:rsidRPr="000B4D4D" w:rsidR="00651DCA" w:rsidP="00A40340" w:rsidRDefault="00651DCA" w14:paraId="2574A3AA"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06B774CC"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2023</w:t>
            </w:r>
          </w:p>
        </w:tc>
        <w:tc>
          <w:tcPr>
            <w:tcW w:w="844"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470866E3"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2023</w:t>
            </w:r>
          </w:p>
        </w:tc>
        <w:tc>
          <w:tcPr>
            <w:tcW w:w="844"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285FF5D2"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2024</w:t>
            </w:r>
          </w:p>
        </w:tc>
        <w:tc>
          <w:tcPr>
            <w:tcW w:w="844"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04664D96"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2025</w:t>
            </w:r>
          </w:p>
        </w:tc>
        <w:tc>
          <w:tcPr>
            <w:tcW w:w="844"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63BB343A"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2026</w:t>
            </w:r>
          </w:p>
        </w:tc>
        <w:tc>
          <w:tcPr>
            <w:tcW w:w="844"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1FCF92E1"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2027</w:t>
            </w:r>
          </w:p>
        </w:tc>
        <w:tc>
          <w:tcPr>
            <w:tcW w:w="844"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7942743D"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2028</w:t>
            </w:r>
          </w:p>
        </w:tc>
        <w:tc>
          <w:tcPr>
            <w:tcW w:w="844"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05723256"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2029</w:t>
            </w:r>
          </w:p>
        </w:tc>
      </w:tr>
      <w:tr w:rsidRPr="000B4D4D" w:rsidR="00651DCA" w:rsidTr="00106C84" w14:paraId="31AA3ED3" w14:textId="77777777">
        <w:trPr>
          <w:trHeight w:val="20"/>
        </w:trPr>
        <w:tc>
          <w:tcPr>
            <w:tcW w:w="2263" w:type="dxa"/>
            <w:tcBorders>
              <w:top w:val="nil"/>
              <w:left w:val="single" w:color="auto" w:sz="4" w:space="0"/>
              <w:bottom w:val="single" w:color="auto" w:sz="4" w:space="0"/>
              <w:right w:val="single" w:color="auto" w:sz="4" w:space="0"/>
            </w:tcBorders>
            <w:shd w:val="clear" w:color="auto" w:fill="01689B"/>
            <w:vAlign w:val="center"/>
            <w:hideMark/>
          </w:tcPr>
          <w:p w:rsidRPr="000B4D4D" w:rsidR="00651DCA" w:rsidP="00A40340" w:rsidRDefault="00651DCA" w14:paraId="25844AE9" w14:textId="77777777">
            <w:pPr>
              <w:spacing w:after="0" w:line="240" w:lineRule="auto"/>
              <w:rPr>
                <w:rFonts w:eastAsia="Times New Roman" w:cs="Calibri"/>
                <w:b/>
                <w:bCs/>
                <w:color w:val="000000"/>
                <w:kern w:val="0"/>
                <w:sz w:val="16"/>
                <w:szCs w:val="16"/>
                <w:lang w:eastAsia="nl-NL"/>
                <w14:ligatures w14:val="none"/>
              </w:rPr>
            </w:pPr>
            <w:r w:rsidRPr="000B4D4D">
              <w:rPr>
                <w:rFonts w:eastAsia="Times New Roman" w:cs="Calibri"/>
                <w:b/>
                <w:bCs/>
                <w:color w:val="000000"/>
                <w:kern w:val="0"/>
                <w:sz w:val="16"/>
                <w:szCs w:val="16"/>
                <w:lang w:eastAsia="nl-NL"/>
                <w14:ligatures w14:val="none"/>
              </w:rPr>
              <w:t> </w:t>
            </w:r>
          </w:p>
        </w:tc>
        <w:tc>
          <w:tcPr>
            <w:tcW w:w="642" w:type="dxa"/>
            <w:tcBorders>
              <w:top w:val="nil"/>
              <w:left w:val="nil"/>
              <w:bottom w:val="single" w:color="auto" w:sz="4" w:space="0"/>
              <w:right w:val="single" w:color="auto" w:sz="4" w:space="0"/>
            </w:tcBorders>
            <w:shd w:val="clear" w:color="auto" w:fill="01689B"/>
            <w:vAlign w:val="center"/>
            <w:hideMark/>
          </w:tcPr>
          <w:p w:rsidRPr="000B4D4D" w:rsidR="00651DCA" w:rsidP="00A40340" w:rsidRDefault="00651DCA" w14:paraId="5F3A9BB1" w14:textId="77777777">
            <w:pPr>
              <w:spacing w:after="0" w:line="240" w:lineRule="auto"/>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ESA-code</w:t>
            </w:r>
          </w:p>
        </w:tc>
        <w:tc>
          <w:tcPr>
            <w:tcW w:w="896" w:type="dxa"/>
            <w:tcBorders>
              <w:top w:val="nil"/>
              <w:left w:val="nil"/>
              <w:bottom w:val="single" w:color="auto" w:sz="4" w:space="0"/>
              <w:right w:val="single" w:color="auto" w:sz="4" w:space="0"/>
            </w:tcBorders>
            <w:shd w:val="clear" w:color="auto" w:fill="01689B"/>
            <w:vAlign w:val="center"/>
            <w:hideMark/>
          </w:tcPr>
          <w:p w:rsidRPr="000B4D4D" w:rsidR="00651DCA" w:rsidP="00A40340" w:rsidRDefault="00651DCA" w14:paraId="6673C757"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Niveau</w:t>
            </w:r>
          </w:p>
        </w:tc>
        <w:tc>
          <w:tcPr>
            <w:tcW w:w="5908" w:type="dxa"/>
            <w:gridSpan w:val="7"/>
            <w:tcBorders>
              <w:top w:val="single" w:color="auto" w:sz="4" w:space="0"/>
              <w:left w:val="nil"/>
              <w:bottom w:val="single" w:color="auto" w:sz="4" w:space="0"/>
              <w:right w:val="single" w:color="000000" w:sz="4" w:space="0"/>
            </w:tcBorders>
            <w:shd w:val="clear" w:color="auto" w:fill="01689B"/>
            <w:vAlign w:val="center"/>
            <w:hideMark/>
          </w:tcPr>
          <w:p w:rsidRPr="000B4D4D" w:rsidR="00651DCA" w:rsidP="00A40340" w:rsidRDefault="00651DCA" w14:paraId="02B33FFB"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Verandering t.o.v. voorafgaand jaar (%)</w:t>
            </w:r>
          </w:p>
        </w:tc>
      </w:tr>
      <w:tr w:rsidRPr="000B4D4D" w:rsidR="00651DCA" w:rsidTr="00106C84" w14:paraId="16664614"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6B38F8C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 Reëel bbp</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3AD9A48"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B1*g</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6046C7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C2B0F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0B6DA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B7AD13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1BA4A7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2C74BF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2BAE87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745ED2"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1,1</w:t>
            </w:r>
          </w:p>
        </w:tc>
      </w:tr>
      <w:tr w:rsidRPr="000B4D4D" w:rsidR="00651DCA" w:rsidTr="00106C84" w14:paraId="62DD28ED"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6C9B320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 Bbp deflator</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18DBECD3"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81914D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5428E0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7,3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54F3BF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BBB7C7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2A3D5D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24FCB2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A30C75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C5D5045"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2,5</w:t>
            </w:r>
          </w:p>
        </w:tc>
      </w:tr>
      <w:tr w:rsidRPr="000B4D4D" w:rsidR="00651DCA" w:rsidTr="00106C84" w14:paraId="5D980719"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5977FF56"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 Nominaal bbp</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6B8B6E04"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B1*g</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F087F3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1.067,6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4066E0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7,4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5B7C9B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6C2AD7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585F10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E7D170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FE92DD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F8FE02D"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3,7</w:t>
            </w:r>
          </w:p>
        </w:tc>
      </w:tr>
      <w:tr w:rsidRPr="000B4D4D" w:rsidR="00651DCA" w:rsidTr="00994DB8" w14:paraId="58EE2ACD" w14:textId="77777777">
        <w:trPr>
          <w:trHeight w:val="20"/>
        </w:trPr>
        <w:tc>
          <w:tcPr>
            <w:tcW w:w="9709" w:type="dxa"/>
            <w:gridSpan w:val="10"/>
            <w:tcBorders>
              <w:top w:val="single" w:color="auto" w:sz="4" w:space="0"/>
              <w:left w:val="single" w:color="auto" w:sz="4" w:space="0"/>
              <w:bottom w:val="single" w:color="auto" w:sz="4" w:space="0"/>
              <w:right w:val="single" w:color="000000" w:sz="4" w:space="0"/>
            </w:tcBorders>
            <w:shd w:val="clear" w:color="auto" w:fill="01689B"/>
            <w:vAlign w:val="center"/>
            <w:hideMark/>
          </w:tcPr>
          <w:p w:rsidRPr="000B4D4D" w:rsidR="00651DCA" w:rsidP="00A40340" w:rsidRDefault="00651DCA" w14:paraId="2C552160" w14:textId="77777777">
            <w:pPr>
              <w:spacing w:after="0" w:line="240" w:lineRule="auto"/>
              <w:rPr>
                <w:rFonts w:eastAsia="Times New Roman" w:cs="Calibri"/>
                <w:b/>
                <w:bCs/>
                <w:i/>
                <w:iCs/>
                <w:color w:val="000000"/>
                <w:kern w:val="0"/>
                <w:sz w:val="16"/>
                <w:szCs w:val="16"/>
                <w:lang w:eastAsia="nl-NL"/>
                <w14:ligatures w14:val="none"/>
              </w:rPr>
            </w:pPr>
            <w:r w:rsidRPr="00994DB8">
              <w:rPr>
                <w:rFonts w:eastAsia="Times New Roman" w:cs="Calibri"/>
                <w:b/>
                <w:bCs/>
                <w:i/>
                <w:iCs/>
                <w:color w:val="FFFFFF" w:themeColor="background1"/>
                <w:kern w:val="0"/>
                <w:sz w:val="16"/>
                <w:szCs w:val="16"/>
                <w:lang w:eastAsia="nl-NL"/>
                <w14:ligatures w14:val="none"/>
              </w:rPr>
              <w:t>Componenten van het reële bbp</w:t>
            </w:r>
          </w:p>
        </w:tc>
      </w:tr>
      <w:tr w:rsidRPr="000B4D4D" w:rsidR="00651DCA" w:rsidTr="00106C84" w14:paraId="3F871108"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43ECECE3"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 Particuliere consumptieve bestedingen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348A85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P.3</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456DFBD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762A3B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E30A4E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B33664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DE746E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C98AE4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8623B2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B83EF7A"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0,9</w:t>
            </w:r>
          </w:p>
        </w:tc>
      </w:tr>
      <w:tr w:rsidRPr="000B4D4D" w:rsidR="00651DCA" w:rsidTr="00106C84" w14:paraId="6AD62E80"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3BA54788"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 Consumptieve bestedingen van de overheid</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4EB60E43"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P.3</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394E02B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0CB39A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F6F188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40CC59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90603D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6CD611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011E68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9C58D9A"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1,9</w:t>
            </w:r>
          </w:p>
        </w:tc>
      </w:tr>
      <w:tr w:rsidRPr="000B4D4D" w:rsidR="00651DCA" w:rsidTr="00106C84" w14:paraId="00071DEB"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35C2D15F"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 Bruto investeringen in vaste activa</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DE7008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P.51</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720B2A4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161E8B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428B4B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8AA290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2F4A2C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E15467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13C45F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0546081"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1,8</w:t>
            </w:r>
          </w:p>
        </w:tc>
      </w:tr>
      <w:tr w:rsidRPr="000B4D4D" w:rsidR="00651DCA" w:rsidTr="00106C84" w14:paraId="35E7C0CB"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2C1366D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7. Voorraadmutaties (∆)</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F5BF401"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P.52 + P.53</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05ACCBE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117AC1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431F7A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BF585F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5217AE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07584E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779662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75152F0"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0,0</w:t>
            </w:r>
          </w:p>
        </w:tc>
      </w:tr>
      <w:tr w:rsidRPr="000B4D4D" w:rsidR="00651DCA" w:rsidTr="00106C84" w14:paraId="2D546B54"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6DBEC0A"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8. Uitvoer van goederen en diensten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DFAE944"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P.6</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6DD3A0E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AD1B26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9B5576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CE709B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66CC8F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667500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475E64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A0FDB14"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1,7</w:t>
            </w:r>
          </w:p>
        </w:tc>
      </w:tr>
      <w:tr w:rsidRPr="000B4D4D" w:rsidR="00651DCA" w:rsidTr="00106C84" w14:paraId="12F345D2"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AA63FE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9. Invoer van goederen en diensten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6EF025E"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P.7</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4A3AD4D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E0456A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77E46D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70D36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D6B688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C95761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CDFCD3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0D05254"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2,2</w:t>
            </w:r>
          </w:p>
        </w:tc>
      </w:tr>
      <w:tr w:rsidRPr="000B4D4D" w:rsidR="00651DCA" w:rsidTr="00994DB8" w14:paraId="01DCD699" w14:textId="77777777">
        <w:trPr>
          <w:trHeight w:val="20"/>
        </w:trPr>
        <w:tc>
          <w:tcPr>
            <w:tcW w:w="9709" w:type="dxa"/>
            <w:gridSpan w:val="10"/>
            <w:tcBorders>
              <w:top w:val="single" w:color="auto" w:sz="4" w:space="0"/>
              <w:left w:val="single" w:color="auto" w:sz="4" w:space="0"/>
              <w:bottom w:val="single" w:color="auto" w:sz="4" w:space="0"/>
              <w:right w:val="single" w:color="000000" w:sz="4" w:space="0"/>
            </w:tcBorders>
            <w:shd w:val="clear" w:color="auto" w:fill="01689B"/>
            <w:vAlign w:val="center"/>
            <w:hideMark/>
          </w:tcPr>
          <w:p w:rsidRPr="000B4D4D" w:rsidR="00651DCA" w:rsidP="00A40340" w:rsidRDefault="00651DCA" w14:paraId="19CA52F2" w14:textId="77777777">
            <w:pPr>
              <w:spacing w:after="0" w:line="240" w:lineRule="auto"/>
              <w:rPr>
                <w:rFonts w:eastAsia="Times New Roman" w:cs="Calibri"/>
                <w:b/>
                <w:bCs/>
                <w:i/>
                <w:iCs/>
                <w:color w:val="000000"/>
                <w:kern w:val="0"/>
                <w:sz w:val="16"/>
                <w:szCs w:val="16"/>
                <w:lang w:eastAsia="nl-NL"/>
                <w14:ligatures w14:val="none"/>
              </w:rPr>
            </w:pPr>
            <w:r w:rsidRPr="00994DB8">
              <w:rPr>
                <w:rFonts w:eastAsia="Times New Roman" w:cs="Calibri"/>
                <w:b/>
                <w:bCs/>
                <w:i/>
                <w:iCs/>
                <w:color w:val="FFFFFF" w:themeColor="background1"/>
                <w:kern w:val="0"/>
                <w:sz w:val="16"/>
                <w:szCs w:val="16"/>
                <w:lang w:eastAsia="nl-NL"/>
                <w14:ligatures w14:val="none"/>
              </w:rPr>
              <w:t>Bijdragen aan reële bbp-groei</w:t>
            </w:r>
          </w:p>
        </w:tc>
      </w:tr>
      <w:tr w:rsidRPr="000B4D4D" w:rsidR="00651DCA" w:rsidTr="00106C84" w14:paraId="20A5855F"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0216667"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 Finale binnenlandse vraag</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6C62477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115BE2F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D1DFB3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23B214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17898C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A88F68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366B81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6B2224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AD9CD4B"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1,4</w:t>
            </w:r>
          </w:p>
        </w:tc>
      </w:tr>
      <w:tr w:rsidRPr="000B4D4D" w:rsidR="00651DCA" w:rsidTr="00106C84" w14:paraId="3BA0BC29"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08FA602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11. Voorraadmutaties (∆)</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847C5C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P.52 + P.53</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447B6F0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E5F7CE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04721C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3E6A45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23A313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D7E952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C2D877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9B18DFB"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0,0</w:t>
            </w:r>
          </w:p>
        </w:tc>
      </w:tr>
      <w:tr w:rsidRPr="000B4D4D" w:rsidR="00651DCA" w:rsidTr="00106C84" w14:paraId="073B0BC6"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205F52E7"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 Extern saldo van goederen en diensten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3FC31E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B.11</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7D121C9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ADEB76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D2DA97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BCB91B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BA24F5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CCA43A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69213F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D15C533"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-0,1</w:t>
            </w:r>
          </w:p>
        </w:tc>
      </w:tr>
      <w:tr w:rsidRPr="000B4D4D" w:rsidR="00651DCA" w:rsidTr="00994DB8" w14:paraId="3D7A28ED" w14:textId="77777777">
        <w:trPr>
          <w:trHeight w:val="20"/>
        </w:trPr>
        <w:tc>
          <w:tcPr>
            <w:tcW w:w="9709" w:type="dxa"/>
            <w:gridSpan w:val="10"/>
            <w:tcBorders>
              <w:top w:val="single" w:color="auto" w:sz="4" w:space="0"/>
              <w:left w:val="single" w:color="auto" w:sz="4" w:space="0"/>
              <w:bottom w:val="single" w:color="auto" w:sz="4" w:space="0"/>
              <w:right w:val="single" w:color="000000" w:sz="4" w:space="0"/>
            </w:tcBorders>
            <w:shd w:val="clear" w:color="auto" w:fill="01689B"/>
            <w:vAlign w:val="center"/>
            <w:hideMark/>
          </w:tcPr>
          <w:p w:rsidRPr="000B4D4D" w:rsidR="00651DCA" w:rsidP="00A40340" w:rsidRDefault="00651DCA" w14:paraId="7F3F6106" w14:textId="77777777">
            <w:pPr>
              <w:spacing w:after="0" w:line="240" w:lineRule="auto"/>
              <w:rPr>
                <w:rFonts w:eastAsia="Times New Roman" w:cs="Calibri"/>
                <w:b/>
                <w:bCs/>
                <w:i/>
                <w:iCs/>
                <w:color w:val="000000"/>
                <w:kern w:val="0"/>
                <w:sz w:val="16"/>
                <w:szCs w:val="16"/>
                <w:lang w:eastAsia="nl-NL"/>
                <w14:ligatures w14:val="none"/>
              </w:rPr>
            </w:pPr>
            <w:r w:rsidRPr="00994DB8">
              <w:rPr>
                <w:rFonts w:eastAsia="Times New Roman" w:cs="Calibri"/>
                <w:b/>
                <w:bCs/>
                <w:i/>
                <w:iCs/>
                <w:color w:val="FFFFFF" w:themeColor="background1"/>
                <w:kern w:val="0"/>
                <w:sz w:val="16"/>
                <w:szCs w:val="16"/>
                <w:lang w:eastAsia="nl-NL"/>
                <w14:ligatures w14:val="none"/>
              </w:rPr>
              <w:t>Deflator en HICP</w:t>
            </w:r>
          </w:p>
        </w:tc>
      </w:tr>
      <w:tr w:rsidRPr="000B4D4D" w:rsidR="00651DCA" w:rsidTr="00106C84" w14:paraId="40FF1DEC"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280EEC8"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13. Particuliere consumptiedeflator</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7552A9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1950156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052314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C39BD0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E16550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9C95F1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D52A66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6C60F6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4A1B1F"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2,2</w:t>
            </w:r>
          </w:p>
        </w:tc>
      </w:tr>
      <w:tr w:rsidRPr="000B4D4D" w:rsidR="00651DCA" w:rsidTr="00106C84" w14:paraId="4BDB6C1B"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62BC047"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14. HICP</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277C1998"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5EEE9FB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37295A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DE44E3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A9A257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69C45F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435A2C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8B251A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BF4728D"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2,1</w:t>
            </w:r>
          </w:p>
        </w:tc>
      </w:tr>
      <w:tr w:rsidRPr="000B4D4D" w:rsidR="00651DCA" w:rsidTr="00106C84" w14:paraId="0A55FD8D"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3BCF1C54"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15. Overheidsconsumptie-deflator</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137E982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7AA027F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D2A557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C1CD61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94E554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D2A304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689EE9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49269B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FEFB740"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3,0</w:t>
            </w:r>
          </w:p>
        </w:tc>
      </w:tr>
      <w:tr w:rsidRPr="000B4D4D" w:rsidR="00651DCA" w:rsidTr="00106C84" w14:paraId="5A9DCACD"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FECC1E6"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16. Investeringsdeflator</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58D74675"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55B6CF4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13B537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BFD4F8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FDFAA7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29C076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6D3CDD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68D3E8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3A56197"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2,5</w:t>
            </w:r>
          </w:p>
        </w:tc>
      </w:tr>
      <w:tr w:rsidRPr="000B4D4D" w:rsidR="00651DCA" w:rsidTr="00106C84" w14:paraId="17E535FC"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7279F85B"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17. Uitvoerprijsdeflator (goederen en diensten)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4C39ABC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5B7EC5C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9766C1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F1E61F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BA0000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42D6C6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DA461D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64963D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887416A"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1,4</w:t>
            </w:r>
          </w:p>
        </w:tc>
      </w:tr>
      <w:tr w:rsidRPr="000B4D4D" w:rsidR="00651DCA" w:rsidTr="00106C84" w14:paraId="1071B219"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4F54BA0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18. Invoerprijsdeflator (goederen en diensten)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0722C5D"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371CA2A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097F93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13FB80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483953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016E4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CF04BD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99A843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CE4D21"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1,3</w:t>
            </w:r>
          </w:p>
        </w:tc>
      </w:tr>
      <w:tr w:rsidRPr="000B4D4D" w:rsidR="00651DCA" w:rsidTr="00994DB8" w14:paraId="0AE132AA" w14:textId="77777777">
        <w:trPr>
          <w:trHeight w:val="20"/>
        </w:trPr>
        <w:tc>
          <w:tcPr>
            <w:tcW w:w="9709" w:type="dxa"/>
            <w:gridSpan w:val="10"/>
            <w:tcBorders>
              <w:top w:val="single" w:color="auto" w:sz="4" w:space="0"/>
              <w:left w:val="single" w:color="auto" w:sz="4" w:space="0"/>
              <w:bottom w:val="single" w:color="auto" w:sz="4" w:space="0"/>
              <w:right w:val="single" w:color="000000" w:sz="4" w:space="0"/>
            </w:tcBorders>
            <w:shd w:val="clear" w:color="auto" w:fill="01689B"/>
            <w:vAlign w:val="center"/>
            <w:hideMark/>
          </w:tcPr>
          <w:p w:rsidRPr="000B4D4D" w:rsidR="00651DCA" w:rsidP="00A40340" w:rsidRDefault="00651DCA" w14:paraId="74CA2B04" w14:textId="77777777">
            <w:pPr>
              <w:spacing w:after="0" w:line="240" w:lineRule="auto"/>
              <w:rPr>
                <w:rFonts w:eastAsia="Times New Roman" w:cs="Calibri"/>
                <w:b/>
                <w:bCs/>
                <w:i/>
                <w:iCs/>
                <w:color w:val="000000"/>
                <w:kern w:val="0"/>
                <w:sz w:val="16"/>
                <w:szCs w:val="16"/>
                <w:lang w:eastAsia="nl-NL"/>
                <w14:ligatures w14:val="none"/>
              </w:rPr>
            </w:pPr>
            <w:r w:rsidRPr="00994DB8">
              <w:rPr>
                <w:rFonts w:eastAsia="Times New Roman" w:cs="Calibri"/>
                <w:b/>
                <w:bCs/>
                <w:i/>
                <w:iCs/>
                <w:color w:val="FFFFFF" w:themeColor="background1"/>
                <w:kern w:val="0"/>
                <w:sz w:val="16"/>
                <w:szCs w:val="16"/>
                <w:lang w:eastAsia="nl-NL"/>
                <w14:ligatures w14:val="none"/>
              </w:rPr>
              <w:t>Arbeidsmarkt</w:t>
            </w:r>
          </w:p>
        </w:tc>
      </w:tr>
      <w:tr w:rsidRPr="000B4D4D" w:rsidR="00651DCA" w:rsidTr="00106C84" w14:paraId="535B374F"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7C61611F"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19. Werkgelegenheid (1000 personen, nationale rekeningen)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3ED7D966"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9BBF0B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10.233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A0DEA4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2E18B5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1AAA75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AE2E40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D52296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40AED8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46DB62"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0,4</w:t>
            </w:r>
          </w:p>
        </w:tc>
      </w:tr>
      <w:tr w:rsidRPr="000B4D4D" w:rsidR="00651DCA" w:rsidTr="00106C84" w14:paraId="67C98A02"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6D65C37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20. Gemiddeld aantal jaarlijkse gewerkte uren per werkzaam persoon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407958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01116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1.439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E0635E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F4F88D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941350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59B819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9C66A7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BEF72D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C161FAA"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-0,2</w:t>
            </w:r>
          </w:p>
        </w:tc>
      </w:tr>
      <w:tr w:rsidRPr="000B4D4D" w:rsidR="00651DCA" w:rsidTr="00106C84" w14:paraId="15BD1586"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39C052FB"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21. Reëel bbp per werkzaam persoon</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223C426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CCB128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5927A9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F76D47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CC0D31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C6FADC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36A14E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B03CC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F178E5C"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0,7</w:t>
            </w:r>
          </w:p>
        </w:tc>
      </w:tr>
      <w:tr w:rsidRPr="000B4D4D" w:rsidR="00651DCA" w:rsidTr="00106C84" w14:paraId="553E1EB2"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1EF6EB4"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22. Reëel bbp per gewerkt uur</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2976ABA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8A3413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A08B86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B9681A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7F9061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6C589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8F21F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818139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EB58863"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0,9</w:t>
            </w:r>
          </w:p>
        </w:tc>
      </w:tr>
      <w:tr w:rsidRPr="000B4D4D" w:rsidR="00651DCA" w:rsidTr="00106C84" w14:paraId="07AF8757"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4B2C7F9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 Loonsom van werknemers (in mld.)</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528619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D.1</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933754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489,6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62705D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7,7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17522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7,3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3B8A97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E49421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B7A729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38A975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6DDD7E1"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3,8</w:t>
            </w:r>
          </w:p>
        </w:tc>
      </w:tr>
      <w:tr w:rsidRPr="000B4D4D" w:rsidR="00651DCA" w:rsidTr="00106C84" w14:paraId="188E083B"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73E7DBB6"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24. Loonsom per werknemer (€) (x 1000)</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20E4BD6B"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24385B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47,800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36DA12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FCB858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6,3</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DCE2CF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99EC30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AAE086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185AEF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096E9A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3,4</w:t>
            </w:r>
          </w:p>
        </w:tc>
      </w:tr>
      <w:tr w:rsidRPr="000B4D4D" w:rsidR="00651DCA" w:rsidTr="00106C84" w14:paraId="50EB8AAB"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1BDE762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xml:space="preserve">25. Werkloosheid (% van de beroepsbevolking) </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4066C0C1"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40FD941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B27FAD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7D00AC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33AAFB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D72D7A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9C78D3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7813A4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3A520E3"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4,3</w:t>
            </w:r>
          </w:p>
        </w:tc>
      </w:tr>
      <w:tr w:rsidRPr="000B4D4D" w:rsidR="00651DCA" w:rsidTr="00994DB8" w14:paraId="108E8E14" w14:textId="77777777">
        <w:trPr>
          <w:trHeight w:val="20"/>
        </w:trPr>
        <w:tc>
          <w:tcPr>
            <w:tcW w:w="9709" w:type="dxa"/>
            <w:gridSpan w:val="10"/>
            <w:tcBorders>
              <w:top w:val="single" w:color="auto" w:sz="4" w:space="0"/>
              <w:left w:val="single" w:color="auto" w:sz="4" w:space="0"/>
              <w:bottom w:val="single" w:color="auto" w:sz="4" w:space="0"/>
              <w:right w:val="single" w:color="000000" w:sz="4" w:space="0"/>
            </w:tcBorders>
            <w:shd w:val="clear" w:color="auto" w:fill="01689B"/>
            <w:vAlign w:val="center"/>
            <w:hideMark/>
          </w:tcPr>
          <w:p w:rsidRPr="00994DB8" w:rsidR="00651DCA" w:rsidP="00A40340" w:rsidRDefault="00651DCA" w14:paraId="773392AA" w14:textId="77777777">
            <w:pPr>
              <w:spacing w:after="0" w:line="240" w:lineRule="auto"/>
              <w:rPr>
                <w:rFonts w:eastAsia="Times New Roman" w:cs="Calibri"/>
                <w:b/>
                <w:bCs/>
                <w:i/>
                <w:iCs/>
                <w:color w:val="FFFFFF" w:themeColor="background1"/>
                <w:kern w:val="0"/>
                <w:sz w:val="16"/>
                <w:szCs w:val="16"/>
                <w:lang w:eastAsia="nl-NL"/>
                <w14:ligatures w14:val="none"/>
              </w:rPr>
            </w:pPr>
            <w:r w:rsidRPr="00994DB8">
              <w:rPr>
                <w:rFonts w:eastAsia="Times New Roman" w:cs="Calibri"/>
                <w:b/>
                <w:bCs/>
                <w:i/>
                <w:iCs/>
                <w:color w:val="FFFFFF" w:themeColor="background1"/>
                <w:kern w:val="0"/>
                <w:sz w:val="16"/>
                <w:szCs w:val="16"/>
                <w:lang w:eastAsia="nl-NL"/>
                <w14:ligatures w14:val="none"/>
              </w:rPr>
              <w:t xml:space="preserve">Componenten van het potentiële bbp </w:t>
            </w:r>
          </w:p>
        </w:tc>
      </w:tr>
      <w:tr w:rsidRPr="000B4D4D" w:rsidR="002F7CB3" w:rsidTr="00106C84" w14:paraId="66F9C8AC"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47ED54BB"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26. Potentieel bbp</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6D85E0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vAlign w:val="center"/>
            <w:hideMark/>
          </w:tcPr>
          <w:p w:rsidRPr="000B4D4D" w:rsidR="00651DCA" w:rsidP="00A40340" w:rsidRDefault="00651DCA" w14:paraId="659B1E8F"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000000" w:fill="FFFFFF"/>
            <w:noWrap/>
            <w:vAlign w:val="center"/>
            <w:hideMark/>
          </w:tcPr>
          <w:p w:rsidRPr="000B4D4D" w:rsidR="00651DCA" w:rsidP="00A40340" w:rsidRDefault="00651DCA" w14:paraId="0AF037D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844" w:type="dxa"/>
            <w:tcBorders>
              <w:top w:val="nil"/>
              <w:left w:val="nil"/>
              <w:bottom w:val="single" w:color="auto" w:sz="4" w:space="0"/>
              <w:right w:val="single" w:color="auto" w:sz="4" w:space="0"/>
            </w:tcBorders>
            <w:shd w:val="clear" w:color="000000" w:fill="FFFFFF"/>
            <w:noWrap/>
            <w:vAlign w:val="center"/>
            <w:hideMark/>
          </w:tcPr>
          <w:p w:rsidRPr="000B4D4D" w:rsidR="00651DCA" w:rsidP="00A40340" w:rsidRDefault="00651DCA" w14:paraId="3C9A9EB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2,0</w:t>
            </w:r>
          </w:p>
        </w:tc>
        <w:tc>
          <w:tcPr>
            <w:tcW w:w="844" w:type="dxa"/>
            <w:tcBorders>
              <w:top w:val="nil"/>
              <w:left w:val="nil"/>
              <w:bottom w:val="single" w:color="auto" w:sz="4" w:space="0"/>
              <w:right w:val="single" w:color="auto" w:sz="4" w:space="0"/>
            </w:tcBorders>
            <w:shd w:val="clear" w:color="000000" w:fill="FFFFFF"/>
            <w:noWrap/>
            <w:vAlign w:val="center"/>
            <w:hideMark/>
          </w:tcPr>
          <w:p w:rsidRPr="000B4D4D" w:rsidR="00651DCA" w:rsidP="00A40340" w:rsidRDefault="00651DCA" w14:paraId="12C80FD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1,8</w:t>
            </w:r>
          </w:p>
        </w:tc>
        <w:tc>
          <w:tcPr>
            <w:tcW w:w="844" w:type="dxa"/>
            <w:tcBorders>
              <w:top w:val="nil"/>
              <w:left w:val="nil"/>
              <w:bottom w:val="single" w:color="auto" w:sz="4" w:space="0"/>
              <w:right w:val="single" w:color="auto" w:sz="4" w:space="0"/>
            </w:tcBorders>
            <w:shd w:val="clear" w:color="000000" w:fill="FFFFFF"/>
            <w:noWrap/>
            <w:vAlign w:val="center"/>
            <w:hideMark/>
          </w:tcPr>
          <w:p w:rsidRPr="000B4D4D" w:rsidR="00651DCA" w:rsidP="00A40340" w:rsidRDefault="00651DCA" w14:paraId="2013EBB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1,7</w:t>
            </w:r>
          </w:p>
        </w:tc>
        <w:tc>
          <w:tcPr>
            <w:tcW w:w="844" w:type="dxa"/>
            <w:tcBorders>
              <w:top w:val="nil"/>
              <w:left w:val="nil"/>
              <w:bottom w:val="single" w:color="auto" w:sz="4" w:space="0"/>
              <w:right w:val="single" w:color="auto" w:sz="4" w:space="0"/>
            </w:tcBorders>
            <w:shd w:val="clear" w:color="000000" w:fill="FFFFFF"/>
            <w:noWrap/>
            <w:vAlign w:val="center"/>
            <w:hideMark/>
          </w:tcPr>
          <w:p w:rsidRPr="000B4D4D" w:rsidR="00651DCA" w:rsidP="00A40340" w:rsidRDefault="00651DCA" w14:paraId="3746B20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1,6</w:t>
            </w:r>
          </w:p>
        </w:tc>
        <w:tc>
          <w:tcPr>
            <w:tcW w:w="844" w:type="dxa"/>
            <w:tcBorders>
              <w:top w:val="nil"/>
              <w:left w:val="nil"/>
              <w:bottom w:val="single" w:color="auto" w:sz="4" w:space="0"/>
              <w:right w:val="single" w:color="auto" w:sz="4" w:space="0"/>
            </w:tcBorders>
            <w:shd w:val="clear" w:color="000000" w:fill="FFFFFF"/>
            <w:noWrap/>
            <w:vAlign w:val="center"/>
            <w:hideMark/>
          </w:tcPr>
          <w:p w:rsidRPr="000B4D4D" w:rsidR="00651DCA" w:rsidP="00A40340" w:rsidRDefault="00651DCA" w14:paraId="2E29B67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1,5</w:t>
            </w:r>
          </w:p>
        </w:tc>
        <w:tc>
          <w:tcPr>
            <w:tcW w:w="844" w:type="dxa"/>
            <w:tcBorders>
              <w:top w:val="nil"/>
              <w:left w:val="nil"/>
              <w:bottom w:val="single" w:color="auto" w:sz="4" w:space="0"/>
              <w:right w:val="single" w:color="auto" w:sz="4" w:space="0"/>
            </w:tcBorders>
            <w:shd w:val="clear" w:color="000000" w:fill="FFFFFF"/>
            <w:noWrap/>
            <w:vAlign w:val="center"/>
            <w:hideMark/>
          </w:tcPr>
          <w:p w:rsidRPr="000B4D4D" w:rsidR="00651DCA" w:rsidP="00A40340" w:rsidRDefault="00651DCA" w14:paraId="114A35AC"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1,4</w:t>
            </w:r>
          </w:p>
        </w:tc>
      </w:tr>
      <w:tr w:rsidRPr="000B4D4D" w:rsidR="00651DCA" w:rsidTr="00994DB8" w14:paraId="2ECFA804" w14:textId="77777777">
        <w:trPr>
          <w:trHeight w:val="20"/>
        </w:trPr>
        <w:tc>
          <w:tcPr>
            <w:tcW w:w="9709" w:type="dxa"/>
            <w:gridSpan w:val="10"/>
            <w:tcBorders>
              <w:top w:val="single" w:color="auto" w:sz="4" w:space="0"/>
              <w:left w:val="single" w:color="auto" w:sz="4" w:space="0"/>
              <w:bottom w:val="single" w:color="auto" w:sz="4" w:space="0"/>
              <w:right w:val="single" w:color="000000" w:sz="4" w:space="0"/>
            </w:tcBorders>
            <w:shd w:val="clear" w:color="auto" w:fill="01689B"/>
            <w:vAlign w:val="center"/>
            <w:hideMark/>
          </w:tcPr>
          <w:p w:rsidRPr="000B4D4D" w:rsidR="00651DCA" w:rsidP="00A40340" w:rsidRDefault="00651DCA" w14:paraId="17944960" w14:textId="77777777">
            <w:pPr>
              <w:spacing w:after="0" w:line="240" w:lineRule="auto"/>
              <w:rPr>
                <w:rFonts w:eastAsia="Times New Roman" w:cs="Calibri"/>
                <w:b/>
                <w:bCs/>
                <w:i/>
                <w:iCs/>
                <w:color w:val="000000"/>
                <w:kern w:val="0"/>
                <w:sz w:val="16"/>
                <w:szCs w:val="16"/>
                <w:lang w:eastAsia="nl-NL"/>
                <w14:ligatures w14:val="none"/>
              </w:rPr>
            </w:pPr>
            <w:r w:rsidRPr="00994DB8">
              <w:rPr>
                <w:rFonts w:eastAsia="Times New Roman" w:cs="Calibri"/>
                <w:b/>
                <w:bCs/>
                <w:i/>
                <w:iCs/>
                <w:color w:val="FFFFFF" w:themeColor="background1"/>
                <w:kern w:val="0"/>
                <w:sz w:val="16"/>
                <w:szCs w:val="16"/>
                <w:lang w:eastAsia="nl-NL"/>
                <w14:ligatures w14:val="none"/>
              </w:rPr>
              <w:t>Bijdragen aan potentiële bbp</w:t>
            </w:r>
          </w:p>
        </w:tc>
      </w:tr>
      <w:tr w:rsidRPr="000B4D4D" w:rsidR="00651DCA" w:rsidTr="00106C84" w14:paraId="6E6DE35A"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6F6D678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27. Arbeid</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5328E00F"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2886C6"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7C7464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2DFDE4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15FCE8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0,7</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383888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819A1A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A5C1C6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ABB4C61"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0,3</w:t>
            </w:r>
          </w:p>
        </w:tc>
      </w:tr>
      <w:tr w:rsidRPr="000B4D4D" w:rsidR="00651DCA" w:rsidTr="00106C84" w14:paraId="5B09E5DA"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08B7E3CB"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28. Kapitaal</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11AA8C0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6CAEBF7"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1CB537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04F172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537780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C05588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420EEC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E76398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0,6</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88A41C5"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0,6</w:t>
            </w:r>
          </w:p>
        </w:tc>
      </w:tr>
      <w:tr w:rsidRPr="000B4D4D" w:rsidR="00651DCA" w:rsidTr="00106C84" w14:paraId="7F237A64"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25C3BA6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lastRenderedPageBreak/>
              <w:t>29. Totale factor productiviteit</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60D2017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38E1C9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DEBFD8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16A569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788FFA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DC47BD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5D0B12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22976F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0,5</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BC5D259"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0,5</w:t>
            </w:r>
          </w:p>
        </w:tc>
      </w:tr>
      <w:tr w:rsidRPr="000B4D4D" w:rsidR="00651DCA" w:rsidTr="00106C84" w14:paraId="7F168022" w14:textId="77777777">
        <w:trPr>
          <w:trHeight w:val="20"/>
        </w:trPr>
        <w:tc>
          <w:tcPr>
            <w:tcW w:w="2263"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0F1B5B46"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30. Output gap (% potentieel bbp)</w:t>
            </w:r>
          </w:p>
        </w:tc>
        <w:tc>
          <w:tcPr>
            <w:tcW w:w="6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2789332B"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96"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57CCEF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01BB09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15378AA"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A48CE5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-0,8</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62210B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3E72BA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6822E83"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-0,9</w:t>
            </w:r>
          </w:p>
        </w:tc>
        <w:tc>
          <w:tcPr>
            <w:tcW w:w="844"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B3F1BB3"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-1,0</w:t>
            </w:r>
          </w:p>
        </w:tc>
      </w:tr>
    </w:tbl>
    <w:p w:rsidRPr="00E90504" w:rsidR="00651DCA" w:rsidP="00651DCA" w:rsidRDefault="00651DCA" w14:paraId="1D3E9DF3" w14:textId="77777777">
      <w:pPr>
        <w:ind w:left="720"/>
        <w:contextualSpacing/>
        <w:rPr>
          <w:sz w:val="16"/>
          <w:szCs w:val="16"/>
          <w:highlight w:val="yellow"/>
        </w:rPr>
      </w:pPr>
    </w:p>
    <w:p w:rsidR="00250A96" w:rsidP="00651DCA" w:rsidRDefault="00250A96" w14:paraId="6478CFB7" w14:textId="77777777">
      <w:pPr>
        <w:spacing w:after="0"/>
        <w:rPr>
          <w:b/>
          <w:sz w:val="16"/>
          <w:szCs w:val="16"/>
          <w:highlight w:val="yellow"/>
        </w:rPr>
      </w:pPr>
      <w:bookmarkStart w:name="_Hlk167984733" w:id="11"/>
    </w:p>
    <w:p w:rsidRPr="00106C84" w:rsidR="00651DCA" w:rsidP="00651DCA" w:rsidRDefault="00651DCA" w14:paraId="063E4806" w14:textId="32FBB8F2">
      <w:pPr>
        <w:spacing w:after="0"/>
        <w:rPr>
          <w:i/>
          <w:szCs w:val="18"/>
        </w:rPr>
      </w:pPr>
      <w:r w:rsidRPr="00106C84">
        <w:rPr>
          <w:i/>
          <w:szCs w:val="18"/>
        </w:rPr>
        <w:t xml:space="preserve">Tabel </w:t>
      </w:r>
      <w:r w:rsidRPr="00106C84" w:rsidR="00596D63">
        <w:rPr>
          <w:i/>
          <w:szCs w:val="18"/>
        </w:rPr>
        <w:t>3</w:t>
      </w:r>
      <w:r w:rsidR="00D24032">
        <w:rPr>
          <w:bCs/>
          <w:i/>
          <w:iCs/>
          <w:szCs w:val="18"/>
        </w:rPr>
        <w:t>:</w:t>
      </w:r>
      <w:r w:rsidRPr="00106C84">
        <w:rPr>
          <w:i/>
          <w:szCs w:val="18"/>
        </w:rPr>
        <w:t xml:space="preserve"> Externe macro-economische variabelen</w:t>
      </w:r>
      <w:bookmarkEnd w:id="11"/>
    </w:p>
    <w:tbl>
      <w:tblPr>
        <w:tblW w:w="9319" w:type="dxa"/>
        <w:tblCellMar>
          <w:left w:w="70" w:type="dxa"/>
          <w:right w:w="70" w:type="dxa"/>
        </w:tblCellMar>
        <w:tblLook w:val="04A0" w:firstRow="1" w:lastRow="0" w:firstColumn="1" w:lastColumn="0" w:noHBand="0" w:noVBand="1"/>
      </w:tblPr>
      <w:tblGrid>
        <w:gridCol w:w="2122"/>
        <w:gridCol w:w="1842"/>
        <w:gridCol w:w="765"/>
        <w:gridCol w:w="765"/>
        <w:gridCol w:w="765"/>
        <w:gridCol w:w="765"/>
        <w:gridCol w:w="765"/>
        <w:gridCol w:w="765"/>
        <w:gridCol w:w="765"/>
      </w:tblGrid>
      <w:tr w:rsidRPr="000B4D4D" w:rsidR="002F7CB3" w:rsidTr="00106C84" w14:paraId="6190C1B9" w14:textId="77777777">
        <w:trPr>
          <w:trHeight w:val="20"/>
        </w:trPr>
        <w:tc>
          <w:tcPr>
            <w:tcW w:w="2122" w:type="dxa"/>
            <w:tcBorders>
              <w:top w:val="single" w:color="auto" w:sz="4" w:space="0"/>
              <w:left w:val="single" w:color="auto" w:sz="4" w:space="0"/>
              <w:bottom w:val="single" w:color="auto" w:sz="4" w:space="0"/>
              <w:right w:val="single" w:color="auto" w:sz="4" w:space="0"/>
            </w:tcBorders>
            <w:shd w:val="clear" w:color="auto" w:fill="01689B"/>
            <w:vAlign w:val="center"/>
            <w:hideMark/>
          </w:tcPr>
          <w:p w:rsidRPr="000B4D4D" w:rsidR="00651DCA" w:rsidP="00A40340" w:rsidRDefault="00651DCA" w14:paraId="1E5DD25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1842"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105C1ED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765"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3918DF66"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2023</w:t>
            </w:r>
          </w:p>
        </w:tc>
        <w:tc>
          <w:tcPr>
            <w:tcW w:w="765"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0A3F211A"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2024</w:t>
            </w:r>
          </w:p>
        </w:tc>
        <w:tc>
          <w:tcPr>
            <w:tcW w:w="765"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32E59C24"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2025</w:t>
            </w:r>
          </w:p>
        </w:tc>
        <w:tc>
          <w:tcPr>
            <w:tcW w:w="765"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2DA3E5AC"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2026</w:t>
            </w:r>
          </w:p>
        </w:tc>
        <w:tc>
          <w:tcPr>
            <w:tcW w:w="765"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03AED41A"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2027</w:t>
            </w:r>
          </w:p>
        </w:tc>
        <w:tc>
          <w:tcPr>
            <w:tcW w:w="765"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650B8A0A"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2028</w:t>
            </w:r>
          </w:p>
        </w:tc>
        <w:tc>
          <w:tcPr>
            <w:tcW w:w="765" w:type="dxa"/>
            <w:tcBorders>
              <w:top w:val="single" w:color="auto" w:sz="4" w:space="0"/>
              <w:left w:val="nil"/>
              <w:bottom w:val="single" w:color="auto" w:sz="4" w:space="0"/>
              <w:right w:val="single" w:color="auto" w:sz="4" w:space="0"/>
            </w:tcBorders>
            <w:shd w:val="clear" w:color="auto" w:fill="01689B"/>
            <w:vAlign w:val="center"/>
            <w:hideMark/>
          </w:tcPr>
          <w:p w:rsidRPr="000B4D4D" w:rsidR="00651DCA" w:rsidP="00A40340" w:rsidRDefault="00651DCA" w14:paraId="06BB7C00" w14:textId="77777777">
            <w:pPr>
              <w:spacing w:after="0" w:line="240" w:lineRule="auto"/>
              <w:jc w:val="center"/>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2029</w:t>
            </w:r>
          </w:p>
        </w:tc>
      </w:tr>
      <w:tr w:rsidRPr="000B4D4D" w:rsidR="00651DCA" w:rsidTr="00106C84" w14:paraId="3B60905F"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0964B91E"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 Korte termijn rente</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81E5E61"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jaarlijks gemiddelde)</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017AF1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3,40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7A3F48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3,60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7E867E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9E6339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2,10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F556C8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B30BCD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2,40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C8BF53"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2,50</w:t>
            </w:r>
          </w:p>
        </w:tc>
      </w:tr>
      <w:tr w:rsidRPr="000B4D4D" w:rsidR="00651DCA" w:rsidTr="00106C84" w14:paraId="5F92F816"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028F4F5A"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 Lange termijn rente</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4EE3E41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jaarlijks gemiddelde)</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7B15F1C"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2,80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A9A741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2,60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65463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2,70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2428E7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2,70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E60E5D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2,70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65F3FAD"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2,70</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F1ABB5F"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2,70</w:t>
            </w:r>
          </w:p>
        </w:tc>
      </w:tr>
      <w:tr w:rsidRPr="000B4D4D" w:rsidR="00651DCA" w:rsidTr="00106C84" w14:paraId="7AA50FD7"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24445643"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 EUR/USD wisselkoers</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6CADFBE3"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(jaarlijks gemiddelde)</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9A5327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1,08</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18DFAF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1,08</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EE09EC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1,03</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A373C96"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1,03</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41C3011"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1,05</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86CD36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1,07</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1F68DA7"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1,1</w:t>
            </w:r>
          </w:p>
        </w:tc>
      </w:tr>
      <w:tr w:rsidRPr="000B4D4D" w:rsidR="00651DCA" w:rsidTr="00106C84" w14:paraId="4C3E3329"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295D9295"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4. NAC/EUR wisselkoers</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05CD3221"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(jaarlijks gemiddelde)</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C08C0D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6DB531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10A3A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462296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4DA82E5"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DDC736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D449CBE"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 </w:t>
            </w:r>
          </w:p>
        </w:tc>
      </w:tr>
      <w:tr w:rsidRPr="000B4D4D" w:rsidR="00651DCA" w:rsidTr="00106C84" w14:paraId="4F11153E"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093D9BC4"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5. Wereld reëel bbp (excl. EU)</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1B8D68F3"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(groei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AFFF55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3,8</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873D3E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3,8</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E9477A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3,6</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0BFAA8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3,5</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3FE8504"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3,3</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641C138"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3,3</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39E6838"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3,2</w:t>
            </w:r>
          </w:p>
        </w:tc>
      </w:tr>
      <w:tr w:rsidRPr="000B4D4D" w:rsidR="00651DCA" w:rsidTr="00106C84" w14:paraId="28894C64"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5D68D0C0"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 EU reëel bbp</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191D3ECD"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(groei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1FF0B4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0605D3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0,9</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BE5BAB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1,3</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0738B1E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1,2</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50D042F"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0,9</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F66488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0,9</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1F96AF7"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0,8</w:t>
            </w:r>
          </w:p>
        </w:tc>
      </w:tr>
      <w:tr w:rsidRPr="000B4D4D" w:rsidR="00651DCA" w:rsidTr="00106C84" w14:paraId="4C0A1226"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364456D2" w14:textId="77777777">
            <w:pPr>
              <w:spacing w:after="0" w:line="240" w:lineRule="auto"/>
              <w:rPr>
                <w:rFonts w:eastAsia="Times New Roman" w:cs="Calibri"/>
                <w:color w:val="000000"/>
                <w:kern w:val="0"/>
                <w:sz w:val="16"/>
                <w:szCs w:val="16"/>
                <w:lang w:val="fr-FR" w:eastAsia="nl-NL"/>
                <w14:ligatures w14:val="none"/>
              </w:rPr>
            </w:pPr>
            <w:r w:rsidRPr="000B4D4D">
              <w:rPr>
                <w:rFonts w:eastAsia="Times New Roman" w:cs="Calibri"/>
                <w:color w:val="000000"/>
                <w:kern w:val="0"/>
                <w:sz w:val="16"/>
                <w:szCs w:val="16"/>
                <w:lang w:val="fr-FR" w:eastAsia="nl-NL"/>
                <w14:ligatures w14:val="none"/>
              </w:rPr>
              <w:t>7. Wereld import volumes (excl. EU)</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76C37C7E"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val="fr-FR" w:eastAsia="nl-NL"/>
                <w14:ligatures w14:val="none"/>
              </w:rPr>
              <w:t>(groei %)</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48BF58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2,2</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857B46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3,2</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7B1BF1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3,5</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8FDD5F7"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3,6</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D062612"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3,4</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FEF4300"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3,3</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8EA3542"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3,1</w:t>
            </w:r>
          </w:p>
        </w:tc>
      </w:tr>
      <w:tr w:rsidRPr="000B4D4D" w:rsidR="00651DCA" w:rsidTr="00106C84" w14:paraId="50971BA9" w14:textId="77777777">
        <w:trPr>
          <w:trHeight w:val="20"/>
        </w:trPr>
        <w:tc>
          <w:tcPr>
            <w:tcW w:w="2122" w:type="dxa"/>
            <w:tcBorders>
              <w:top w:val="nil"/>
              <w:left w:val="single" w:color="auto" w:sz="4" w:space="0"/>
              <w:bottom w:val="single" w:color="auto" w:sz="4" w:space="0"/>
              <w:right w:val="single" w:color="auto" w:sz="4" w:space="0"/>
            </w:tcBorders>
            <w:shd w:val="clear" w:color="auto" w:fill="DDEFF8"/>
            <w:vAlign w:val="center"/>
            <w:hideMark/>
          </w:tcPr>
          <w:p w:rsidRPr="000B4D4D" w:rsidR="00651DCA" w:rsidP="00A40340" w:rsidRDefault="00651DCA" w14:paraId="3967084F"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val="fr-FR" w:eastAsia="nl-NL"/>
                <w14:ligatures w14:val="none"/>
              </w:rPr>
              <w:t xml:space="preserve">8. Olieprijzen </w:t>
            </w:r>
          </w:p>
        </w:tc>
        <w:tc>
          <w:tcPr>
            <w:tcW w:w="1842" w:type="dxa"/>
            <w:tcBorders>
              <w:top w:val="nil"/>
              <w:left w:val="nil"/>
              <w:bottom w:val="single" w:color="auto" w:sz="4" w:space="0"/>
              <w:right w:val="single" w:color="auto" w:sz="4" w:space="0"/>
            </w:tcBorders>
            <w:shd w:val="clear" w:color="auto" w:fill="DDEFF8"/>
            <w:vAlign w:val="center"/>
            <w:hideMark/>
          </w:tcPr>
          <w:p w:rsidRPr="000B4D4D" w:rsidR="00651DCA" w:rsidP="00A40340" w:rsidRDefault="00651DCA" w14:paraId="40B683A2"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val="fr-FR" w:eastAsia="nl-NL"/>
                <w14:ligatures w14:val="none"/>
              </w:rPr>
              <w:t>(Brent, USD/vat)</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34E4BBE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80,5</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4608CBBB"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78,6</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5A7C9DB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73,6</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79BBA569"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69,9</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2EC599DE"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68,1</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6DACA2B3" w14:textId="77777777">
            <w:pPr>
              <w:spacing w:after="0" w:line="240" w:lineRule="auto"/>
              <w:jc w:val="center"/>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67,2</w:t>
            </w:r>
          </w:p>
        </w:tc>
        <w:tc>
          <w:tcPr>
            <w:tcW w:w="765" w:type="dxa"/>
            <w:tcBorders>
              <w:top w:val="nil"/>
              <w:left w:val="nil"/>
              <w:bottom w:val="single" w:color="auto" w:sz="4" w:space="0"/>
              <w:right w:val="single" w:color="auto" w:sz="4" w:space="0"/>
            </w:tcBorders>
            <w:shd w:val="clear" w:color="auto" w:fill="auto"/>
            <w:noWrap/>
            <w:vAlign w:val="center"/>
            <w:hideMark/>
          </w:tcPr>
          <w:p w:rsidRPr="000B4D4D" w:rsidR="00651DCA" w:rsidP="00A40340" w:rsidRDefault="00651DCA" w14:paraId="12EAB10E" w14:textId="77777777">
            <w:pPr>
              <w:spacing w:after="0" w:line="240" w:lineRule="auto"/>
              <w:jc w:val="center"/>
              <w:rPr>
                <w:rFonts w:eastAsia="Times New Roman" w:cs="Calibri"/>
                <w:kern w:val="0"/>
                <w:sz w:val="16"/>
                <w:szCs w:val="16"/>
                <w:lang w:eastAsia="nl-NL"/>
                <w14:ligatures w14:val="none"/>
              </w:rPr>
            </w:pPr>
            <w:r w:rsidRPr="000B4D4D">
              <w:rPr>
                <w:rFonts w:eastAsia="Times New Roman" w:cs="Calibri"/>
                <w:kern w:val="0"/>
                <w:sz w:val="16"/>
                <w:szCs w:val="16"/>
                <w:lang w:eastAsia="nl-NL"/>
                <w14:ligatures w14:val="none"/>
              </w:rPr>
              <w:t>66,6</w:t>
            </w:r>
          </w:p>
        </w:tc>
      </w:tr>
    </w:tbl>
    <w:p w:rsidRPr="00E90504" w:rsidR="00651DCA" w:rsidP="00651DCA" w:rsidRDefault="00651DCA" w14:paraId="500CF75D" w14:textId="77777777">
      <w:pPr>
        <w:rPr>
          <w:rFonts w:eastAsia="Verdana" w:cs="Verdana"/>
          <w:sz w:val="16"/>
          <w:szCs w:val="16"/>
        </w:rPr>
      </w:pPr>
    </w:p>
    <w:p w:rsidRPr="00E90504" w:rsidR="00651DCA" w:rsidP="00651DCA" w:rsidRDefault="00651DCA" w14:paraId="1C7A83E1" w14:textId="77777777">
      <w:pPr>
        <w:rPr>
          <w:rFonts w:eastAsia="Verdana" w:cs="Verdana"/>
          <w:sz w:val="16"/>
          <w:szCs w:val="16"/>
        </w:rPr>
      </w:pPr>
    </w:p>
    <w:p w:rsidRPr="00E90504" w:rsidR="00651DCA" w:rsidRDefault="00651DCA" w14:paraId="5601223A" w14:textId="013C6B93">
      <w:pPr>
        <w:rPr>
          <w:rFonts w:eastAsia="Verdana" w:cs="Verdana"/>
          <w:sz w:val="16"/>
          <w:szCs w:val="16"/>
        </w:rPr>
      </w:pPr>
      <w:r w:rsidRPr="00E90504">
        <w:rPr>
          <w:rFonts w:eastAsia="Verdana" w:cs="Verdana"/>
          <w:sz w:val="16"/>
          <w:szCs w:val="16"/>
        </w:rPr>
        <w:br w:type="page"/>
      </w:r>
    </w:p>
    <w:p w:rsidRPr="00E90504" w:rsidR="00D13A77" w:rsidP="00D13A77" w:rsidRDefault="00D13A77" w14:paraId="739C9FFE" w14:textId="294119EA">
      <w:pPr>
        <w:pStyle w:val="Kop1"/>
        <w:rPr>
          <w:color w:val="auto"/>
        </w:rPr>
      </w:pPr>
      <w:bookmarkStart w:name="_Toc196830274" w:id="12"/>
      <w:r w:rsidRPr="00E90504">
        <w:lastRenderedPageBreak/>
        <w:t xml:space="preserve">Hoofdstuk 4: </w:t>
      </w:r>
      <w:r w:rsidRPr="00E90504">
        <w:br/>
      </w:r>
      <w:r w:rsidRPr="00E90504">
        <w:rPr>
          <w:color w:val="auto"/>
        </w:rPr>
        <w:t>Budgettaire ontwikkelingen</w:t>
      </w:r>
      <w:bookmarkEnd w:id="12"/>
      <w:r w:rsidRPr="00E90504">
        <w:rPr>
          <w:color w:val="auto"/>
        </w:rPr>
        <w:t xml:space="preserve">  </w:t>
      </w:r>
    </w:p>
    <w:p w:rsidRPr="000B4D4D" w:rsidR="00D13A77" w:rsidP="00D13A77" w:rsidRDefault="00A63CF0" w14:paraId="102C4808" w14:textId="0E89BB9F">
      <w:pPr>
        <w:rPr>
          <w:rFonts w:eastAsia="Verdana" w:cs="Verdana"/>
          <w:i/>
          <w:szCs w:val="18"/>
        </w:rPr>
      </w:pPr>
      <w:r w:rsidRPr="000B4D4D">
        <w:rPr>
          <w:rFonts w:eastAsia="Verdana" w:cs="Verdana"/>
          <w:i/>
          <w:szCs w:val="18"/>
        </w:rPr>
        <w:t xml:space="preserve">In dit hoofdstuk worden het EMU-saldo en de EMU-schuld </w:t>
      </w:r>
      <w:r w:rsidRPr="000B4D4D" w:rsidR="00F67FC5">
        <w:rPr>
          <w:rFonts w:eastAsia="Verdana" w:cs="Verdana"/>
          <w:i/>
          <w:szCs w:val="18"/>
        </w:rPr>
        <w:t xml:space="preserve">voor 2024 </w:t>
      </w:r>
      <w:r w:rsidRPr="000B4D4D">
        <w:rPr>
          <w:rFonts w:eastAsia="Verdana" w:cs="Verdana"/>
          <w:i/>
          <w:szCs w:val="18"/>
        </w:rPr>
        <w:t>gepresenteerd</w:t>
      </w:r>
      <w:r w:rsidRPr="000B4D4D" w:rsidR="00F67FC5">
        <w:rPr>
          <w:rFonts w:eastAsia="Verdana" w:cs="Verdana"/>
          <w:i/>
          <w:szCs w:val="18"/>
        </w:rPr>
        <w:t xml:space="preserve"> en vergeleken met het </w:t>
      </w:r>
      <w:r w:rsidRPr="000B4D4D" w:rsidR="00D06F47">
        <w:rPr>
          <w:rFonts w:eastAsia="Verdana" w:cs="Verdana"/>
          <w:i/>
          <w:szCs w:val="18"/>
        </w:rPr>
        <w:t>budgettair-structureel plan</w:t>
      </w:r>
      <w:r w:rsidRPr="000B4D4D">
        <w:rPr>
          <w:rFonts w:eastAsia="Verdana" w:cs="Verdana"/>
          <w:i/>
          <w:szCs w:val="18"/>
        </w:rPr>
        <w:t>.</w:t>
      </w:r>
      <w:r w:rsidRPr="000B4D4D" w:rsidR="00F67FC5">
        <w:rPr>
          <w:rFonts w:eastAsia="Verdana" w:cs="Verdana"/>
          <w:i/>
          <w:szCs w:val="18"/>
        </w:rPr>
        <w:t xml:space="preserve"> Ook </w:t>
      </w:r>
      <w:r w:rsidRPr="000B4D4D" w:rsidR="00D06F47">
        <w:rPr>
          <w:rFonts w:eastAsia="Verdana" w:cs="Verdana"/>
          <w:i/>
          <w:szCs w:val="18"/>
        </w:rPr>
        <w:t>geeft het hoofdstuk</w:t>
      </w:r>
      <w:r w:rsidRPr="000B4D4D" w:rsidR="00F67FC5">
        <w:rPr>
          <w:rFonts w:eastAsia="Verdana" w:cs="Verdana"/>
          <w:i/>
          <w:szCs w:val="18"/>
        </w:rPr>
        <w:t xml:space="preserve"> een update van de </w:t>
      </w:r>
      <w:r w:rsidRPr="000B4D4D" w:rsidR="00DB3D46">
        <w:rPr>
          <w:rFonts w:eastAsia="Verdana" w:cs="Verdana"/>
          <w:i/>
          <w:szCs w:val="18"/>
        </w:rPr>
        <w:t xml:space="preserve">discretionaire </w:t>
      </w:r>
      <w:r w:rsidRPr="000B4D4D" w:rsidR="00F67FC5">
        <w:rPr>
          <w:rFonts w:eastAsia="Verdana" w:cs="Verdana"/>
          <w:i/>
          <w:szCs w:val="18"/>
        </w:rPr>
        <w:t>inkomstenmaatregelen.</w:t>
      </w:r>
    </w:p>
    <w:p w:rsidRPr="000B4D4D" w:rsidR="00F67FC5" w:rsidP="00F67FC5" w:rsidRDefault="00F67FC5" w14:paraId="4DFFF10F" w14:textId="77777777">
      <w:pPr>
        <w:rPr>
          <w:b/>
          <w:szCs w:val="18"/>
        </w:rPr>
      </w:pPr>
      <w:r w:rsidRPr="000B4D4D">
        <w:rPr>
          <w:b/>
          <w:szCs w:val="18"/>
        </w:rPr>
        <w:t xml:space="preserve">4.1 Ontwikkeling overheidsfinanciën </w:t>
      </w:r>
    </w:p>
    <w:p w:rsidRPr="000B4D4D" w:rsidR="00F67FC5" w:rsidP="00F67FC5" w:rsidRDefault="00F67FC5" w14:paraId="6ECF9FD8" w14:textId="394A98A6">
      <w:pPr>
        <w:rPr>
          <w:i/>
          <w:szCs w:val="18"/>
        </w:rPr>
      </w:pPr>
      <w:r w:rsidRPr="000B4D4D">
        <w:rPr>
          <w:i/>
          <w:szCs w:val="18"/>
        </w:rPr>
        <w:t>D</w:t>
      </w:r>
      <w:r w:rsidRPr="000B4D4D" w:rsidR="008472E0">
        <w:rPr>
          <w:i/>
          <w:szCs w:val="18"/>
        </w:rPr>
        <w:t>eze paragraaf</w:t>
      </w:r>
      <w:r w:rsidRPr="000B4D4D">
        <w:rPr>
          <w:i/>
          <w:szCs w:val="18"/>
        </w:rPr>
        <w:t xml:space="preserve"> geeft een overzicht van het overheidssaldo en de overheidsschuld gebaseerd op de realisaties voor 2024 en de meest recente ramingen voor 2025 tot met 2028. De realisatiecijfers voor 2024 zijn afkomstig van het CBS en worden vergeleken met de eerdere ramingen uit het </w:t>
      </w:r>
      <w:r w:rsidRPr="000B4D4D" w:rsidR="00D06F47">
        <w:rPr>
          <w:i/>
          <w:szCs w:val="18"/>
        </w:rPr>
        <w:t>budgettair-structureel plan</w:t>
      </w:r>
      <w:r w:rsidRPr="000B4D4D">
        <w:rPr>
          <w:i/>
          <w:szCs w:val="18"/>
        </w:rPr>
        <w:t xml:space="preserve">. Daarnaast wordt vooruitgekeken naar de komende jaren, waarbij gebruik wordt gemaakt van de ramingen van het CPB. </w:t>
      </w:r>
      <w:r w:rsidR="00AF4077">
        <w:rPr>
          <w:i/>
          <w:szCs w:val="18"/>
        </w:rPr>
        <w:t>Verder</w:t>
      </w:r>
      <w:r w:rsidRPr="000B4D4D">
        <w:rPr>
          <w:i/>
          <w:szCs w:val="18"/>
        </w:rPr>
        <w:t xml:space="preserve"> wordt kort toegelicht waarom de ramingen van de Voorjaarsnota en </w:t>
      </w:r>
      <w:r w:rsidRPr="000B4D4D" w:rsidR="00D06F47">
        <w:rPr>
          <w:i/>
          <w:szCs w:val="18"/>
        </w:rPr>
        <w:t>de Jaarlijkse Voortgangsrapportage</w:t>
      </w:r>
      <w:r w:rsidRPr="000B4D4D">
        <w:rPr>
          <w:i/>
          <w:szCs w:val="18"/>
        </w:rPr>
        <w:t xml:space="preserve"> verschillen.</w:t>
      </w:r>
      <w:r w:rsidR="00AF4077">
        <w:rPr>
          <w:i/>
          <w:szCs w:val="18"/>
        </w:rPr>
        <w:t xml:space="preserve"> Tot slot geeft tabel </w:t>
      </w:r>
      <w:r w:rsidR="00250A96">
        <w:rPr>
          <w:i/>
          <w:szCs w:val="18"/>
        </w:rPr>
        <w:t>4.2</w:t>
      </w:r>
      <w:r w:rsidR="00AF4077">
        <w:rPr>
          <w:i/>
          <w:szCs w:val="18"/>
        </w:rPr>
        <w:t xml:space="preserve"> een uitgebreid overzicht van de overheidsfinanciën.</w:t>
      </w:r>
    </w:p>
    <w:p w:rsidRPr="000B4D4D" w:rsidR="00F67FC5" w:rsidP="00F67FC5" w:rsidRDefault="00F67FC5" w14:paraId="2E3401AE" w14:textId="77777777">
      <w:pPr>
        <w:rPr>
          <w:b/>
          <w:szCs w:val="18"/>
          <w:u w:val="single"/>
        </w:rPr>
      </w:pPr>
      <w:r w:rsidRPr="000B4D4D">
        <w:rPr>
          <w:b/>
          <w:szCs w:val="18"/>
          <w:u w:val="single"/>
        </w:rPr>
        <w:t>Overheidssaldo</w:t>
      </w:r>
    </w:p>
    <w:p w:rsidRPr="000B4D4D" w:rsidR="00F67FC5" w:rsidP="00F67FC5" w:rsidRDefault="00F67FC5" w14:paraId="1C312C62" w14:textId="2E8FF302">
      <w:pPr>
        <w:rPr>
          <w:szCs w:val="18"/>
        </w:rPr>
      </w:pPr>
      <w:r w:rsidRPr="000B4D4D">
        <w:rPr>
          <w:b/>
          <w:szCs w:val="18"/>
        </w:rPr>
        <w:t xml:space="preserve">Het overheidstekort in 2024 bedraagt </w:t>
      </w:r>
      <w:r w:rsidR="003D5986">
        <w:rPr>
          <w:b/>
          <w:szCs w:val="18"/>
        </w:rPr>
        <w:t>0,9</w:t>
      </w:r>
      <w:r w:rsidRPr="000B4D4D">
        <w:rPr>
          <w:b/>
          <w:szCs w:val="18"/>
        </w:rPr>
        <w:t xml:space="preserve">% van het bbp, en is hiermee gunstiger dan de 1,8% bbp die geraamd werd in het </w:t>
      </w:r>
      <w:r w:rsidRPr="000B4D4D" w:rsidR="00D06F47">
        <w:rPr>
          <w:b/>
          <w:szCs w:val="18"/>
        </w:rPr>
        <w:t>budgettair-structureel plan</w:t>
      </w:r>
      <w:r w:rsidRPr="000B4D4D">
        <w:rPr>
          <w:b/>
          <w:szCs w:val="18"/>
        </w:rPr>
        <w:t xml:space="preserve">. </w:t>
      </w:r>
      <w:r w:rsidRPr="000B4D4D">
        <w:rPr>
          <w:szCs w:val="18"/>
        </w:rPr>
        <w:t xml:space="preserve">Dit verschil is voornamelijk te verklaren doordat het kabinet in </w:t>
      </w:r>
      <w:r w:rsidRPr="000B4D4D" w:rsidR="00DB3D46">
        <w:rPr>
          <w:szCs w:val="18"/>
        </w:rPr>
        <w:t xml:space="preserve">totaal </w:t>
      </w:r>
      <w:r w:rsidRPr="000B4D4D">
        <w:rPr>
          <w:szCs w:val="18"/>
        </w:rPr>
        <w:t xml:space="preserve">in 2024 €18,6 miljard minder uitgaf dan begroot. De lagere uitgaven zijn grotendeels toe te schrijven aan uitgestelde uitgaven bij departementen en decentrale overheden. Rekening houdend met het Nederlandse </w:t>
      </w:r>
      <w:r w:rsidRPr="000B4D4D" w:rsidR="00076C35">
        <w:rPr>
          <w:szCs w:val="18"/>
        </w:rPr>
        <w:t>begrotings</w:t>
      </w:r>
      <w:r w:rsidRPr="000B4D4D">
        <w:rPr>
          <w:szCs w:val="18"/>
        </w:rPr>
        <w:t>proces worden deze verschillen gedetailleerd toegelicht in het Financieel Jaarverslag van het Rijk 2024, dat wordt gepubliceerd op 21 mei 2025.</w:t>
      </w:r>
    </w:p>
    <w:p w:rsidRPr="000B4D4D" w:rsidR="00F67FC5" w:rsidP="00F67FC5" w:rsidRDefault="00F67FC5" w14:paraId="2580599C" w14:textId="04524CDB">
      <w:pPr>
        <w:rPr>
          <w:szCs w:val="18"/>
        </w:rPr>
      </w:pPr>
      <w:r w:rsidRPr="000B4D4D">
        <w:rPr>
          <w:b/>
          <w:szCs w:val="18"/>
        </w:rPr>
        <w:t>Tot en met 2028 blijft het EMU-saldo naar verwachting binnen de Europese referentiewaarde van -3% van het bbp.</w:t>
      </w:r>
      <w:r w:rsidRPr="000B4D4D">
        <w:rPr>
          <w:szCs w:val="18"/>
        </w:rPr>
        <w:t xml:space="preserve"> Het overheidstekort valt op de middellange termijn </w:t>
      </w:r>
      <w:r w:rsidRPr="000B4D4D" w:rsidR="00337F83">
        <w:rPr>
          <w:szCs w:val="18"/>
        </w:rPr>
        <w:t xml:space="preserve">positiever </w:t>
      </w:r>
      <w:r w:rsidRPr="000B4D4D">
        <w:rPr>
          <w:szCs w:val="18"/>
        </w:rPr>
        <w:t xml:space="preserve">uit dan eerder geraamd in het </w:t>
      </w:r>
      <w:r w:rsidRPr="000B4D4D" w:rsidR="00D06F47">
        <w:rPr>
          <w:szCs w:val="18"/>
        </w:rPr>
        <w:t>budgettair-structureel plan</w:t>
      </w:r>
      <w:r w:rsidRPr="000B4D4D">
        <w:rPr>
          <w:szCs w:val="18"/>
        </w:rPr>
        <w:t xml:space="preserve">, voornamelijk door een hogere werkgelegenheid, maar ook </w:t>
      </w:r>
      <w:r w:rsidRPr="000B4D4D" w:rsidR="00D06F47">
        <w:rPr>
          <w:szCs w:val="18"/>
        </w:rPr>
        <w:t xml:space="preserve">de </w:t>
      </w:r>
      <w:r w:rsidRPr="000B4D4D">
        <w:rPr>
          <w:szCs w:val="18"/>
        </w:rPr>
        <w:t>door het CPB verwachte aanhoudende onderuitputting is hier een oorzaak van.</w:t>
      </w:r>
      <w:r w:rsidRPr="000B4D4D" w:rsidR="003542CE">
        <w:rPr>
          <w:szCs w:val="18"/>
        </w:rPr>
        <w:t xml:space="preserve"> De participatiegraad van zowel jongeren als mensen rond de pensioenleeftijd stijgt meer dan verwacht en de structurele werkloosheid wordt lager ingeschat dan eerder. De toename van werkgelegenheid leidt tot hogere overheidsinkomsten, terwijl de werkloosheidsuitgaven dalen. </w:t>
      </w:r>
      <w:r w:rsidRPr="000B4D4D">
        <w:rPr>
          <w:szCs w:val="18"/>
        </w:rPr>
        <w:t xml:space="preserve">Tegelijkertijd stijgen de overheidsuitgaven door demografische ontwikkelingen, zoals vergrijzing, wat leidt tot hogere kosten voor zorg en sociale zekerheid. Ook nemen de rentelasten toe, omdat leningen met lage rentepercentages aflopen en nieuwe financiering tegen hogere tarieven plaatsvindt. In 2026 leiden eenmalige uitgaven voor de overgang van </w:t>
      </w:r>
      <w:r w:rsidRPr="000B4D4D" w:rsidR="00513C4E">
        <w:rPr>
          <w:szCs w:val="18"/>
        </w:rPr>
        <w:t xml:space="preserve">via de </w:t>
      </w:r>
      <w:r w:rsidRPr="000B4D4D">
        <w:rPr>
          <w:szCs w:val="18"/>
        </w:rPr>
        <w:t xml:space="preserve">begroting gefinancierde militaire pensioenen naar een kapitaaldekkingsstelsel tot een incidentele verslechtering van het saldo met 0,7% bbp. </w:t>
      </w:r>
      <w:r w:rsidRPr="000B4D4D" w:rsidR="005B55C3">
        <w:rPr>
          <w:szCs w:val="18"/>
        </w:rPr>
        <w:t xml:space="preserve">Zie figuur </w:t>
      </w:r>
      <w:r w:rsidRPr="000B4D4D" w:rsidR="00D2195D">
        <w:rPr>
          <w:szCs w:val="18"/>
        </w:rPr>
        <w:t>2</w:t>
      </w:r>
      <w:r w:rsidRPr="000B4D4D" w:rsidR="005B55C3">
        <w:rPr>
          <w:szCs w:val="18"/>
        </w:rPr>
        <w:t xml:space="preserve"> voor het </w:t>
      </w:r>
      <w:r w:rsidR="00775F4C">
        <w:rPr>
          <w:szCs w:val="18"/>
        </w:rPr>
        <w:t>geraamde</w:t>
      </w:r>
      <w:r w:rsidRPr="000B4D4D" w:rsidR="005B55C3">
        <w:rPr>
          <w:szCs w:val="18"/>
        </w:rPr>
        <w:t xml:space="preserve"> </w:t>
      </w:r>
      <w:r w:rsidRPr="000B4D4D" w:rsidR="00076C35">
        <w:rPr>
          <w:szCs w:val="18"/>
        </w:rPr>
        <w:t xml:space="preserve">saldo </w:t>
      </w:r>
      <w:r w:rsidRPr="000B4D4D" w:rsidR="005B55C3">
        <w:rPr>
          <w:szCs w:val="18"/>
        </w:rPr>
        <w:t>per jaar.</w:t>
      </w:r>
    </w:p>
    <w:p w:rsidR="00CE60DF" w:rsidP="00F67FC5" w:rsidRDefault="00F67FC5" w14:paraId="5935F705" w14:textId="445CE8D4">
      <w:pPr>
        <w:rPr>
          <w:i/>
          <w:szCs w:val="18"/>
        </w:rPr>
      </w:pPr>
      <w:r w:rsidRPr="00CD05BC">
        <w:rPr>
          <w:i/>
          <w:szCs w:val="18"/>
        </w:rPr>
        <w:t xml:space="preserve">Figuur </w:t>
      </w:r>
      <w:r w:rsidRPr="00CD05BC" w:rsidR="00D2195D">
        <w:rPr>
          <w:i/>
          <w:szCs w:val="18"/>
        </w:rPr>
        <w:t>2</w:t>
      </w:r>
      <w:r w:rsidR="00B44514">
        <w:rPr>
          <w:i/>
          <w:szCs w:val="18"/>
        </w:rPr>
        <w:t>.</w:t>
      </w:r>
      <w:r w:rsidRPr="00CD05BC">
        <w:rPr>
          <w:i/>
          <w:szCs w:val="18"/>
        </w:rPr>
        <w:t xml:space="preserve"> </w:t>
      </w:r>
      <w:r w:rsidR="00B44514">
        <w:rPr>
          <w:i/>
          <w:szCs w:val="18"/>
        </w:rPr>
        <w:t>R</w:t>
      </w:r>
      <w:r w:rsidRPr="00CD05BC">
        <w:rPr>
          <w:i/>
          <w:szCs w:val="18"/>
        </w:rPr>
        <w:t>ealisatie en raming EMU-saldo (% bbp)</w:t>
      </w:r>
    </w:p>
    <w:p w:rsidRPr="000B4D4D" w:rsidR="00CE60DF" w:rsidP="00F67FC5" w:rsidRDefault="00CE60DF" w14:paraId="770E25D9" w14:textId="07E4B258">
      <w:pPr>
        <w:rPr>
          <w:i/>
          <w:szCs w:val="18"/>
        </w:rPr>
      </w:pPr>
      <w:r>
        <w:rPr>
          <w:noProof/>
        </w:rPr>
        <w:drawing>
          <wp:inline distT="0" distB="0" distL="0" distR="0" wp14:anchorId="6B9A899F" wp14:editId="04014D3F">
            <wp:extent cx="3875964" cy="2133600"/>
            <wp:effectExtent l="0" t="0" r="0" b="0"/>
            <wp:docPr id="2134517576" name="Grafiek 1">
              <a:extLst xmlns:a="http://schemas.openxmlformats.org/drawingml/2006/main">
                <a:ext uri="{FF2B5EF4-FFF2-40B4-BE49-F238E27FC236}">
                  <a16:creationId xmlns:a16="http://schemas.microsoft.com/office/drawing/2014/main" id="{486FF529-AAA2-9741-6E10-C41BD040B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0599" w:rsidP="00F67FC5" w:rsidRDefault="006A0599" w14:paraId="218D61C1" w14:textId="77777777">
      <w:pPr>
        <w:rPr>
          <w:b/>
          <w:szCs w:val="18"/>
          <w:u w:val="single"/>
        </w:rPr>
      </w:pPr>
    </w:p>
    <w:p w:rsidRPr="000B4D4D" w:rsidR="00F67FC5" w:rsidP="00F67FC5" w:rsidRDefault="00F67FC5" w14:paraId="38AFD831" w14:textId="356FEABF">
      <w:pPr>
        <w:rPr>
          <w:b/>
          <w:szCs w:val="18"/>
          <w:u w:val="single"/>
        </w:rPr>
      </w:pPr>
      <w:r w:rsidRPr="000B4D4D">
        <w:rPr>
          <w:b/>
          <w:szCs w:val="18"/>
          <w:u w:val="single"/>
        </w:rPr>
        <w:lastRenderedPageBreak/>
        <w:t>Overheidsschuld</w:t>
      </w:r>
    </w:p>
    <w:p w:rsidRPr="000B4D4D" w:rsidR="00E01E18" w:rsidP="00F67FC5" w:rsidRDefault="00F67FC5" w14:paraId="5C8DFFEF" w14:textId="5F7A924F">
      <w:pPr>
        <w:rPr>
          <w:szCs w:val="18"/>
        </w:rPr>
      </w:pPr>
      <w:r w:rsidRPr="000B4D4D">
        <w:rPr>
          <w:b/>
          <w:szCs w:val="18"/>
        </w:rPr>
        <w:t xml:space="preserve">De EMU-schuld bedroeg in 2024 </w:t>
      </w:r>
      <w:r w:rsidRPr="000B4D4D" w:rsidR="00AF029E">
        <w:rPr>
          <w:b/>
          <w:szCs w:val="18"/>
        </w:rPr>
        <w:t>491,6</w:t>
      </w:r>
      <w:r w:rsidRPr="000B4D4D">
        <w:rPr>
          <w:b/>
          <w:szCs w:val="18"/>
        </w:rPr>
        <w:t xml:space="preserve"> miljard euro, ofwel </w:t>
      </w:r>
      <w:r w:rsidRPr="000B4D4D" w:rsidR="00C762DB">
        <w:rPr>
          <w:b/>
          <w:szCs w:val="18"/>
        </w:rPr>
        <w:t>43,</w:t>
      </w:r>
      <w:r w:rsidR="003D5986">
        <w:rPr>
          <w:b/>
          <w:szCs w:val="18"/>
        </w:rPr>
        <w:t>3</w:t>
      </w:r>
      <w:r w:rsidRPr="000B4D4D">
        <w:rPr>
          <w:b/>
          <w:szCs w:val="18"/>
        </w:rPr>
        <w:t>% van het bbp, en blijft daarmee ruim onder de Europese referentiewaarde van 60%.</w:t>
      </w:r>
      <w:r w:rsidRPr="000B4D4D">
        <w:rPr>
          <w:szCs w:val="18"/>
        </w:rPr>
        <w:t xml:space="preserve"> Dit is bovendien lager dan de 45% van het bbp dat in het </w:t>
      </w:r>
      <w:r w:rsidRPr="000B4D4D" w:rsidR="00D06F47">
        <w:rPr>
          <w:szCs w:val="18"/>
        </w:rPr>
        <w:t xml:space="preserve">budgettair-structureel plan </w:t>
      </w:r>
      <w:r w:rsidRPr="000B4D4D">
        <w:rPr>
          <w:szCs w:val="18"/>
        </w:rPr>
        <w:t xml:space="preserve">voor 2024 werd geraamd. </w:t>
      </w:r>
      <w:r w:rsidRPr="000B4D4D" w:rsidR="00E01E18">
        <w:rPr>
          <w:szCs w:val="18"/>
        </w:rPr>
        <w:t>De lagere schuldquote is het gevolg van een beter dan verwacht EMU-saldo, evenals een hogere economische groei en inflatie, waardoor het nominale bbp steeg en de staatsschuld als percentage van het bbp daalde. Ook in 2025 blijft de schuld hierdoor lager dan eerder geraamd.</w:t>
      </w:r>
    </w:p>
    <w:p w:rsidRPr="000B4D4D" w:rsidR="00337F83" w:rsidP="00F67FC5" w:rsidRDefault="00F67FC5" w14:paraId="131C38CB" w14:textId="7C4BD4C3">
      <w:pPr>
        <w:rPr>
          <w:i/>
          <w:szCs w:val="18"/>
        </w:rPr>
      </w:pPr>
      <w:r w:rsidRPr="000B4D4D">
        <w:rPr>
          <w:szCs w:val="18"/>
        </w:rPr>
        <w:t xml:space="preserve">In 2028 raamt het CPB de schuld op </w:t>
      </w:r>
      <w:r w:rsidRPr="00CD05BC" w:rsidR="00337F83">
        <w:rPr>
          <w:szCs w:val="18"/>
        </w:rPr>
        <w:t>49,2</w:t>
      </w:r>
      <w:r w:rsidRPr="000B4D4D">
        <w:rPr>
          <w:szCs w:val="18"/>
        </w:rPr>
        <w:t xml:space="preserve">%, wat </w:t>
      </w:r>
      <w:r w:rsidRPr="000B4D4D" w:rsidR="006D54A0">
        <w:rPr>
          <w:szCs w:val="18"/>
        </w:rPr>
        <w:t xml:space="preserve">net als in het budgettair-structureel plan </w:t>
      </w:r>
      <w:r w:rsidRPr="000B4D4D">
        <w:rPr>
          <w:szCs w:val="18"/>
        </w:rPr>
        <w:t xml:space="preserve">onder de Europese </w:t>
      </w:r>
      <w:r w:rsidRPr="000B4D4D" w:rsidR="00076C35">
        <w:rPr>
          <w:szCs w:val="18"/>
        </w:rPr>
        <w:t>referentiewaarde</w:t>
      </w:r>
      <w:r w:rsidRPr="000B4D4D">
        <w:rPr>
          <w:szCs w:val="18"/>
        </w:rPr>
        <w:t xml:space="preserve"> van 60% blijft. De schuld valt daarmee </w:t>
      </w:r>
      <w:r w:rsidRPr="00CD05BC" w:rsidR="00337F83">
        <w:rPr>
          <w:szCs w:val="18"/>
        </w:rPr>
        <w:t>1,9</w:t>
      </w:r>
      <w:r w:rsidR="003D5986">
        <w:rPr>
          <w:szCs w:val="18"/>
        </w:rPr>
        <w:t xml:space="preserve">%-punt </w:t>
      </w:r>
      <w:r w:rsidRPr="000B4D4D">
        <w:rPr>
          <w:szCs w:val="18"/>
        </w:rPr>
        <w:t xml:space="preserve">lager uit dan in het </w:t>
      </w:r>
      <w:r w:rsidRPr="000B4D4D" w:rsidR="00D06F47">
        <w:rPr>
          <w:szCs w:val="18"/>
        </w:rPr>
        <w:t>budgettair-structureel plan opgenomen</w:t>
      </w:r>
      <w:r w:rsidRPr="000B4D4D">
        <w:rPr>
          <w:szCs w:val="18"/>
        </w:rPr>
        <w:t xml:space="preserve">. Dit komt zowel door lagere tekorten als door een hogere verwachtte bbp groei. </w:t>
      </w:r>
    </w:p>
    <w:p w:rsidRPr="00CD05BC" w:rsidR="00F67FC5" w:rsidP="00F67FC5" w:rsidRDefault="00F67FC5" w14:paraId="6216C021" w14:textId="41B59E74">
      <w:pPr>
        <w:rPr>
          <w:i/>
          <w:szCs w:val="18"/>
        </w:rPr>
      </w:pPr>
      <w:r w:rsidRPr="00CD05BC">
        <w:rPr>
          <w:i/>
          <w:szCs w:val="18"/>
        </w:rPr>
        <w:t xml:space="preserve">Figuur </w:t>
      </w:r>
      <w:r w:rsidR="00B44514">
        <w:rPr>
          <w:i/>
          <w:szCs w:val="18"/>
        </w:rPr>
        <w:t>3.</w:t>
      </w:r>
      <w:r w:rsidRPr="00CD05BC">
        <w:rPr>
          <w:i/>
          <w:szCs w:val="18"/>
        </w:rPr>
        <w:t xml:space="preserve"> </w:t>
      </w:r>
      <w:r w:rsidRPr="00CD05BC" w:rsidR="000C0F94">
        <w:rPr>
          <w:i/>
          <w:szCs w:val="18"/>
        </w:rPr>
        <w:t>R</w:t>
      </w:r>
      <w:r w:rsidRPr="00CD05BC">
        <w:rPr>
          <w:i/>
          <w:szCs w:val="18"/>
        </w:rPr>
        <w:t>ealisatie en raming EMU-schuld (% bbp)</w:t>
      </w:r>
      <w:r w:rsidRPr="00CD05BC" w:rsidR="000C0F94">
        <w:rPr>
          <w:i/>
          <w:szCs w:val="18"/>
        </w:rPr>
        <w:t xml:space="preserve"> </w:t>
      </w:r>
    </w:p>
    <w:p w:rsidRPr="000B4D4D" w:rsidR="00BB3865" w:rsidP="00F67FC5" w:rsidRDefault="00782B21" w14:paraId="2895532E" w14:textId="3E0CE48C">
      <w:pPr>
        <w:rPr>
          <w:i/>
          <w:szCs w:val="18"/>
        </w:rPr>
      </w:pPr>
      <w:r>
        <w:rPr>
          <w:noProof/>
        </w:rPr>
        <w:drawing>
          <wp:inline distT="0" distB="0" distL="0" distR="0" wp14:anchorId="2BFE3EAD" wp14:editId="436C9C47">
            <wp:extent cx="4305869" cy="2457450"/>
            <wp:effectExtent l="0" t="0" r="0" b="0"/>
            <wp:docPr id="1709695249" name="Grafiek 1">
              <a:extLst xmlns:a="http://schemas.openxmlformats.org/drawingml/2006/main">
                <a:ext uri="{FF2B5EF4-FFF2-40B4-BE49-F238E27FC236}">
                  <a16:creationId xmlns:a16="http://schemas.microsoft.com/office/drawing/2014/main" id="{3232A6F4-D549-843E-002A-11A2D947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0B4D4D" w:rsidR="000B4D4D" w:rsidP="000B4D4D" w:rsidRDefault="000B4D4D" w14:paraId="3512A5B6" w14:textId="64391815">
      <w:pPr>
        <w:rPr>
          <w:b/>
          <w:szCs w:val="18"/>
          <w:u w:val="single"/>
        </w:rPr>
      </w:pPr>
      <w:r w:rsidRPr="000B4D4D">
        <w:rPr>
          <w:b/>
          <w:szCs w:val="18"/>
          <w:u w:val="single"/>
        </w:rPr>
        <w:t>Verschil raming Voorjaarsnota en Jaarlijkse Voortgangsrapportage</w:t>
      </w:r>
    </w:p>
    <w:p w:rsidR="000B4D4D" w:rsidP="000B4D4D" w:rsidRDefault="000B4D4D" w14:paraId="276C0FC2" w14:textId="7D4F325E">
      <w:pPr>
        <w:rPr>
          <w:szCs w:val="18"/>
        </w:rPr>
      </w:pPr>
      <w:r w:rsidRPr="000B4D4D">
        <w:rPr>
          <w:b/>
          <w:szCs w:val="18"/>
        </w:rPr>
        <w:t>De CPB-ramingen voor het EMU-saldo en de EMU-schuld verschillen van die in de Voorjaarsnota 2025 van het ministerie van Financiën.</w:t>
      </w:r>
      <w:r w:rsidRPr="000B4D4D">
        <w:rPr>
          <w:szCs w:val="18"/>
        </w:rPr>
        <w:t xml:space="preserve"> Beide ramingen staan in tabel </w:t>
      </w:r>
      <w:r>
        <w:rPr>
          <w:szCs w:val="18"/>
        </w:rPr>
        <w:t>4</w:t>
      </w:r>
      <w:r w:rsidR="00E24EDB">
        <w:rPr>
          <w:szCs w:val="18"/>
        </w:rPr>
        <w:t>a</w:t>
      </w:r>
      <w:r>
        <w:rPr>
          <w:szCs w:val="18"/>
        </w:rPr>
        <w:t>.</w:t>
      </w:r>
      <w:r w:rsidRPr="000B4D4D">
        <w:rPr>
          <w:szCs w:val="18"/>
        </w:rPr>
        <w:t xml:space="preserve"> De kabinetsramingen zijn gebaseerd op de departementale begrotingen en de belastingraming</w:t>
      </w:r>
      <w:r w:rsidR="00397600">
        <w:rPr>
          <w:szCs w:val="18"/>
        </w:rPr>
        <w:t xml:space="preserve"> van het ministerie van Financiën</w:t>
      </w:r>
      <w:r w:rsidRPr="000B4D4D">
        <w:rPr>
          <w:szCs w:val="18"/>
        </w:rPr>
        <w:t>, terwijl het CPB een onafhankelijke raming maakt en andere uitgangspunten kan hanteren, met name over onderuitputting. Beide ramingen gebruiken het macro-economische beeld uit het CEP 2025 van het CPB als basis.</w:t>
      </w:r>
    </w:p>
    <w:p w:rsidRPr="000B4D4D" w:rsidR="000B4D4D" w:rsidP="000B4D4D" w:rsidRDefault="000B4D4D" w14:paraId="14454188" w14:textId="09D08978">
      <w:pPr>
        <w:rPr>
          <w:szCs w:val="18"/>
        </w:rPr>
      </w:pPr>
      <w:r w:rsidRPr="000B4D4D">
        <w:rPr>
          <w:szCs w:val="18"/>
        </w:rPr>
        <w:t xml:space="preserve">Het EMU-saldo dat het CPB verwacht, valt tot en met 2027 gunstiger uit dan in de raming van de Voorjaarsnota. In 2028 daarentegen voorziet het CPB juist een negatiever saldo. </w:t>
      </w:r>
      <w:bookmarkStart w:name="_Hlk196817760" w:id="13"/>
      <w:r w:rsidRPr="000B4D4D">
        <w:rPr>
          <w:szCs w:val="18"/>
        </w:rPr>
        <w:t>Deze verschillen worden vooral verklaard doordat het CPB ervan uitgaat dat de budgetten in de begroting door onderuitputting pas later worden besteed dan in de Voorjaarsnota werd geraamd. Dit leidt tot een beter saldo in de eerste jaren en een slechter saldo in de latere jaren.</w:t>
      </w:r>
      <w:bookmarkEnd w:id="13"/>
      <w:r w:rsidRPr="000B4D4D">
        <w:rPr>
          <w:szCs w:val="18"/>
        </w:rPr>
        <w:t xml:space="preserve"> Daarnaast verwacht het CPB dat de asiel</w:t>
      </w:r>
      <w:r w:rsidR="00E61895">
        <w:rPr>
          <w:szCs w:val="18"/>
        </w:rPr>
        <w:t>uitgaven</w:t>
      </w:r>
      <w:r w:rsidRPr="000B4D4D">
        <w:rPr>
          <w:szCs w:val="18"/>
        </w:rPr>
        <w:t xml:space="preserve"> vanaf 2027 hoger zullen zijn dan het bedrag dat in de Voorjaarsnota is opgenomen. Ook gaat het CPB ervan uit dat de korting op de EU-afdrachten vanaf 2028 uit het </w:t>
      </w:r>
      <w:r w:rsidR="00CD05BC">
        <w:rPr>
          <w:szCs w:val="18"/>
        </w:rPr>
        <w:t>hoofdlijnenakkoord</w:t>
      </w:r>
      <w:r w:rsidRPr="000B4D4D">
        <w:rPr>
          <w:szCs w:val="18"/>
        </w:rPr>
        <w:t xml:space="preserve"> slechts gedeeltelijk wordt gerealiseerd.</w:t>
      </w:r>
    </w:p>
    <w:p w:rsidR="000B4D4D" w:rsidP="000B4D4D" w:rsidRDefault="000B4D4D" w14:paraId="5B6CE5FE" w14:textId="59C364DE">
      <w:pPr>
        <w:rPr>
          <w:szCs w:val="18"/>
        </w:rPr>
      </w:pPr>
      <w:r w:rsidRPr="000B4D4D">
        <w:rPr>
          <w:szCs w:val="18"/>
        </w:rPr>
        <w:t>Verder neemt het CPB in de raming van het saldo van decentrale overheden enkele beleidsmatige aannames mee. Zo veronderstelt het CPB oplopende tekorten in de WMO en de jeugdzorg. Voor de jaren tot en met 2027 is het saldo van de decentrale overheden bovendien neerwaarts bijgesteld op basis van de realisatiecijfers van 2024. De overige verschillen tussen de CPB-raming en de Voorjaarsnota zijn beperkt. De grootste afwijking betreft de prijsrisicobuffer in de SDE, die het CPB niet in de raming opneemt. Dit leidt tot een verbetering van het saldo bij het CPB ten opzichte van de Voorjaarsnota</w:t>
      </w:r>
      <w:r w:rsidR="00397600">
        <w:rPr>
          <w:szCs w:val="18"/>
        </w:rPr>
        <w:t xml:space="preserve"> in </w:t>
      </w:r>
      <w:r w:rsidR="00BF66B9">
        <w:rPr>
          <w:szCs w:val="18"/>
        </w:rPr>
        <w:t>2026 tot met 2028.</w:t>
      </w:r>
    </w:p>
    <w:tbl>
      <w:tblPr>
        <w:tblpPr w:leftFromText="141" w:rightFromText="141" w:vertAnchor="page" w:horzAnchor="margin" w:tblpY="1967"/>
        <w:tblW w:w="8620" w:type="dxa"/>
        <w:tblCellMar>
          <w:left w:w="70" w:type="dxa"/>
          <w:right w:w="70" w:type="dxa"/>
        </w:tblCellMar>
        <w:tblLook w:val="04A0" w:firstRow="1" w:lastRow="0" w:firstColumn="1" w:lastColumn="0" w:noHBand="0" w:noVBand="1"/>
      </w:tblPr>
      <w:tblGrid>
        <w:gridCol w:w="4780"/>
        <w:gridCol w:w="960"/>
        <w:gridCol w:w="960"/>
        <w:gridCol w:w="960"/>
        <w:gridCol w:w="960"/>
      </w:tblGrid>
      <w:tr w:rsidRPr="000B4D4D" w:rsidR="00FA3CDA" w:rsidTr="00FA3CDA" w14:paraId="3F64755F" w14:textId="77777777">
        <w:trPr>
          <w:trHeight w:val="133"/>
        </w:trPr>
        <w:tc>
          <w:tcPr>
            <w:tcW w:w="4780" w:type="dxa"/>
            <w:tcBorders>
              <w:top w:val="single" w:color="auto" w:sz="4" w:space="0"/>
              <w:left w:val="single" w:color="auto" w:sz="4" w:space="0"/>
              <w:bottom w:val="single" w:color="auto" w:sz="4" w:space="0"/>
              <w:right w:val="single" w:color="auto" w:sz="4" w:space="0"/>
            </w:tcBorders>
            <w:shd w:val="clear" w:color="auto" w:fill="01689B"/>
            <w:noWrap/>
            <w:vAlign w:val="bottom"/>
          </w:tcPr>
          <w:p w:rsidRPr="000B4D4D" w:rsidR="00FA3CDA" w:rsidP="00FA3CDA" w:rsidRDefault="00FA3CDA" w14:paraId="01F859CD" w14:textId="77777777">
            <w:pPr>
              <w:spacing w:after="0" w:line="240" w:lineRule="auto"/>
              <w:rPr>
                <w:rFonts w:eastAsia="Times New Roman" w:cs="Calibri"/>
                <w:b/>
                <w:bCs/>
                <w:color w:val="FFFFFF"/>
                <w:kern w:val="0"/>
                <w:sz w:val="16"/>
                <w:szCs w:val="16"/>
                <w:lang w:eastAsia="nl-NL"/>
                <w14:ligatures w14:val="none"/>
              </w:rPr>
            </w:pPr>
            <w:bookmarkStart w:name="_Hlk196817533" w:id="14"/>
          </w:p>
        </w:tc>
        <w:tc>
          <w:tcPr>
            <w:tcW w:w="960" w:type="dxa"/>
            <w:tcBorders>
              <w:top w:val="single" w:color="auto" w:sz="4" w:space="0"/>
              <w:left w:val="nil"/>
              <w:bottom w:val="single" w:color="auto" w:sz="4" w:space="0"/>
              <w:right w:val="single" w:color="auto" w:sz="4" w:space="0"/>
            </w:tcBorders>
            <w:shd w:val="clear" w:color="auto" w:fill="01689B"/>
            <w:noWrap/>
            <w:vAlign w:val="bottom"/>
            <w:hideMark/>
          </w:tcPr>
          <w:p w:rsidRPr="000B4D4D" w:rsidR="00FA3CDA" w:rsidP="00FA3CDA" w:rsidRDefault="00FA3CDA" w14:paraId="2F99B4BD" w14:textId="77777777">
            <w:pPr>
              <w:spacing w:after="0" w:line="240" w:lineRule="auto"/>
              <w:jc w:val="right"/>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2025</w:t>
            </w:r>
          </w:p>
        </w:tc>
        <w:tc>
          <w:tcPr>
            <w:tcW w:w="960" w:type="dxa"/>
            <w:tcBorders>
              <w:top w:val="single" w:color="auto" w:sz="4" w:space="0"/>
              <w:left w:val="nil"/>
              <w:bottom w:val="single" w:color="auto" w:sz="4" w:space="0"/>
              <w:right w:val="single" w:color="auto" w:sz="4" w:space="0"/>
            </w:tcBorders>
            <w:shd w:val="clear" w:color="auto" w:fill="01689B"/>
            <w:noWrap/>
            <w:vAlign w:val="bottom"/>
            <w:hideMark/>
          </w:tcPr>
          <w:p w:rsidRPr="000B4D4D" w:rsidR="00FA3CDA" w:rsidP="00FA3CDA" w:rsidRDefault="00FA3CDA" w14:paraId="36B77108" w14:textId="77777777">
            <w:pPr>
              <w:spacing w:after="0" w:line="240" w:lineRule="auto"/>
              <w:jc w:val="right"/>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2026</w:t>
            </w:r>
          </w:p>
        </w:tc>
        <w:tc>
          <w:tcPr>
            <w:tcW w:w="960" w:type="dxa"/>
            <w:tcBorders>
              <w:top w:val="single" w:color="auto" w:sz="4" w:space="0"/>
              <w:left w:val="nil"/>
              <w:bottom w:val="single" w:color="auto" w:sz="4" w:space="0"/>
              <w:right w:val="single" w:color="auto" w:sz="4" w:space="0"/>
            </w:tcBorders>
            <w:shd w:val="clear" w:color="auto" w:fill="01689B"/>
            <w:noWrap/>
            <w:vAlign w:val="bottom"/>
            <w:hideMark/>
          </w:tcPr>
          <w:p w:rsidRPr="000B4D4D" w:rsidR="00FA3CDA" w:rsidP="00FA3CDA" w:rsidRDefault="00FA3CDA" w14:paraId="36781D7E" w14:textId="77777777">
            <w:pPr>
              <w:spacing w:after="0" w:line="240" w:lineRule="auto"/>
              <w:jc w:val="right"/>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2027</w:t>
            </w:r>
          </w:p>
        </w:tc>
        <w:tc>
          <w:tcPr>
            <w:tcW w:w="960" w:type="dxa"/>
            <w:tcBorders>
              <w:top w:val="single" w:color="auto" w:sz="4" w:space="0"/>
              <w:left w:val="nil"/>
              <w:bottom w:val="single" w:color="auto" w:sz="4" w:space="0"/>
              <w:right w:val="single" w:color="auto" w:sz="4" w:space="0"/>
            </w:tcBorders>
            <w:shd w:val="clear" w:color="auto" w:fill="01689B"/>
            <w:noWrap/>
            <w:vAlign w:val="bottom"/>
            <w:hideMark/>
          </w:tcPr>
          <w:p w:rsidRPr="000B4D4D" w:rsidR="00FA3CDA" w:rsidP="00FA3CDA" w:rsidRDefault="00FA3CDA" w14:paraId="39103F98" w14:textId="77777777">
            <w:pPr>
              <w:spacing w:after="0" w:line="240" w:lineRule="auto"/>
              <w:jc w:val="right"/>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2028</w:t>
            </w:r>
          </w:p>
        </w:tc>
      </w:tr>
      <w:tr w:rsidRPr="000B4D4D" w:rsidR="00FA3CDA" w:rsidTr="005D1698" w14:paraId="5BD7FF6F" w14:textId="77777777">
        <w:trPr>
          <w:trHeight w:val="245"/>
        </w:trPr>
        <w:tc>
          <w:tcPr>
            <w:tcW w:w="4780" w:type="dxa"/>
            <w:tcBorders>
              <w:top w:val="nil"/>
              <w:left w:val="single" w:color="auto" w:sz="4" w:space="0"/>
              <w:bottom w:val="single" w:color="auto" w:sz="4" w:space="0"/>
              <w:right w:val="single" w:color="auto" w:sz="4" w:space="0"/>
            </w:tcBorders>
            <w:shd w:val="clear" w:color="auto" w:fill="01689B"/>
            <w:noWrap/>
            <w:vAlign w:val="bottom"/>
          </w:tcPr>
          <w:p w:rsidRPr="003250A7" w:rsidR="00FA3CDA" w:rsidP="00FA3CDA" w:rsidRDefault="00FA3CDA" w14:paraId="0BF79E79" w14:textId="77777777">
            <w:pPr>
              <w:spacing w:after="0" w:line="240" w:lineRule="auto"/>
              <w:rPr>
                <w:rFonts w:eastAsia="Times New Roman" w:cs="Calibri"/>
                <w:b/>
                <w:bCs/>
                <w:outline/>
                <w:color w:val="5B9BD5" w:themeColor="accent5"/>
                <w:kern w:val="0"/>
                <w:sz w:val="16"/>
                <w:szCs w:val="16"/>
                <w:lang w:eastAsia="nl-NL"/>
                <w14:textOutline w14:w="9525" w14:cap="rnd" w14:cmpd="sng" w14:algn="ctr">
                  <w14:solidFill>
                    <w14:schemeClr w14:val="accent5">
                      <w14:lumMod w14:val="40000"/>
                      <w14:lumOff w14:val="60000"/>
                    </w14:schemeClr>
                  </w14:solidFill>
                  <w14:prstDash w14:val="solid"/>
                  <w14:bevel/>
                </w14:textOutline>
                <w14:textFill>
                  <w14:noFill/>
                </w14:textFill>
                <w14:ligatures w14:val="none"/>
              </w:rPr>
            </w:pPr>
          </w:p>
        </w:tc>
        <w:tc>
          <w:tcPr>
            <w:tcW w:w="960" w:type="dxa"/>
            <w:tcBorders>
              <w:top w:val="nil"/>
              <w:left w:val="nil"/>
              <w:bottom w:val="single" w:color="auto" w:sz="4" w:space="0"/>
              <w:right w:val="single" w:color="auto" w:sz="4" w:space="0"/>
            </w:tcBorders>
            <w:shd w:val="clear" w:color="auto" w:fill="01689B"/>
            <w:noWrap/>
            <w:vAlign w:val="bottom"/>
          </w:tcPr>
          <w:p w:rsidRPr="005D1698" w:rsidR="00FA3CDA" w:rsidP="00FA3CDA" w:rsidRDefault="00FA3CDA" w14:paraId="35873D15" w14:textId="77777777">
            <w:pPr>
              <w:spacing w:after="0" w:line="240" w:lineRule="auto"/>
              <w:jc w:val="right"/>
              <w:rPr>
                <w:rFonts w:eastAsia="Times New Roman" w:cs="Calibri"/>
                <w:b/>
                <w:bCs/>
                <w:color w:val="FFFFFF" w:themeColor="background1"/>
                <w:kern w:val="0"/>
                <w:sz w:val="16"/>
                <w:szCs w:val="16"/>
                <w:lang w:eastAsia="nl-NL"/>
                <w14:ligatures w14:val="none"/>
              </w:rPr>
            </w:pPr>
            <w:r w:rsidRPr="005D1698">
              <w:rPr>
                <w:rFonts w:eastAsia="Times New Roman" w:cs="Calibri"/>
                <w:b/>
                <w:bCs/>
                <w:color w:val="FFFFFF" w:themeColor="background1"/>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auto" w:fill="01689B"/>
            <w:noWrap/>
            <w:vAlign w:val="bottom"/>
          </w:tcPr>
          <w:p w:rsidRPr="005D1698" w:rsidR="00FA3CDA" w:rsidP="00FA3CDA" w:rsidRDefault="00FA3CDA" w14:paraId="203F2027" w14:textId="77777777">
            <w:pPr>
              <w:spacing w:after="0" w:line="240" w:lineRule="auto"/>
              <w:jc w:val="right"/>
              <w:rPr>
                <w:rFonts w:eastAsia="Times New Roman" w:cs="Calibri"/>
                <w:b/>
                <w:bCs/>
                <w:color w:val="FFFFFF" w:themeColor="background1"/>
                <w:kern w:val="0"/>
                <w:sz w:val="16"/>
                <w:szCs w:val="16"/>
                <w:lang w:eastAsia="nl-NL"/>
                <w14:ligatures w14:val="none"/>
              </w:rPr>
            </w:pPr>
            <w:r w:rsidRPr="005D1698">
              <w:rPr>
                <w:rFonts w:eastAsia="Times New Roman" w:cs="Calibri"/>
                <w:b/>
                <w:bCs/>
                <w:color w:val="FFFFFF" w:themeColor="background1"/>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auto" w:fill="01689B"/>
            <w:noWrap/>
            <w:vAlign w:val="bottom"/>
          </w:tcPr>
          <w:p w:rsidRPr="005D1698" w:rsidR="00FA3CDA" w:rsidP="00FA3CDA" w:rsidRDefault="00FA3CDA" w14:paraId="30C1439F" w14:textId="77777777">
            <w:pPr>
              <w:spacing w:after="0" w:line="240" w:lineRule="auto"/>
              <w:jc w:val="right"/>
              <w:rPr>
                <w:rFonts w:eastAsia="Times New Roman" w:cs="Calibri"/>
                <w:b/>
                <w:bCs/>
                <w:color w:val="FFFFFF" w:themeColor="background1"/>
                <w:kern w:val="0"/>
                <w:sz w:val="16"/>
                <w:szCs w:val="16"/>
                <w:lang w:eastAsia="nl-NL"/>
                <w14:ligatures w14:val="none"/>
              </w:rPr>
            </w:pPr>
            <w:r w:rsidRPr="005D1698">
              <w:rPr>
                <w:rFonts w:eastAsia="Times New Roman" w:cs="Calibri"/>
                <w:b/>
                <w:bCs/>
                <w:color w:val="FFFFFF" w:themeColor="background1"/>
                <w:kern w:val="0"/>
                <w:sz w:val="16"/>
                <w:szCs w:val="16"/>
                <w:lang w:eastAsia="nl-NL"/>
                <w14:ligatures w14:val="none"/>
              </w:rPr>
              <w:t>% bbp</w:t>
            </w:r>
          </w:p>
        </w:tc>
        <w:tc>
          <w:tcPr>
            <w:tcW w:w="960" w:type="dxa"/>
            <w:tcBorders>
              <w:top w:val="nil"/>
              <w:left w:val="nil"/>
              <w:bottom w:val="single" w:color="auto" w:sz="4" w:space="0"/>
              <w:right w:val="single" w:color="auto" w:sz="4" w:space="0"/>
            </w:tcBorders>
            <w:shd w:val="clear" w:color="auto" w:fill="01689B"/>
            <w:noWrap/>
            <w:vAlign w:val="bottom"/>
          </w:tcPr>
          <w:p w:rsidRPr="005D1698" w:rsidR="00FA3CDA" w:rsidP="00FA3CDA" w:rsidRDefault="00FA3CDA" w14:paraId="014C013C" w14:textId="77777777">
            <w:pPr>
              <w:spacing w:after="0" w:line="240" w:lineRule="auto"/>
              <w:jc w:val="right"/>
              <w:rPr>
                <w:rFonts w:eastAsia="Times New Roman" w:cs="Calibri"/>
                <w:b/>
                <w:bCs/>
                <w:color w:val="FFFFFF" w:themeColor="background1"/>
                <w:kern w:val="0"/>
                <w:sz w:val="16"/>
                <w:szCs w:val="16"/>
                <w:lang w:eastAsia="nl-NL"/>
                <w14:ligatures w14:val="none"/>
              </w:rPr>
            </w:pPr>
            <w:r w:rsidRPr="005D1698">
              <w:rPr>
                <w:rFonts w:eastAsia="Times New Roman" w:cs="Calibri"/>
                <w:b/>
                <w:bCs/>
                <w:color w:val="FFFFFF" w:themeColor="background1"/>
                <w:kern w:val="0"/>
                <w:sz w:val="16"/>
                <w:szCs w:val="16"/>
                <w:lang w:eastAsia="nl-NL"/>
                <w14:ligatures w14:val="none"/>
              </w:rPr>
              <w:t>% bbp</w:t>
            </w:r>
          </w:p>
        </w:tc>
      </w:tr>
      <w:tr w:rsidRPr="000B4D4D" w:rsidR="00FA3CDA" w:rsidTr="00FA3CDA" w14:paraId="25FD25B3" w14:textId="77777777">
        <w:trPr>
          <w:trHeight w:val="245"/>
        </w:trPr>
        <w:tc>
          <w:tcPr>
            <w:tcW w:w="4780" w:type="dxa"/>
            <w:tcBorders>
              <w:top w:val="nil"/>
              <w:left w:val="single" w:color="auto" w:sz="4" w:space="0"/>
              <w:bottom w:val="single" w:color="auto" w:sz="4" w:space="0"/>
              <w:right w:val="single" w:color="auto" w:sz="4" w:space="0"/>
            </w:tcBorders>
            <w:shd w:val="clear" w:color="auto" w:fill="01689B"/>
            <w:noWrap/>
            <w:vAlign w:val="bottom"/>
            <w:hideMark/>
          </w:tcPr>
          <w:p w:rsidRPr="000B4D4D" w:rsidR="00FA3CDA" w:rsidP="00FA3CDA" w:rsidRDefault="00FA3CDA" w14:paraId="086F3EB7" w14:textId="77777777">
            <w:pPr>
              <w:spacing w:after="0" w:line="240" w:lineRule="auto"/>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EMU-saldo Voorjaarsnota</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2EC594F3"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-2,6%</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6CEFF708"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-3,0%</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4CE4D60E"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-2,6%</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01F4C383"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-2,1%</w:t>
            </w:r>
          </w:p>
        </w:tc>
      </w:tr>
      <w:tr w:rsidRPr="000B4D4D" w:rsidR="00FA3CDA" w:rsidTr="00FA3CDA" w14:paraId="1E79EF44" w14:textId="77777777">
        <w:trPr>
          <w:trHeight w:val="222"/>
        </w:trPr>
        <w:tc>
          <w:tcPr>
            <w:tcW w:w="4780" w:type="dxa"/>
            <w:tcBorders>
              <w:top w:val="nil"/>
              <w:left w:val="single" w:color="auto" w:sz="4" w:space="0"/>
              <w:bottom w:val="single" w:color="auto" w:sz="4" w:space="0"/>
              <w:right w:val="single" w:color="auto" w:sz="4" w:space="0"/>
            </w:tcBorders>
            <w:shd w:val="clear" w:color="auto" w:fill="DDEFF8"/>
            <w:noWrap/>
            <w:vAlign w:val="bottom"/>
            <w:hideMark/>
          </w:tcPr>
          <w:p w:rsidRPr="000B4D4D" w:rsidR="00FA3CDA" w:rsidP="00FA3CDA" w:rsidRDefault="00FA3CDA" w14:paraId="7B9C04D7"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Aanvullende onderuitputting CPB</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2B72A185"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0,4%</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67AB3711"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2E6C7985"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0,7%</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127E9DD7"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0,3%</w:t>
            </w:r>
          </w:p>
        </w:tc>
      </w:tr>
      <w:tr w:rsidRPr="000B4D4D" w:rsidR="00FA3CDA" w:rsidTr="00FA3CDA" w14:paraId="671CAFD4" w14:textId="77777777">
        <w:trPr>
          <w:trHeight w:val="140"/>
        </w:trPr>
        <w:tc>
          <w:tcPr>
            <w:tcW w:w="4780" w:type="dxa"/>
            <w:tcBorders>
              <w:top w:val="nil"/>
              <w:left w:val="single" w:color="auto" w:sz="4" w:space="0"/>
              <w:bottom w:val="single" w:color="auto" w:sz="4" w:space="0"/>
              <w:right w:val="single" w:color="auto" w:sz="4" w:space="0"/>
            </w:tcBorders>
            <w:shd w:val="clear" w:color="auto" w:fill="DDEFF8"/>
            <w:noWrap/>
            <w:vAlign w:val="bottom"/>
            <w:hideMark/>
          </w:tcPr>
          <w:p w:rsidRPr="000B4D4D" w:rsidR="00FA3CDA" w:rsidP="00FA3CDA" w:rsidRDefault="00FA3CDA" w14:paraId="46DCB2F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Hogere asielkosten CPB</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1BCB38A1"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5E482C1D"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11D13426"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21CA4097"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r>
      <w:tr w:rsidRPr="000B4D4D" w:rsidR="00FA3CDA" w:rsidTr="00FA3CDA" w14:paraId="350B0D4F" w14:textId="77777777">
        <w:trPr>
          <w:trHeight w:val="213"/>
        </w:trPr>
        <w:tc>
          <w:tcPr>
            <w:tcW w:w="4780" w:type="dxa"/>
            <w:tcBorders>
              <w:top w:val="nil"/>
              <w:left w:val="single" w:color="auto" w:sz="4" w:space="0"/>
              <w:bottom w:val="single" w:color="auto" w:sz="4" w:space="0"/>
              <w:right w:val="single" w:color="auto" w:sz="4" w:space="0"/>
            </w:tcBorders>
            <w:shd w:val="clear" w:color="auto" w:fill="DDEFF8"/>
            <w:noWrap/>
            <w:vAlign w:val="bottom"/>
            <w:hideMark/>
          </w:tcPr>
          <w:p w:rsidRPr="000B4D4D" w:rsidR="00FA3CDA" w:rsidP="00FA3CDA" w:rsidRDefault="00FA3CDA" w14:paraId="52924316"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Hogere EU-afdrachten CPB</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5024927C"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261483AD"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7C0C5B83"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 </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011F9E5D"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r>
      <w:tr w:rsidRPr="000B4D4D" w:rsidR="00FA3CDA" w:rsidTr="00FA3CDA" w14:paraId="75125B26" w14:textId="77777777">
        <w:trPr>
          <w:trHeight w:val="132"/>
        </w:trPr>
        <w:tc>
          <w:tcPr>
            <w:tcW w:w="4780" w:type="dxa"/>
            <w:tcBorders>
              <w:top w:val="nil"/>
              <w:left w:val="single" w:color="auto" w:sz="4" w:space="0"/>
              <w:bottom w:val="single" w:color="auto" w:sz="4" w:space="0"/>
              <w:right w:val="single" w:color="auto" w:sz="4" w:space="0"/>
            </w:tcBorders>
            <w:shd w:val="clear" w:color="auto" w:fill="DDEFF8"/>
            <w:noWrap/>
            <w:vAlign w:val="bottom"/>
            <w:hideMark/>
          </w:tcPr>
          <w:p w:rsidRPr="000B4D4D" w:rsidR="00FA3CDA" w:rsidP="00FA3CDA" w:rsidRDefault="00FA3CDA" w14:paraId="040A5A09"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Negatiever saldo decentrale overheden CPB</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1C2CAB14"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78ABE901"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7616BF89"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61BEF037"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-0,2%</w:t>
            </w:r>
          </w:p>
        </w:tc>
      </w:tr>
      <w:tr w:rsidRPr="000B4D4D" w:rsidR="00FA3CDA" w:rsidTr="00FA3CDA" w14:paraId="27FA539B" w14:textId="77777777">
        <w:trPr>
          <w:trHeight w:val="206"/>
        </w:trPr>
        <w:tc>
          <w:tcPr>
            <w:tcW w:w="4780" w:type="dxa"/>
            <w:tcBorders>
              <w:top w:val="nil"/>
              <w:left w:val="single" w:color="auto" w:sz="4" w:space="0"/>
              <w:bottom w:val="single" w:color="auto" w:sz="4" w:space="0"/>
              <w:right w:val="single" w:color="auto" w:sz="4" w:space="0"/>
            </w:tcBorders>
            <w:shd w:val="clear" w:color="auto" w:fill="DDEFF8"/>
            <w:noWrap/>
            <w:vAlign w:val="bottom"/>
            <w:hideMark/>
          </w:tcPr>
          <w:p w:rsidRPr="000B4D4D" w:rsidR="00FA3CDA" w:rsidP="00FA3CDA" w:rsidRDefault="00FA3CDA" w14:paraId="5C3FB398" w14:textId="77777777">
            <w:pPr>
              <w:spacing w:after="0" w:line="240" w:lineRule="auto"/>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Overige verschillen</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12D9B28D"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0,0%</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44A38704"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507F7C58"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45D21848"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0,1%</w:t>
            </w:r>
          </w:p>
        </w:tc>
      </w:tr>
      <w:tr w:rsidRPr="000B4D4D" w:rsidR="00FA3CDA" w:rsidTr="00FA3CDA" w14:paraId="246C2300" w14:textId="77777777">
        <w:trPr>
          <w:trHeight w:val="138"/>
        </w:trPr>
        <w:tc>
          <w:tcPr>
            <w:tcW w:w="4780" w:type="dxa"/>
            <w:tcBorders>
              <w:top w:val="nil"/>
              <w:left w:val="single" w:color="auto" w:sz="4" w:space="0"/>
              <w:bottom w:val="single" w:color="auto" w:sz="4" w:space="0"/>
              <w:right w:val="single" w:color="auto" w:sz="4" w:space="0"/>
            </w:tcBorders>
            <w:shd w:val="clear" w:color="auto" w:fill="01689B"/>
            <w:noWrap/>
            <w:vAlign w:val="bottom"/>
            <w:hideMark/>
          </w:tcPr>
          <w:p w:rsidRPr="000B4D4D" w:rsidR="00FA3CDA" w:rsidP="00FA3CDA" w:rsidRDefault="00FA3CDA" w14:paraId="496625CB" w14:textId="77777777">
            <w:pPr>
              <w:spacing w:after="0" w:line="240" w:lineRule="auto"/>
              <w:rPr>
                <w:rFonts w:eastAsia="Times New Roman" w:cs="Calibri"/>
                <w:b/>
                <w:bCs/>
                <w:color w:val="FFFFFF"/>
                <w:kern w:val="0"/>
                <w:sz w:val="16"/>
                <w:szCs w:val="16"/>
                <w:lang w:eastAsia="nl-NL"/>
                <w14:ligatures w14:val="none"/>
              </w:rPr>
            </w:pPr>
            <w:r w:rsidRPr="000B4D4D">
              <w:rPr>
                <w:rFonts w:eastAsia="Times New Roman" w:cs="Calibri"/>
                <w:b/>
                <w:bCs/>
                <w:color w:val="FFFFFF"/>
                <w:kern w:val="0"/>
                <w:sz w:val="16"/>
                <w:szCs w:val="16"/>
                <w:lang w:eastAsia="nl-NL"/>
                <w14:ligatures w14:val="none"/>
              </w:rPr>
              <w:t>EMU-saldo CPB</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6EC4B755"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-2,3%</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0BBA28E0"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-2,8%</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7FBEC98D"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-2,0%</w:t>
            </w:r>
          </w:p>
        </w:tc>
        <w:tc>
          <w:tcPr>
            <w:tcW w:w="960" w:type="dxa"/>
            <w:tcBorders>
              <w:top w:val="nil"/>
              <w:left w:val="nil"/>
              <w:bottom w:val="single" w:color="auto" w:sz="4" w:space="0"/>
              <w:right w:val="single" w:color="auto" w:sz="4" w:space="0"/>
            </w:tcBorders>
            <w:shd w:val="clear" w:color="auto" w:fill="auto"/>
            <w:noWrap/>
            <w:vAlign w:val="bottom"/>
            <w:hideMark/>
          </w:tcPr>
          <w:p w:rsidRPr="000B4D4D" w:rsidR="00FA3CDA" w:rsidP="00FA3CDA" w:rsidRDefault="00FA3CDA" w14:paraId="55471E8E" w14:textId="77777777">
            <w:pPr>
              <w:spacing w:after="0" w:line="240" w:lineRule="auto"/>
              <w:jc w:val="right"/>
              <w:rPr>
                <w:rFonts w:eastAsia="Times New Roman" w:cs="Calibri"/>
                <w:color w:val="000000"/>
                <w:kern w:val="0"/>
                <w:sz w:val="16"/>
                <w:szCs w:val="16"/>
                <w:lang w:eastAsia="nl-NL"/>
                <w14:ligatures w14:val="none"/>
              </w:rPr>
            </w:pPr>
            <w:r w:rsidRPr="000B4D4D">
              <w:rPr>
                <w:rFonts w:eastAsia="Times New Roman" w:cs="Calibri"/>
                <w:color w:val="000000"/>
                <w:kern w:val="0"/>
                <w:sz w:val="16"/>
                <w:szCs w:val="16"/>
                <w:lang w:eastAsia="nl-NL"/>
                <w14:ligatures w14:val="none"/>
              </w:rPr>
              <w:t>-2,2%</w:t>
            </w:r>
          </w:p>
        </w:tc>
      </w:tr>
    </w:tbl>
    <w:bookmarkEnd w:id="14"/>
    <w:p w:rsidRPr="001C4F78" w:rsidR="000B4D4D" w:rsidP="000B4D4D" w:rsidRDefault="00C01C99" w14:paraId="04D56D47" w14:textId="650E37D2">
      <w:pPr>
        <w:rPr>
          <w:i/>
          <w:iCs/>
          <w:szCs w:val="18"/>
        </w:rPr>
      </w:pPr>
      <w:r w:rsidRPr="001C4F78">
        <w:rPr>
          <w:i/>
          <w:iCs/>
          <w:szCs w:val="18"/>
        </w:rPr>
        <w:t>Tabel 4</w:t>
      </w:r>
      <w:r w:rsidR="00B44514">
        <w:rPr>
          <w:i/>
          <w:iCs/>
          <w:szCs w:val="18"/>
        </w:rPr>
        <w:t>a</w:t>
      </w:r>
      <w:r w:rsidRPr="001C4F78" w:rsidR="00D24032">
        <w:rPr>
          <w:i/>
          <w:iCs/>
          <w:szCs w:val="18"/>
        </w:rPr>
        <w:t>:</w:t>
      </w:r>
      <w:r w:rsidRPr="001C4F78">
        <w:rPr>
          <w:i/>
          <w:iCs/>
          <w:szCs w:val="18"/>
        </w:rPr>
        <w:t xml:space="preserve"> </w:t>
      </w:r>
      <w:r w:rsidRPr="001C4F78" w:rsidR="001C4F78">
        <w:rPr>
          <w:i/>
          <w:iCs/>
          <w:szCs w:val="18"/>
        </w:rPr>
        <w:t>Verschillenanalyse EMU-saldo tussen Voor</w:t>
      </w:r>
      <w:r w:rsidR="001C4F78">
        <w:rPr>
          <w:i/>
          <w:iCs/>
          <w:szCs w:val="18"/>
        </w:rPr>
        <w:t>jaarsnota en voortgangsrapportage (doorrekening CPB)</w:t>
      </w:r>
    </w:p>
    <w:p w:rsidRPr="001C4F78" w:rsidR="00BB3865" w:rsidP="00F67FC5" w:rsidRDefault="00BB3865" w14:paraId="70FEC8D7" w14:textId="77777777">
      <w:pPr>
        <w:rPr>
          <w:i/>
          <w:szCs w:val="18"/>
          <w:highlight w:val="yellow"/>
        </w:rPr>
      </w:pPr>
    </w:p>
    <w:p w:rsidRPr="001C4F78" w:rsidR="00131AEB" w:rsidP="00CD05BC" w:rsidRDefault="00131AEB" w14:paraId="3C861308" w14:textId="77777777">
      <w:pPr>
        <w:rPr>
          <w:sz w:val="14"/>
          <w:szCs w:val="14"/>
        </w:rPr>
      </w:pPr>
    </w:p>
    <w:p w:rsidRPr="001C4F78" w:rsidR="00131AEB" w:rsidP="00CD05BC" w:rsidRDefault="00131AEB" w14:paraId="7CF78D53" w14:textId="77777777">
      <w:pPr>
        <w:rPr>
          <w:sz w:val="14"/>
          <w:szCs w:val="14"/>
        </w:rPr>
      </w:pPr>
    </w:p>
    <w:p w:rsidRPr="001C4F78" w:rsidR="00131AEB" w:rsidP="00CD05BC" w:rsidRDefault="00131AEB" w14:paraId="4C247430" w14:textId="77777777">
      <w:pPr>
        <w:rPr>
          <w:sz w:val="14"/>
          <w:szCs w:val="14"/>
        </w:rPr>
      </w:pPr>
    </w:p>
    <w:p w:rsidRPr="001C4F78" w:rsidR="00131AEB" w:rsidP="00CD05BC" w:rsidRDefault="00131AEB" w14:paraId="29C022E8" w14:textId="77777777">
      <w:pPr>
        <w:rPr>
          <w:sz w:val="14"/>
          <w:szCs w:val="14"/>
        </w:rPr>
      </w:pPr>
    </w:p>
    <w:p w:rsidRPr="001C4F78" w:rsidR="00131AEB" w:rsidP="00CD05BC" w:rsidRDefault="00131AEB" w14:paraId="082618B6" w14:textId="77777777">
      <w:pPr>
        <w:rPr>
          <w:sz w:val="14"/>
          <w:szCs w:val="14"/>
        </w:rPr>
      </w:pPr>
    </w:p>
    <w:p w:rsidRPr="001C4F78" w:rsidR="00131AEB" w:rsidP="00CD05BC" w:rsidRDefault="00131AEB" w14:paraId="53711AB6" w14:textId="77777777">
      <w:pPr>
        <w:rPr>
          <w:sz w:val="14"/>
          <w:szCs w:val="14"/>
        </w:rPr>
      </w:pPr>
    </w:p>
    <w:p w:rsidRPr="001C4F78" w:rsidR="00131AEB" w:rsidP="00CD05BC" w:rsidRDefault="00131AEB" w14:paraId="58FF02EC" w14:textId="77777777">
      <w:pPr>
        <w:rPr>
          <w:sz w:val="14"/>
          <w:szCs w:val="14"/>
        </w:rPr>
      </w:pPr>
    </w:p>
    <w:p w:rsidRPr="001C4F78" w:rsidR="00131AEB" w:rsidP="00CD05BC" w:rsidRDefault="00131AEB" w14:paraId="48E1EAC9" w14:textId="77777777">
      <w:pPr>
        <w:rPr>
          <w:sz w:val="14"/>
          <w:szCs w:val="14"/>
        </w:rPr>
      </w:pPr>
    </w:p>
    <w:p w:rsidRPr="001C4F78" w:rsidR="00131AEB" w:rsidP="00CD05BC" w:rsidRDefault="00131AEB" w14:paraId="7596E641" w14:textId="77777777">
      <w:pPr>
        <w:rPr>
          <w:sz w:val="14"/>
          <w:szCs w:val="14"/>
        </w:rPr>
      </w:pPr>
    </w:p>
    <w:p w:rsidRPr="001C4F78" w:rsidR="00131AEB" w:rsidP="00CD05BC" w:rsidRDefault="00131AEB" w14:paraId="2389B381" w14:textId="77777777">
      <w:pPr>
        <w:rPr>
          <w:sz w:val="14"/>
          <w:szCs w:val="14"/>
        </w:rPr>
      </w:pPr>
    </w:p>
    <w:p w:rsidRPr="001C4F78" w:rsidR="00131AEB" w:rsidP="00CD05BC" w:rsidRDefault="00131AEB" w14:paraId="5913B605" w14:textId="77777777">
      <w:pPr>
        <w:rPr>
          <w:sz w:val="14"/>
          <w:szCs w:val="14"/>
        </w:rPr>
      </w:pPr>
    </w:p>
    <w:p w:rsidRPr="001C4F78" w:rsidR="00131AEB" w:rsidP="00CD05BC" w:rsidRDefault="00131AEB" w14:paraId="3D25A860" w14:textId="77777777">
      <w:pPr>
        <w:rPr>
          <w:sz w:val="14"/>
          <w:szCs w:val="14"/>
        </w:rPr>
      </w:pPr>
    </w:p>
    <w:p w:rsidRPr="001C4F78" w:rsidR="00131AEB" w:rsidP="00CD05BC" w:rsidRDefault="00131AEB" w14:paraId="24380D0E" w14:textId="77777777">
      <w:pPr>
        <w:rPr>
          <w:sz w:val="14"/>
          <w:szCs w:val="14"/>
        </w:rPr>
      </w:pPr>
    </w:p>
    <w:p w:rsidRPr="001C4F78" w:rsidR="00131AEB" w:rsidP="00CD05BC" w:rsidRDefault="00131AEB" w14:paraId="284E6100" w14:textId="77777777">
      <w:pPr>
        <w:rPr>
          <w:sz w:val="14"/>
          <w:szCs w:val="14"/>
        </w:rPr>
      </w:pPr>
    </w:p>
    <w:p w:rsidRPr="001C4F78" w:rsidR="00131AEB" w:rsidP="00131AEB" w:rsidRDefault="00131AEB" w14:paraId="37A299E2" w14:textId="77777777">
      <w:pPr>
        <w:rPr>
          <w:i/>
          <w:szCs w:val="18"/>
        </w:rPr>
      </w:pPr>
    </w:p>
    <w:p w:rsidRPr="001C4F78" w:rsidR="00131AEB" w:rsidP="00131AEB" w:rsidRDefault="00131AEB" w14:paraId="4B1AC969" w14:textId="77777777">
      <w:pPr>
        <w:rPr>
          <w:sz w:val="14"/>
          <w:szCs w:val="14"/>
        </w:rPr>
      </w:pPr>
    </w:p>
    <w:p w:rsidRPr="001C4F78" w:rsidR="00131AEB" w:rsidP="00131AEB" w:rsidRDefault="00131AEB" w14:paraId="5DBEBDE3" w14:textId="77777777">
      <w:pPr>
        <w:rPr>
          <w:sz w:val="14"/>
          <w:szCs w:val="14"/>
        </w:rPr>
      </w:pPr>
    </w:p>
    <w:p w:rsidRPr="001C4F78" w:rsidR="00131AEB" w:rsidP="00131AEB" w:rsidRDefault="00131AEB" w14:paraId="624CCB41" w14:textId="371E54A8">
      <w:pPr>
        <w:tabs>
          <w:tab w:val="left" w:pos="2230"/>
        </w:tabs>
        <w:rPr>
          <w:sz w:val="14"/>
          <w:szCs w:val="14"/>
        </w:rPr>
      </w:pPr>
      <w:r w:rsidRPr="001C4F78">
        <w:rPr>
          <w:sz w:val="14"/>
          <w:szCs w:val="14"/>
        </w:rPr>
        <w:tab/>
      </w:r>
    </w:p>
    <w:p w:rsidRPr="001C4F78" w:rsidR="00131AEB" w:rsidP="00131AEB" w:rsidRDefault="00131AEB" w14:paraId="5F77EBC3" w14:textId="77777777">
      <w:pPr>
        <w:tabs>
          <w:tab w:val="left" w:pos="2230"/>
        </w:tabs>
        <w:rPr>
          <w:sz w:val="14"/>
          <w:szCs w:val="14"/>
        </w:rPr>
      </w:pPr>
    </w:p>
    <w:p w:rsidRPr="001C4F78" w:rsidR="00131AEB" w:rsidP="00131AEB" w:rsidRDefault="00131AEB" w14:paraId="096F2C2B" w14:textId="77777777">
      <w:pPr>
        <w:tabs>
          <w:tab w:val="left" w:pos="2230"/>
        </w:tabs>
        <w:rPr>
          <w:sz w:val="14"/>
          <w:szCs w:val="14"/>
        </w:rPr>
      </w:pPr>
    </w:p>
    <w:p w:rsidRPr="001C4F78" w:rsidR="00131AEB" w:rsidP="00131AEB" w:rsidRDefault="00131AEB" w14:paraId="29E9997A" w14:textId="77777777">
      <w:pPr>
        <w:tabs>
          <w:tab w:val="left" w:pos="2230"/>
        </w:tabs>
        <w:rPr>
          <w:sz w:val="14"/>
          <w:szCs w:val="14"/>
        </w:rPr>
      </w:pPr>
    </w:p>
    <w:p w:rsidRPr="001C4F78" w:rsidR="00131AEB" w:rsidP="00131AEB" w:rsidRDefault="00131AEB" w14:paraId="177F1DB0" w14:textId="77777777">
      <w:pPr>
        <w:tabs>
          <w:tab w:val="left" w:pos="2230"/>
        </w:tabs>
        <w:rPr>
          <w:sz w:val="14"/>
          <w:szCs w:val="14"/>
        </w:rPr>
      </w:pPr>
    </w:p>
    <w:p w:rsidRPr="001C4F78" w:rsidR="00131AEB" w:rsidP="00131AEB" w:rsidRDefault="00131AEB" w14:paraId="4EF5142D" w14:textId="77777777">
      <w:pPr>
        <w:tabs>
          <w:tab w:val="left" w:pos="2230"/>
        </w:tabs>
        <w:rPr>
          <w:sz w:val="14"/>
          <w:szCs w:val="14"/>
        </w:rPr>
      </w:pPr>
    </w:p>
    <w:p w:rsidRPr="001C4F78" w:rsidR="00131AEB" w:rsidP="00131AEB" w:rsidRDefault="00131AEB" w14:paraId="4169E603" w14:textId="77777777">
      <w:pPr>
        <w:tabs>
          <w:tab w:val="left" w:pos="2230"/>
        </w:tabs>
        <w:rPr>
          <w:sz w:val="14"/>
          <w:szCs w:val="14"/>
        </w:rPr>
      </w:pPr>
    </w:p>
    <w:p w:rsidRPr="001C4F78" w:rsidR="00131AEB" w:rsidP="00131AEB" w:rsidRDefault="00131AEB" w14:paraId="3E4AB68F" w14:textId="77777777">
      <w:pPr>
        <w:tabs>
          <w:tab w:val="left" w:pos="2230"/>
        </w:tabs>
        <w:rPr>
          <w:sz w:val="14"/>
          <w:szCs w:val="14"/>
        </w:rPr>
      </w:pPr>
    </w:p>
    <w:p w:rsidRPr="001C4F78" w:rsidR="00131AEB" w:rsidP="00131AEB" w:rsidRDefault="00131AEB" w14:paraId="3E94E501" w14:textId="77777777">
      <w:pPr>
        <w:tabs>
          <w:tab w:val="left" w:pos="2230"/>
        </w:tabs>
        <w:rPr>
          <w:sz w:val="14"/>
          <w:szCs w:val="14"/>
        </w:rPr>
      </w:pPr>
    </w:p>
    <w:p w:rsidRPr="001C4F78" w:rsidR="00667CD9" w:rsidP="00131AEB" w:rsidRDefault="00667CD9" w14:paraId="432598B3" w14:textId="77777777">
      <w:pPr>
        <w:tabs>
          <w:tab w:val="left" w:pos="2230"/>
        </w:tabs>
        <w:rPr>
          <w:sz w:val="14"/>
          <w:szCs w:val="14"/>
        </w:rPr>
      </w:pPr>
    </w:p>
    <w:p w:rsidRPr="001C4F78" w:rsidR="00FA3CDA" w:rsidP="00131AEB" w:rsidRDefault="00FA3CDA" w14:paraId="25921FFD" w14:textId="77777777">
      <w:pPr>
        <w:tabs>
          <w:tab w:val="left" w:pos="2230"/>
        </w:tabs>
        <w:rPr>
          <w:sz w:val="14"/>
          <w:szCs w:val="14"/>
        </w:rPr>
      </w:pPr>
    </w:p>
    <w:p w:rsidRPr="001C4F78" w:rsidR="00FA3CDA" w:rsidP="00131AEB" w:rsidRDefault="00FA3CDA" w14:paraId="03FDFB83" w14:textId="77777777">
      <w:pPr>
        <w:tabs>
          <w:tab w:val="left" w:pos="2230"/>
        </w:tabs>
        <w:rPr>
          <w:sz w:val="14"/>
          <w:szCs w:val="14"/>
        </w:rPr>
      </w:pPr>
    </w:p>
    <w:p w:rsidRPr="001C4F78" w:rsidR="00250742" w:rsidP="00131AEB" w:rsidRDefault="00250742" w14:paraId="183374CC" w14:textId="77777777">
      <w:pPr>
        <w:tabs>
          <w:tab w:val="left" w:pos="2230"/>
        </w:tabs>
        <w:rPr>
          <w:sz w:val="14"/>
          <w:szCs w:val="14"/>
        </w:rPr>
      </w:pPr>
    </w:p>
    <w:p w:rsidRPr="001C4F78" w:rsidR="00FA3CDA" w:rsidP="00131AEB" w:rsidRDefault="00FA3CDA" w14:paraId="36D8D17A" w14:textId="77777777">
      <w:pPr>
        <w:tabs>
          <w:tab w:val="left" w:pos="2230"/>
        </w:tabs>
        <w:rPr>
          <w:sz w:val="14"/>
          <w:szCs w:val="14"/>
        </w:rPr>
      </w:pPr>
    </w:p>
    <w:tbl>
      <w:tblPr>
        <w:tblpPr w:leftFromText="141" w:rightFromText="141" w:vertAnchor="text" w:horzAnchor="margin" w:tblpXSpec="center" w:tblpY="231"/>
        <w:tblW w:w="10211" w:type="dxa"/>
        <w:tblLayout w:type="fixed"/>
        <w:tblCellMar>
          <w:left w:w="70" w:type="dxa"/>
          <w:right w:w="70" w:type="dxa"/>
        </w:tblCellMar>
        <w:tblLook w:val="04A0" w:firstRow="1" w:lastRow="0" w:firstColumn="1" w:lastColumn="0" w:noHBand="0" w:noVBand="1"/>
      </w:tblPr>
      <w:tblGrid>
        <w:gridCol w:w="3420"/>
        <w:gridCol w:w="1572"/>
        <w:gridCol w:w="723"/>
        <w:gridCol w:w="665"/>
        <w:gridCol w:w="664"/>
        <w:gridCol w:w="890"/>
        <w:gridCol w:w="890"/>
        <w:gridCol w:w="723"/>
        <w:gridCol w:w="664"/>
      </w:tblGrid>
      <w:tr w:rsidRPr="00962818" w:rsidR="00D15509" w:rsidTr="00FA3CDA" w14:paraId="0CA1BBD5" w14:textId="77777777">
        <w:trPr>
          <w:trHeight w:val="115"/>
        </w:trPr>
        <w:tc>
          <w:tcPr>
            <w:tcW w:w="3420" w:type="dxa"/>
            <w:tcBorders>
              <w:top w:val="single" w:color="auto" w:sz="4" w:space="0"/>
              <w:left w:val="single" w:color="auto" w:sz="4" w:space="0"/>
              <w:bottom w:val="single" w:color="auto" w:sz="4" w:space="0"/>
              <w:right w:val="single" w:color="auto" w:sz="4" w:space="0"/>
            </w:tcBorders>
            <w:shd w:val="clear" w:color="auto" w:fill="01689B"/>
            <w:noWrap/>
            <w:vAlign w:val="center"/>
            <w:hideMark/>
          </w:tcPr>
          <w:p w:rsidRPr="00962818" w:rsidR="00962818" w:rsidP="00FA3CDA" w:rsidRDefault="00962818" w14:paraId="699CDCF1" w14:textId="0B477A10">
            <w:pPr>
              <w:spacing w:after="0" w:line="240" w:lineRule="auto"/>
              <w:rPr>
                <w:rFonts w:eastAsia="Times New Roman" w:cs="Times New Roman"/>
                <w:b/>
                <w:bCs/>
                <w:color w:val="FFFFFF"/>
                <w:kern w:val="0"/>
                <w:sz w:val="14"/>
                <w:szCs w:val="14"/>
                <w:lang w:eastAsia="nl-NL"/>
                <w14:ligatures w14:val="none"/>
              </w:rPr>
            </w:pPr>
            <w:bookmarkStart w:name="_Hlk198554609" w:id="15"/>
            <w:r w:rsidRPr="00962818">
              <w:rPr>
                <w:rFonts w:eastAsia="Times New Roman" w:cs="Times New Roman"/>
                <w:b/>
                <w:bCs/>
                <w:color w:val="FFFFFF"/>
                <w:kern w:val="0"/>
                <w:sz w:val="14"/>
                <w:szCs w:val="14"/>
                <w:lang w:eastAsia="nl-NL"/>
                <w14:ligatures w14:val="none"/>
              </w:rPr>
              <w:lastRenderedPageBreak/>
              <w:t>Budgettaire projecties</w:t>
            </w:r>
          </w:p>
        </w:tc>
        <w:tc>
          <w:tcPr>
            <w:tcW w:w="1572" w:type="dxa"/>
            <w:tcBorders>
              <w:top w:val="single" w:color="auto" w:sz="4" w:space="0"/>
              <w:left w:val="nil"/>
              <w:bottom w:val="single" w:color="auto" w:sz="4" w:space="0"/>
              <w:right w:val="single" w:color="auto" w:sz="4" w:space="0"/>
            </w:tcBorders>
            <w:shd w:val="clear" w:color="auto" w:fill="01689B"/>
            <w:vAlign w:val="bottom"/>
            <w:hideMark/>
          </w:tcPr>
          <w:p w:rsidRPr="004B4374" w:rsidR="00962818" w:rsidP="00FA3CDA" w:rsidRDefault="00962818" w14:paraId="41D4F632"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single" w:color="auto" w:sz="4" w:space="0"/>
              <w:left w:val="nil"/>
              <w:bottom w:val="single" w:color="auto" w:sz="4" w:space="0"/>
              <w:right w:val="single" w:color="auto" w:sz="4" w:space="0"/>
            </w:tcBorders>
            <w:shd w:val="clear" w:color="auto" w:fill="01689B"/>
            <w:vAlign w:val="bottom"/>
            <w:hideMark/>
          </w:tcPr>
          <w:p w:rsidRPr="00962818" w:rsidR="00962818" w:rsidP="00FA3CDA" w:rsidRDefault="00962818" w14:paraId="21F5C48B"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2023</w:t>
            </w:r>
          </w:p>
        </w:tc>
        <w:tc>
          <w:tcPr>
            <w:tcW w:w="665" w:type="dxa"/>
            <w:tcBorders>
              <w:top w:val="single" w:color="auto" w:sz="4" w:space="0"/>
              <w:left w:val="nil"/>
              <w:bottom w:val="single" w:color="auto" w:sz="4" w:space="0"/>
              <w:right w:val="single" w:color="auto" w:sz="4" w:space="0"/>
            </w:tcBorders>
            <w:shd w:val="clear" w:color="auto" w:fill="01689B"/>
            <w:vAlign w:val="bottom"/>
            <w:hideMark/>
          </w:tcPr>
          <w:p w:rsidRPr="00962818" w:rsidR="00962818" w:rsidP="00FA3CDA" w:rsidRDefault="00962818" w14:paraId="6C81BCF2"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2023</w:t>
            </w:r>
          </w:p>
        </w:tc>
        <w:tc>
          <w:tcPr>
            <w:tcW w:w="664" w:type="dxa"/>
            <w:tcBorders>
              <w:top w:val="single" w:color="auto" w:sz="4" w:space="0"/>
              <w:left w:val="nil"/>
              <w:bottom w:val="single" w:color="auto" w:sz="4" w:space="0"/>
              <w:right w:val="single" w:color="auto" w:sz="4" w:space="0"/>
            </w:tcBorders>
            <w:shd w:val="clear" w:color="auto" w:fill="01689B"/>
            <w:vAlign w:val="bottom"/>
            <w:hideMark/>
          </w:tcPr>
          <w:p w:rsidRPr="00962818" w:rsidR="00962818" w:rsidP="00FA3CDA" w:rsidRDefault="00962818" w14:paraId="483A6F73"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2024</w:t>
            </w:r>
          </w:p>
        </w:tc>
        <w:tc>
          <w:tcPr>
            <w:tcW w:w="890" w:type="dxa"/>
            <w:tcBorders>
              <w:top w:val="single" w:color="auto" w:sz="4" w:space="0"/>
              <w:left w:val="nil"/>
              <w:bottom w:val="single" w:color="auto" w:sz="4" w:space="0"/>
              <w:right w:val="single" w:color="auto" w:sz="4" w:space="0"/>
            </w:tcBorders>
            <w:shd w:val="clear" w:color="auto" w:fill="01689B"/>
            <w:vAlign w:val="bottom"/>
            <w:hideMark/>
          </w:tcPr>
          <w:p w:rsidRPr="00962818" w:rsidR="00962818" w:rsidP="00FA3CDA" w:rsidRDefault="00962818" w14:paraId="04D25909"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2025</w:t>
            </w:r>
          </w:p>
        </w:tc>
        <w:tc>
          <w:tcPr>
            <w:tcW w:w="890" w:type="dxa"/>
            <w:tcBorders>
              <w:top w:val="single" w:color="auto" w:sz="4" w:space="0"/>
              <w:left w:val="nil"/>
              <w:bottom w:val="single" w:color="auto" w:sz="4" w:space="0"/>
              <w:right w:val="single" w:color="auto" w:sz="4" w:space="0"/>
            </w:tcBorders>
            <w:shd w:val="clear" w:color="auto" w:fill="01689B"/>
            <w:vAlign w:val="bottom"/>
            <w:hideMark/>
          </w:tcPr>
          <w:p w:rsidRPr="00962818" w:rsidR="00962818" w:rsidP="00FA3CDA" w:rsidRDefault="00962818" w14:paraId="14AE61F9"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2026</w:t>
            </w:r>
          </w:p>
        </w:tc>
        <w:tc>
          <w:tcPr>
            <w:tcW w:w="723" w:type="dxa"/>
            <w:tcBorders>
              <w:top w:val="single" w:color="auto" w:sz="4" w:space="0"/>
              <w:left w:val="nil"/>
              <w:bottom w:val="single" w:color="auto" w:sz="4" w:space="0"/>
              <w:right w:val="single" w:color="auto" w:sz="4" w:space="0"/>
            </w:tcBorders>
            <w:shd w:val="clear" w:color="auto" w:fill="01689B"/>
            <w:vAlign w:val="bottom"/>
            <w:hideMark/>
          </w:tcPr>
          <w:p w:rsidRPr="00962818" w:rsidR="00962818" w:rsidP="00FA3CDA" w:rsidRDefault="00962818" w14:paraId="00F14DAD"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2027</w:t>
            </w:r>
          </w:p>
        </w:tc>
        <w:tc>
          <w:tcPr>
            <w:tcW w:w="664" w:type="dxa"/>
            <w:tcBorders>
              <w:top w:val="single" w:color="auto" w:sz="4" w:space="0"/>
              <w:left w:val="nil"/>
              <w:bottom w:val="single" w:color="auto" w:sz="4" w:space="0"/>
              <w:right w:val="single" w:color="auto" w:sz="4" w:space="0"/>
            </w:tcBorders>
            <w:shd w:val="clear" w:color="auto" w:fill="01689B"/>
            <w:vAlign w:val="bottom"/>
            <w:hideMark/>
          </w:tcPr>
          <w:p w:rsidRPr="00962818" w:rsidR="00962818" w:rsidP="00FA3CDA" w:rsidRDefault="00962818" w14:paraId="443D8C83"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2028</w:t>
            </w:r>
          </w:p>
        </w:tc>
      </w:tr>
      <w:tr w:rsidRPr="00962818" w:rsidR="005D1698" w:rsidTr="00FA3CDA" w14:paraId="1AC81CA9" w14:textId="77777777">
        <w:trPr>
          <w:trHeight w:val="110"/>
        </w:trPr>
        <w:tc>
          <w:tcPr>
            <w:tcW w:w="3420" w:type="dxa"/>
            <w:tcBorders>
              <w:top w:val="nil"/>
              <w:left w:val="single" w:color="auto" w:sz="4" w:space="0"/>
              <w:bottom w:val="single" w:color="auto" w:sz="4" w:space="0"/>
              <w:right w:val="single" w:color="auto" w:sz="4" w:space="0"/>
            </w:tcBorders>
            <w:shd w:val="clear" w:color="auto" w:fill="01689B"/>
            <w:vAlign w:val="bottom"/>
            <w:hideMark/>
          </w:tcPr>
          <w:p w:rsidRPr="00962818" w:rsidR="005D1698" w:rsidP="005D1698" w:rsidRDefault="005D1698" w14:paraId="3F488634"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Inkomsten</w:t>
            </w:r>
          </w:p>
        </w:tc>
        <w:tc>
          <w:tcPr>
            <w:tcW w:w="1572"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5C514BC3"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ESA code</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35D44DA2"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mld.</w:t>
            </w:r>
          </w:p>
        </w:tc>
        <w:tc>
          <w:tcPr>
            <w:tcW w:w="665"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2CB318DE"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6DCDCE65"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0B73D90E"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765A91F9"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0B9EFDE3"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6D7EADD3" w14:textId="55205664">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r>
      <w:tr w:rsidRPr="00962818" w:rsidR="005D1698" w:rsidTr="00FA3CDA" w14:paraId="080D0D59" w14:textId="77777777">
        <w:trPr>
          <w:trHeight w:val="104"/>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2B30FC71"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 Belastingen op productie en import</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11514AED"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6B431B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118,8</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9E3846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85C591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9D274D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9D9196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8B0280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8FBB94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11,3</w:t>
            </w:r>
          </w:p>
        </w:tc>
      </w:tr>
      <w:tr w:rsidRPr="00962818" w:rsidR="005D1698" w:rsidTr="00FA3CDA" w14:paraId="4E52A9D6" w14:textId="77777777">
        <w:trPr>
          <w:trHeight w:val="144"/>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2FD5D01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 Belastingen op inkomen, vermogen etc.</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389CB96E"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D.5</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F8277D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156,3</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B3C6CD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14,6</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8293A9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0B8B64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13,9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9348C7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FFD9B8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F4566C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14,2</w:t>
            </w:r>
          </w:p>
        </w:tc>
      </w:tr>
      <w:tr w:rsidRPr="00962818" w:rsidR="005D1698" w:rsidTr="00FA3CDA" w14:paraId="5B79BCC3" w14:textId="77777777">
        <w:trPr>
          <w:trHeight w:val="29"/>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7831EFA2"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 Sociale bijdragen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2EC30B72"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D.61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B9AD5F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134,6</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E0FAF3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12,6</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AC0965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12,4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954292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12,9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CBC653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12,9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283957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13,2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D0AEA8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13,3</w:t>
            </w:r>
          </w:p>
        </w:tc>
      </w:tr>
      <w:tr w:rsidRPr="00962818" w:rsidR="005D1698" w:rsidTr="00FA3CDA" w14:paraId="70763BEE" w14:textId="77777777">
        <w:trPr>
          <w:trHeight w:val="92"/>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51879CCE"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 Overige inkomsten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5A977861"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(P.11+P.12+P.131)+D.39 + D.4 + D.7</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FF2108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44,0</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4701AF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BC6C04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2CC5CF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517F19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29AD5D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90A593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4,0</w:t>
            </w:r>
          </w:p>
        </w:tc>
      </w:tr>
      <w:tr w:rsidRPr="00962818" w:rsidR="005D1698" w:rsidTr="00FA3CDA" w14:paraId="7C78B3E3" w14:textId="77777777">
        <w:trPr>
          <w:trHeight w:val="49"/>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021B9663"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5. Vermogensheffingen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776514C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D.91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BDAF4B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3,1</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9EA893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59EC52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6FDDED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45A424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5AE9BA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6953B8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r>
      <w:tr w:rsidRPr="00962818" w:rsidR="005D1698" w:rsidTr="00FA3CDA" w14:paraId="315C784E"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3F3E081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 Overige kapitaalinkomsten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49C964AC"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D.92+D.99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E28002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F9B116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AF703C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158595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567F7A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093CEF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1773CF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r>
      <w:tr w:rsidRPr="00962818" w:rsidR="005D1698" w:rsidTr="00FA3CDA" w14:paraId="42B31A09"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1AE88B9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7. Totale inkomsten (= 1+2+3+4+5+6)</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663FDC7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TR</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AF9E5C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457,4</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FF0B24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42,8</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FF3FCF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E3DAD1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F26E95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42,6</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2D32E5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AA570C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43,1</w:t>
            </w:r>
          </w:p>
        </w:tc>
      </w:tr>
      <w:tr w:rsidRPr="00962818" w:rsidR="005D1698" w:rsidTr="00FA3CDA" w14:paraId="6DF42C14"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22D696C1"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 Waarvan: EU overdrachten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1D622CBA"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D.7EU+D.9EU</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A5AA16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1EED15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1E2108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8A0288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33F08E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4453B3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EFCA64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r>
      <w:tr w:rsidRPr="00962818" w:rsidR="005D1698" w:rsidTr="00FA3CDA" w14:paraId="7E598D82"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10DA5B9B"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9. Totaal inkomsten anders dan </w:t>
            </w:r>
          </w:p>
          <w:p w:rsidRPr="00962818" w:rsidR="005D1698" w:rsidP="005D1698" w:rsidRDefault="005D1698" w14:paraId="29C4C771" w14:textId="335B9973">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overdrachten van de EU (= 7-8)</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7D23FE02"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8D4894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456,9</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CA2B6F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42,8</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952039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A6073D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14A1ED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42,5</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38CBB2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8F4736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43,1</w:t>
            </w:r>
          </w:p>
        </w:tc>
      </w:tr>
      <w:tr w:rsidRPr="00962818" w:rsidR="005D1698" w:rsidTr="00FA3CDA" w14:paraId="512423AC"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6DC18A0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10. Inkomstenmaatregelen (incrementen, </w:t>
            </w:r>
            <w:r w:rsidRPr="00962818">
              <w:rPr>
                <w:rFonts w:eastAsia="Times New Roman" w:cs="Times New Roman"/>
                <w:color w:val="000000"/>
                <w:kern w:val="0"/>
                <w:sz w:val="14"/>
                <w:szCs w:val="14"/>
                <w:lang w:eastAsia="nl-NL"/>
                <w14:ligatures w14:val="none"/>
              </w:rPr>
              <w:br/>
              <w:t>exclusief door EU gefinancierde maatregelen)</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34D9252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97337B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3,3</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42C31B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E7BAD4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9B2F29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111E32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644F81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EEF1DF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r>
      <w:tr w:rsidRPr="00962818" w:rsidR="005D1698" w:rsidTr="00FA3CDA" w14:paraId="057D537C"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3623891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11. Eenmalige inkomsten opgenomen in de </w:t>
            </w:r>
            <w:r w:rsidRPr="00962818">
              <w:rPr>
                <w:rFonts w:eastAsia="Times New Roman" w:cs="Times New Roman"/>
                <w:color w:val="000000"/>
                <w:kern w:val="0"/>
                <w:sz w:val="14"/>
                <w:szCs w:val="14"/>
                <w:lang w:eastAsia="nl-NL"/>
                <w14:ligatures w14:val="none"/>
              </w:rPr>
              <w:br/>
              <w:t xml:space="preserve">prognoses (niveaus, exclusief door EU </w:t>
            </w:r>
            <w:r w:rsidRPr="00962818">
              <w:rPr>
                <w:rFonts w:eastAsia="Times New Roman" w:cs="Times New Roman"/>
                <w:color w:val="000000"/>
                <w:kern w:val="0"/>
                <w:sz w:val="14"/>
                <w:szCs w:val="14"/>
                <w:lang w:eastAsia="nl-NL"/>
                <w14:ligatures w14:val="none"/>
              </w:rPr>
              <w:br/>
              <w:t>gefinancierde maatregelen)</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0C4EE73D"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A09C54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5,4</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3E1545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66E300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C3557E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5793CB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719FFC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B767F5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r>
      <w:tr w:rsidRPr="00962818" w:rsidR="005D1698" w:rsidTr="00FA3CDA" w14:paraId="668201D1" w14:textId="77777777">
        <w:trPr>
          <w:trHeight w:val="158"/>
        </w:trPr>
        <w:tc>
          <w:tcPr>
            <w:tcW w:w="3420" w:type="dxa"/>
            <w:tcBorders>
              <w:top w:val="nil"/>
              <w:left w:val="single" w:color="auto" w:sz="4" w:space="0"/>
              <w:bottom w:val="single" w:color="auto" w:sz="4" w:space="0"/>
              <w:right w:val="single" w:color="auto" w:sz="4" w:space="0"/>
            </w:tcBorders>
            <w:shd w:val="clear" w:color="auto" w:fill="01689B"/>
            <w:vAlign w:val="bottom"/>
            <w:hideMark/>
          </w:tcPr>
          <w:p w:rsidRPr="00962818" w:rsidR="005D1698" w:rsidP="005D1698" w:rsidRDefault="005D1698" w14:paraId="7D5EC043"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Uitgaven</w:t>
            </w:r>
          </w:p>
        </w:tc>
        <w:tc>
          <w:tcPr>
            <w:tcW w:w="1572"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3702C9A5"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00FE89CD"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mld.</w:t>
            </w:r>
          </w:p>
        </w:tc>
        <w:tc>
          <w:tcPr>
            <w:tcW w:w="665"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3FF91C32"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52BB6FC6"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7BBBDA6A"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70B70C64"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39634A25"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312043FC" w14:textId="089ABCA0">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r>
      <w:tr w:rsidRPr="00962818" w:rsidR="005D1698" w:rsidTr="00FA3CDA" w14:paraId="483C1961"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5F6A793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12. Beloning van werknemers</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12B9171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1B7743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88,8</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5F352C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2BB777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CE385B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8,7</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F8CD99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8,6</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984BDE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476931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8,4</w:t>
            </w:r>
          </w:p>
        </w:tc>
      </w:tr>
      <w:tr w:rsidRPr="00962818" w:rsidR="005D1698" w:rsidTr="00FA3CDA" w14:paraId="0E0D1E5A"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4F3CB45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13. Intermediair verbruik</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66DF84CF"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P.2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7F6E82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67,2</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63593D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07546E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E2D83F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32CDDE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6,3</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B4A60F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F764FA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6,0</w:t>
            </w:r>
          </w:p>
        </w:tc>
      </w:tr>
      <w:tr w:rsidRPr="00962818" w:rsidR="005D1698" w:rsidTr="00FA3CDA" w14:paraId="18FE3B95"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407160E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 Rente-uitgaven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589F65FE"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D.41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618A69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7,3</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ABB456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D6308F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B5CBA1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F5ABDD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732E77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6E7410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w:t>
            </w:r>
          </w:p>
        </w:tc>
      </w:tr>
      <w:tr w:rsidRPr="00962818" w:rsidR="005D1698" w:rsidTr="00FA3CDA" w14:paraId="0B89720F" w14:textId="77777777">
        <w:trPr>
          <w:trHeight w:val="21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5AE2636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15. Sociale uitkeringen ( exclusief sociale </w:t>
            </w:r>
            <w:r w:rsidRPr="00962818">
              <w:rPr>
                <w:rFonts w:eastAsia="Times New Roman" w:cs="Times New Roman"/>
                <w:color w:val="000000"/>
                <w:kern w:val="0"/>
                <w:sz w:val="14"/>
                <w:szCs w:val="14"/>
                <w:lang w:eastAsia="nl-NL"/>
                <w14:ligatures w14:val="none"/>
              </w:rPr>
              <w:br/>
              <w:t>overdrachten in natura)</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3A0C51B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D.62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5A7C2F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109,9</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FEFE76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18E556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C6F469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10,8</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3F386C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085DAD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A28D7B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11,0</w:t>
            </w:r>
          </w:p>
        </w:tc>
      </w:tr>
      <w:tr w:rsidRPr="00962818" w:rsidR="005D1698" w:rsidTr="00FA3CDA" w14:paraId="32DCF5DE" w14:textId="77777777">
        <w:trPr>
          <w:trHeight w:val="21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1DC545EB"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16. Sociale overdrachten in natura </w:t>
            </w:r>
            <w:r w:rsidRPr="00962818">
              <w:rPr>
                <w:rFonts w:eastAsia="Times New Roman" w:cs="Times New Roman"/>
                <w:color w:val="000000"/>
                <w:kern w:val="0"/>
                <w:sz w:val="14"/>
                <w:szCs w:val="14"/>
                <w:lang w:eastAsia="nl-NL"/>
                <w14:ligatures w14:val="none"/>
              </w:rPr>
              <w:br/>
              <w:t>aangekochte marktproducten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3417FA4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D.632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6E9283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108,1</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9B8CF8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1FF1A9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2AB8F1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10,5</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A9DFBD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10,7</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9D42D3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BD6B4D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11,3</w:t>
            </w:r>
          </w:p>
        </w:tc>
      </w:tr>
      <w:tr w:rsidRPr="00962818" w:rsidR="005D1698" w:rsidTr="00FA3CDA" w14:paraId="5BD05452"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210F7AE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17. Subsidies</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69EA8139"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D.3</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46C665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18,0</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D9ECA0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1,7</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FB9781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941B6E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1,5</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912382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B01C6A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E2FBAD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r>
      <w:tr w:rsidRPr="00962818" w:rsidR="005D1698" w:rsidTr="00FA3CDA" w14:paraId="2716154D"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538D461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 Overige uitgaven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6DC6F3A9"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D.29 + (D.4-D.41) + D.5 + D.7 + D.8</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47E9EA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21,6</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898EA5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D6319F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1,7</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DE81D6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CBDD2D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94D44D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456A65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1,9</w:t>
            </w:r>
          </w:p>
        </w:tc>
      </w:tr>
      <w:tr w:rsidRPr="00962818" w:rsidR="005D1698" w:rsidTr="00FA3CDA" w14:paraId="1FA03454"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4F951405"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19. Bruto-investeringen in vaste activa</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252DF3D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P.51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EF0216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33,6</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D3F0D6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6F28BF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1F0C1F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C4D4FB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3,4</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CF8AB9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ADAFCF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3,7</w:t>
            </w:r>
          </w:p>
        </w:tc>
      </w:tr>
      <w:tr w:rsidRPr="00962818" w:rsidR="005D1698" w:rsidTr="00FA3CDA" w14:paraId="52DF2880"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0B20303D" w14:textId="77777777">
            <w:pPr>
              <w:spacing w:after="0" w:line="240" w:lineRule="auto"/>
              <w:rPr>
                <w:rFonts w:eastAsia="Times New Roman" w:cs="Times New Roman"/>
                <w:i/>
                <w:iCs/>
                <w:color w:val="000000"/>
                <w:kern w:val="0"/>
                <w:sz w:val="14"/>
                <w:szCs w:val="14"/>
                <w:lang w:eastAsia="nl-NL"/>
                <w14:ligatures w14:val="none"/>
              </w:rPr>
            </w:pPr>
            <w:r w:rsidRPr="00962818">
              <w:rPr>
                <w:rFonts w:eastAsia="Times New Roman" w:cs="Times New Roman"/>
                <w:i/>
                <w:iCs/>
                <w:color w:val="000000"/>
                <w:kern w:val="0"/>
                <w:sz w:val="14"/>
                <w:szCs w:val="14"/>
                <w:lang w:eastAsia="nl-NL"/>
                <w14:ligatures w14:val="none"/>
              </w:rPr>
              <w:t xml:space="preserve">20. Waarvan: nationaal gefinancierde </w:t>
            </w:r>
            <w:r w:rsidRPr="00962818">
              <w:rPr>
                <w:rFonts w:eastAsia="Times New Roman" w:cs="Times New Roman"/>
                <w:i/>
                <w:iCs/>
                <w:color w:val="000000"/>
                <w:kern w:val="0"/>
                <w:sz w:val="14"/>
                <w:szCs w:val="14"/>
                <w:lang w:eastAsia="nl-NL"/>
                <w14:ligatures w14:val="none"/>
              </w:rPr>
              <w:br/>
              <w:t>overheidsinvesteringen</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6CE74DC7"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09FBF4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33,6</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B7A0DE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473AA6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45D678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E59A56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3,4</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02BF1F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0EF0A8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3,7</w:t>
            </w:r>
          </w:p>
        </w:tc>
      </w:tr>
      <w:tr w:rsidRPr="00962818" w:rsidR="005D1698" w:rsidTr="00FA3CDA" w14:paraId="5169072C"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2FDF2013"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21. Kapitaaloverdrachten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1DDE415C"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27E32B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8,0</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E6BD36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0,8</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99A9A5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B20002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5B2BE6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53E131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96E0A6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r>
      <w:tr w:rsidRPr="00962818" w:rsidR="005D1698" w:rsidTr="00FA3CDA" w14:paraId="6A917E74"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73C1403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22. Overige kapitaaluitgaven</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57C9586B"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P.52+P.53+NP</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251E40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AA4B9C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C76EE3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99D8A6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BD248E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D43E9C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16CA76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r>
      <w:tr w:rsidRPr="00962818" w:rsidR="005D1698" w:rsidTr="00FA3CDA" w14:paraId="46578BF6" w14:textId="77777777">
        <w:trPr>
          <w:trHeight w:val="21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166B5B9B"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23. Totale uitgaven (= 12+13+14+15</w:t>
            </w:r>
          </w:p>
          <w:p w:rsidRPr="00962818" w:rsidR="005D1698" w:rsidP="005D1698" w:rsidRDefault="005D1698" w14:paraId="7CBA72B8" w14:textId="73E78782">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+ 16 +17+18+19+21+22)</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17CFFAA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TE</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0CF8B3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461,2</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51DBAA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08EF03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6A31DE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44,4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ABE837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45,4</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9C6BC6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835C60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45,3</w:t>
            </w:r>
          </w:p>
        </w:tc>
      </w:tr>
      <w:tr w:rsidRPr="00962818" w:rsidR="005D1698" w:rsidTr="00FA3CDA" w14:paraId="731B5661" w14:textId="77777777">
        <w:trPr>
          <w:trHeight w:val="21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3E535A1F"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24. Waarvan: Uitgaven gefinancierd door EU </w:t>
            </w:r>
            <w:r w:rsidRPr="00962818">
              <w:rPr>
                <w:rFonts w:eastAsia="Times New Roman" w:cs="Times New Roman"/>
                <w:color w:val="000000"/>
                <w:kern w:val="0"/>
                <w:sz w:val="14"/>
                <w:szCs w:val="14"/>
                <w:lang w:eastAsia="nl-NL"/>
                <w14:ligatures w14:val="none"/>
              </w:rPr>
              <w:br/>
              <w:t>overdrachten (= 8)</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1EB5250A"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D.7EU+D.9EU</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65AB8F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175B3E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B83107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E1B688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C8579A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798571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A50F81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r>
      <w:tr w:rsidRPr="00962818" w:rsidR="005D1698" w:rsidTr="00FA3CDA" w14:paraId="16FED47F"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306F140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25. Nationaal gefinancierde uitgaven (23-24)</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3060188D"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19AA20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460,7</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447BBD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EFE0F5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43,8</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39EFCC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44,3</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5535FE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45,4</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A927742"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FF5F91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45,2</w:t>
            </w:r>
          </w:p>
        </w:tc>
      </w:tr>
      <w:tr w:rsidRPr="00962818" w:rsidR="005D1698" w:rsidTr="00FA3CDA" w14:paraId="5C5EF88D"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78AFDD8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26. Nationale co-financiering van </w:t>
            </w:r>
            <w:r w:rsidRPr="00962818">
              <w:rPr>
                <w:rFonts w:eastAsia="Times New Roman" w:cs="Times New Roman"/>
                <w:color w:val="000000"/>
                <w:kern w:val="0"/>
                <w:sz w:val="14"/>
                <w:szCs w:val="14"/>
                <w:lang w:eastAsia="nl-NL"/>
                <w14:ligatures w14:val="none"/>
              </w:rPr>
              <w:br/>
              <w:t>programmas gefinancierd door de Unie</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0DD2A07F"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463E5C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1,2</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773D61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1EA254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EA4C93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2C92F0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B1F1CB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39CFF7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r>
      <w:tr w:rsidRPr="00962818" w:rsidR="005D1698" w:rsidTr="00FA3CDA" w14:paraId="74DD80CC"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235FBEDF"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27. Conjuncturele component van </w:t>
            </w:r>
            <w:r w:rsidRPr="00962818">
              <w:rPr>
                <w:rFonts w:eastAsia="Times New Roman" w:cs="Times New Roman"/>
                <w:color w:val="000000"/>
                <w:kern w:val="0"/>
                <w:sz w:val="14"/>
                <w:szCs w:val="14"/>
                <w:lang w:eastAsia="nl-NL"/>
                <w14:ligatures w14:val="none"/>
              </w:rPr>
              <w:br/>
              <w:t>werkloosheidsuitkeringen</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2B2A405D"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EF3F0F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F705B5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46D257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A43590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4BAC1E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BAE621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BF4C5C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0,1</w:t>
            </w:r>
          </w:p>
        </w:tc>
      </w:tr>
      <w:tr w:rsidRPr="00962818" w:rsidR="005D1698" w:rsidTr="00FA3CDA" w14:paraId="7222EC8B"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2D791EF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28. Eenmalige uitgaven inbegrepen in de </w:t>
            </w:r>
            <w:r w:rsidRPr="00962818">
              <w:rPr>
                <w:rFonts w:eastAsia="Times New Roman" w:cs="Times New Roman"/>
                <w:color w:val="000000"/>
                <w:kern w:val="0"/>
                <w:sz w:val="14"/>
                <w:szCs w:val="14"/>
                <w:lang w:eastAsia="nl-NL"/>
                <w14:ligatures w14:val="none"/>
              </w:rPr>
              <w:br/>
              <w:t xml:space="preserve">projecties (niveaus, exclusief EU </w:t>
            </w:r>
            <w:r w:rsidRPr="00962818">
              <w:rPr>
                <w:rFonts w:eastAsia="Times New Roman" w:cs="Times New Roman"/>
                <w:color w:val="000000"/>
                <w:kern w:val="0"/>
                <w:sz w:val="14"/>
                <w:szCs w:val="14"/>
                <w:lang w:eastAsia="nl-NL"/>
                <w14:ligatures w14:val="none"/>
              </w:rPr>
              <w:br/>
              <w:t>gefinancierde maatregelen)</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1AA5EE22"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AAD404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386D66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6DC10A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376907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691AE0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DCE193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6AAF2B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r>
      <w:tr w:rsidRPr="00962818" w:rsidR="005D1698" w:rsidTr="00FA3CDA" w14:paraId="3562EF9E"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43A13100"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29. Netto nationaal gefinancierde primaire </w:t>
            </w:r>
            <w:r w:rsidRPr="00962818">
              <w:rPr>
                <w:rFonts w:eastAsia="Times New Roman" w:cs="Times New Roman"/>
                <w:color w:val="000000"/>
                <w:kern w:val="0"/>
                <w:sz w:val="14"/>
                <w:szCs w:val="14"/>
                <w:lang w:eastAsia="nl-NL"/>
                <w14:ligatures w14:val="none"/>
              </w:rPr>
              <w:br/>
              <w:t xml:space="preserve">uitgaven (voor inkomstenmaatregelen) (= </w:t>
            </w:r>
            <w:r w:rsidRPr="00962818">
              <w:rPr>
                <w:rFonts w:eastAsia="Times New Roman" w:cs="Times New Roman"/>
                <w:color w:val="000000"/>
                <w:kern w:val="0"/>
                <w:sz w:val="14"/>
                <w:szCs w:val="14"/>
                <w:lang w:eastAsia="nl-NL"/>
                <w14:ligatures w14:val="none"/>
              </w:rPr>
              <w:br/>
              <w:t>25-26-27-28-14)</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19E19336"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DD939A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452,7</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185E75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42,4</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90860C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42,5</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1747A6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C893E7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43,6</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82DAAF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44,0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B05138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44,0</w:t>
            </w:r>
          </w:p>
        </w:tc>
      </w:tr>
      <w:tr w:rsidRPr="00962818" w:rsidR="005D1698" w:rsidTr="00FA3CDA" w14:paraId="5CA1446D" w14:textId="77777777">
        <w:trPr>
          <w:trHeight w:val="158"/>
        </w:trPr>
        <w:tc>
          <w:tcPr>
            <w:tcW w:w="3420" w:type="dxa"/>
            <w:tcBorders>
              <w:top w:val="nil"/>
              <w:left w:val="single" w:color="auto" w:sz="4" w:space="0"/>
              <w:bottom w:val="single" w:color="auto" w:sz="4" w:space="0"/>
              <w:right w:val="single" w:color="auto" w:sz="4" w:space="0"/>
            </w:tcBorders>
            <w:shd w:val="clear" w:color="auto" w:fill="01689B"/>
            <w:noWrap/>
            <w:vAlign w:val="center"/>
            <w:hideMark/>
          </w:tcPr>
          <w:p w:rsidRPr="00962818" w:rsidR="005D1698" w:rsidP="005D1698" w:rsidRDefault="005D1698" w14:paraId="3FFAEF41"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Netto primaire uitgavengroei</w:t>
            </w:r>
          </w:p>
        </w:tc>
        <w:tc>
          <w:tcPr>
            <w:tcW w:w="1572"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18B96369"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1B2781F9"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%g</w:t>
            </w:r>
          </w:p>
        </w:tc>
        <w:tc>
          <w:tcPr>
            <w:tcW w:w="665"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55B1E43B"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%g</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248D7CCF"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%g</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62F9CEB7"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%g</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247C2131"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%g</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49121F0E"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%g</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573E3626"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%g</w:t>
            </w:r>
          </w:p>
        </w:tc>
      </w:tr>
      <w:tr w:rsidRPr="00962818" w:rsidR="00A81C0A" w:rsidTr="00FA3CDA" w14:paraId="352E4F29"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A81C0A" w:rsidP="00A81C0A" w:rsidRDefault="00A81C0A" w14:paraId="6B231AA0"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 xml:space="preserve">30. Netto nationaal gefinancierde primaire </w:t>
            </w:r>
            <w:r w:rsidRPr="00962818">
              <w:rPr>
                <w:rFonts w:eastAsia="Times New Roman" w:cs="Times New Roman"/>
                <w:color w:val="000000"/>
                <w:kern w:val="0"/>
                <w:sz w:val="14"/>
                <w:szCs w:val="14"/>
                <w:lang w:eastAsia="nl-NL"/>
                <w14:ligatures w14:val="none"/>
              </w:rPr>
              <w:br/>
              <w:t>uitgavengroei</w:t>
            </w:r>
          </w:p>
        </w:tc>
        <w:tc>
          <w:tcPr>
            <w:tcW w:w="1572" w:type="dxa"/>
            <w:tcBorders>
              <w:top w:val="nil"/>
              <w:left w:val="nil"/>
              <w:bottom w:val="single" w:color="auto" w:sz="4" w:space="0"/>
              <w:right w:val="single" w:color="auto" w:sz="4" w:space="0"/>
            </w:tcBorders>
            <w:shd w:val="clear" w:color="auto" w:fill="DDEFF8"/>
            <w:vAlign w:val="bottom"/>
            <w:hideMark/>
          </w:tcPr>
          <w:p w:rsidRPr="004B4374" w:rsidR="00A81C0A" w:rsidP="00A81C0A" w:rsidRDefault="00A81C0A" w14:paraId="3CC161D6"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A81C0A" w:rsidP="00A81C0A" w:rsidRDefault="00A81C0A" w14:paraId="61D3365E"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272EC" w:rsidR="00A81C0A" w:rsidP="00A81C0A" w:rsidRDefault="009272EC" w14:paraId="7ED99600" w14:textId="09184067">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7,8</w:t>
            </w:r>
          </w:p>
        </w:tc>
        <w:tc>
          <w:tcPr>
            <w:tcW w:w="664" w:type="dxa"/>
            <w:tcBorders>
              <w:top w:val="nil"/>
              <w:left w:val="nil"/>
              <w:bottom w:val="single" w:color="auto" w:sz="4" w:space="0"/>
              <w:right w:val="single" w:color="auto" w:sz="4" w:space="0"/>
            </w:tcBorders>
            <w:shd w:val="clear" w:color="auto" w:fill="auto"/>
            <w:vAlign w:val="bottom"/>
            <w:hideMark/>
          </w:tcPr>
          <w:p w:rsidRPr="009A661E" w:rsidR="00A81C0A" w:rsidP="00A81C0A" w:rsidRDefault="00A81C0A" w14:paraId="7C5C86BE" w14:textId="026B631F">
            <w:pPr>
              <w:spacing w:after="0" w:line="240" w:lineRule="auto"/>
              <w:jc w:val="right"/>
              <w:rPr>
                <w:rFonts w:eastAsia="Times New Roman" w:cs="Times New Roman"/>
                <w:color w:val="000000"/>
                <w:kern w:val="0"/>
                <w:sz w:val="14"/>
                <w:szCs w:val="14"/>
                <w:highlight w:val="yellow"/>
                <w:lang w:eastAsia="nl-NL"/>
                <w14:ligatures w14:val="none"/>
              </w:rPr>
            </w:pPr>
            <w:r w:rsidRPr="009A661E">
              <w:rPr>
                <w:rFonts w:cs="Calibri"/>
                <w:color w:val="000000"/>
                <w:sz w:val="14"/>
                <w:szCs w:val="14"/>
              </w:rPr>
              <w:t>5,7</w:t>
            </w:r>
          </w:p>
        </w:tc>
        <w:tc>
          <w:tcPr>
            <w:tcW w:w="890" w:type="dxa"/>
            <w:tcBorders>
              <w:top w:val="nil"/>
              <w:left w:val="nil"/>
              <w:bottom w:val="single" w:color="auto" w:sz="4" w:space="0"/>
              <w:right w:val="single" w:color="auto" w:sz="4" w:space="0"/>
            </w:tcBorders>
            <w:shd w:val="clear" w:color="auto" w:fill="auto"/>
            <w:vAlign w:val="bottom"/>
            <w:hideMark/>
          </w:tcPr>
          <w:p w:rsidRPr="009A661E" w:rsidR="00A81C0A" w:rsidP="00A81C0A" w:rsidRDefault="00A81C0A" w14:paraId="04AA13E6" w14:textId="6CC65C79">
            <w:pPr>
              <w:spacing w:after="0" w:line="240" w:lineRule="auto"/>
              <w:jc w:val="right"/>
              <w:rPr>
                <w:rFonts w:eastAsia="Times New Roman" w:cs="Times New Roman"/>
                <w:color w:val="000000"/>
                <w:kern w:val="0"/>
                <w:sz w:val="14"/>
                <w:szCs w:val="14"/>
                <w:highlight w:val="yellow"/>
                <w:lang w:eastAsia="nl-NL"/>
                <w14:ligatures w14:val="none"/>
              </w:rPr>
            </w:pPr>
            <w:r w:rsidRPr="009A661E">
              <w:rPr>
                <w:rFonts w:cs="Calibri"/>
                <w:color w:val="000000"/>
                <w:sz w:val="14"/>
                <w:szCs w:val="14"/>
              </w:rPr>
              <w:t>7,9</w:t>
            </w:r>
          </w:p>
        </w:tc>
        <w:tc>
          <w:tcPr>
            <w:tcW w:w="890" w:type="dxa"/>
            <w:tcBorders>
              <w:top w:val="nil"/>
              <w:left w:val="nil"/>
              <w:bottom w:val="single" w:color="auto" w:sz="4" w:space="0"/>
              <w:right w:val="single" w:color="auto" w:sz="4" w:space="0"/>
            </w:tcBorders>
            <w:shd w:val="clear" w:color="auto" w:fill="auto"/>
            <w:vAlign w:val="bottom"/>
            <w:hideMark/>
          </w:tcPr>
          <w:p w:rsidRPr="009A661E" w:rsidR="00A81C0A" w:rsidP="00A81C0A" w:rsidRDefault="00A81C0A" w14:paraId="0BCA0F30" w14:textId="10D6815A">
            <w:pPr>
              <w:spacing w:after="0" w:line="240" w:lineRule="auto"/>
              <w:jc w:val="right"/>
              <w:rPr>
                <w:rFonts w:eastAsia="Times New Roman" w:cs="Times New Roman"/>
                <w:color w:val="000000"/>
                <w:kern w:val="0"/>
                <w:sz w:val="14"/>
                <w:szCs w:val="14"/>
                <w:highlight w:val="yellow"/>
                <w:lang w:eastAsia="nl-NL"/>
                <w14:ligatures w14:val="none"/>
              </w:rPr>
            </w:pPr>
            <w:r w:rsidRPr="009A661E">
              <w:rPr>
                <w:rFonts w:cs="Calibri"/>
                <w:color w:val="000000"/>
                <w:sz w:val="14"/>
                <w:szCs w:val="14"/>
              </w:rPr>
              <w:t>3,4</w:t>
            </w:r>
          </w:p>
        </w:tc>
        <w:tc>
          <w:tcPr>
            <w:tcW w:w="723" w:type="dxa"/>
            <w:tcBorders>
              <w:top w:val="nil"/>
              <w:left w:val="nil"/>
              <w:bottom w:val="single" w:color="auto" w:sz="4" w:space="0"/>
              <w:right w:val="single" w:color="auto" w:sz="4" w:space="0"/>
            </w:tcBorders>
            <w:shd w:val="clear" w:color="auto" w:fill="auto"/>
            <w:vAlign w:val="bottom"/>
            <w:hideMark/>
          </w:tcPr>
          <w:p w:rsidRPr="009A661E" w:rsidR="00A81C0A" w:rsidP="00A81C0A" w:rsidRDefault="00A81C0A" w14:paraId="61B5537E" w14:textId="102D19C3">
            <w:pPr>
              <w:spacing w:after="0" w:line="240" w:lineRule="auto"/>
              <w:jc w:val="right"/>
              <w:rPr>
                <w:rFonts w:eastAsia="Times New Roman" w:cs="Times New Roman"/>
                <w:color w:val="000000"/>
                <w:kern w:val="0"/>
                <w:sz w:val="14"/>
                <w:szCs w:val="14"/>
                <w:highlight w:val="yellow"/>
                <w:lang w:eastAsia="nl-NL"/>
                <w14:ligatures w14:val="none"/>
              </w:rPr>
            </w:pPr>
            <w:r w:rsidRPr="009A661E">
              <w:rPr>
                <w:rFonts w:cs="Calibri"/>
                <w:color w:val="000000"/>
                <w:sz w:val="14"/>
                <w:szCs w:val="14"/>
              </w:rPr>
              <w:t>3,2</w:t>
            </w:r>
          </w:p>
        </w:tc>
        <w:tc>
          <w:tcPr>
            <w:tcW w:w="664" w:type="dxa"/>
            <w:tcBorders>
              <w:top w:val="nil"/>
              <w:left w:val="nil"/>
              <w:bottom w:val="single" w:color="auto" w:sz="4" w:space="0"/>
              <w:right w:val="single" w:color="auto" w:sz="4" w:space="0"/>
            </w:tcBorders>
            <w:shd w:val="clear" w:color="auto" w:fill="auto"/>
            <w:vAlign w:val="bottom"/>
            <w:hideMark/>
          </w:tcPr>
          <w:p w:rsidRPr="009A661E" w:rsidR="00A81C0A" w:rsidP="00A81C0A" w:rsidRDefault="00A81C0A" w14:paraId="0450E550" w14:textId="2D420CEE">
            <w:pPr>
              <w:spacing w:after="0" w:line="240" w:lineRule="auto"/>
              <w:jc w:val="right"/>
              <w:rPr>
                <w:rFonts w:eastAsia="Times New Roman" w:cs="Times New Roman"/>
                <w:color w:val="000000"/>
                <w:kern w:val="0"/>
                <w:sz w:val="14"/>
                <w:szCs w:val="14"/>
                <w:highlight w:val="yellow"/>
                <w:lang w:eastAsia="nl-NL"/>
                <w14:ligatures w14:val="none"/>
              </w:rPr>
            </w:pPr>
            <w:r w:rsidRPr="009A661E">
              <w:rPr>
                <w:rFonts w:cs="Calibri"/>
                <w:color w:val="000000"/>
                <w:sz w:val="14"/>
                <w:szCs w:val="14"/>
              </w:rPr>
              <w:t>4,2</w:t>
            </w:r>
          </w:p>
        </w:tc>
      </w:tr>
      <w:tr w:rsidRPr="00962818" w:rsidR="005D1698" w:rsidTr="00FA3CDA" w14:paraId="39C33660" w14:textId="77777777">
        <w:trPr>
          <w:trHeight w:val="158"/>
        </w:trPr>
        <w:tc>
          <w:tcPr>
            <w:tcW w:w="3420" w:type="dxa"/>
            <w:tcBorders>
              <w:top w:val="nil"/>
              <w:left w:val="single" w:color="auto" w:sz="4" w:space="0"/>
              <w:bottom w:val="single" w:color="auto" w:sz="4" w:space="0"/>
              <w:right w:val="single" w:color="auto" w:sz="4" w:space="0"/>
            </w:tcBorders>
            <w:shd w:val="clear" w:color="auto" w:fill="01689B"/>
            <w:vAlign w:val="bottom"/>
            <w:hideMark/>
          </w:tcPr>
          <w:p w:rsidRPr="00962818" w:rsidR="005D1698" w:rsidP="005D1698" w:rsidRDefault="005D1698" w14:paraId="16AE4736"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Balansen</w:t>
            </w:r>
          </w:p>
        </w:tc>
        <w:tc>
          <w:tcPr>
            <w:tcW w:w="1572"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36EE97F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7A48C527"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mld.</w:t>
            </w:r>
          </w:p>
        </w:tc>
        <w:tc>
          <w:tcPr>
            <w:tcW w:w="665"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54C074FC"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7654BF49"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2C3B4842"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794FE5D0"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0930549A"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BF6980" w:rsidRDefault="005D1698" w14:paraId="1E2A4B20" w14:textId="3A1C517B">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r>
      <w:tr w:rsidRPr="00962818" w:rsidR="005D1698" w:rsidTr="00FA3CDA" w14:paraId="591AF291"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6732D91B"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31. Netto overschot/tekort(= 7-23)</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24BFD3E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B.9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E30F86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-3,8</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7B60C5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-0,4</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E05255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675BD5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-2,3</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DEC8FE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-2,8</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75AB6E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E2808D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-2,2</w:t>
            </w:r>
          </w:p>
        </w:tc>
      </w:tr>
      <w:tr w:rsidRPr="00962818" w:rsidR="005D1698" w:rsidTr="00FA3CDA" w14:paraId="3BE9B2B4"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18B2B441"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32. Primaire balans (= 31-14)</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1AB9EFEA"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B.9-D.41p</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A35B6B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3,5</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9AFEBC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CF585A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214B59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F86AFC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D133EC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65C93D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w:t>
            </w:r>
          </w:p>
        </w:tc>
      </w:tr>
      <w:tr w:rsidRPr="00962818" w:rsidR="005D1698" w:rsidTr="00FA3CDA" w14:paraId="42615D29" w14:textId="77777777">
        <w:trPr>
          <w:trHeight w:val="158"/>
        </w:trPr>
        <w:tc>
          <w:tcPr>
            <w:tcW w:w="3420" w:type="dxa"/>
            <w:tcBorders>
              <w:top w:val="nil"/>
              <w:left w:val="single" w:color="auto" w:sz="4" w:space="0"/>
              <w:bottom w:val="single" w:color="auto" w:sz="4" w:space="0"/>
              <w:right w:val="single" w:color="auto" w:sz="4" w:space="0"/>
            </w:tcBorders>
            <w:shd w:val="clear" w:color="auto" w:fill="01689B"/>
            <w:noWrap/>
            <w:vAlign w:val="center"/>
            <w:hideMark/>
          </w:tcPr>
          <w:p w:rsidRPr="00962818" w:rsidR="005D1698" w:rsidP="005D1698" w:rsidRDefault="005D1698" w14:paraId="3D4744DD"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Conjuncturele aanpassing</w:t>
            </w:r>
          </w:p>
        </w:tc>
        <w:tc>
          <w:tcPr>
            <w:tcW w:w="1572"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7229B8B6"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45A00392"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26B5CFC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4"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27F0FA0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890"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62B4DE9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890"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4FCC5751"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6D3EA00E"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4"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168F2CEE"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r>
      <w:tr w:rsidRPr="00962818" w:rsidR="005D1698" w:rsidTr="00FA3CDA" w14:paraId="2B155FAF"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666DA9C1"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33. Structureel saldo</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18164C60"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2A7CAAA3"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BAAE5B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-0,9</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63A6CC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A6CC27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96D792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7CE3EF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-1,5</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7E52431F" w14:textId="77777777">
            <w:pPr>
              <w:spacing w:after="0" w:line="240" w:lineRule="auto"/>
              <w:jc w:val="right"/>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-1,6</w:t>
            </w:r>
          </w:p>
        </w:tc>
      </w:tr>
      <w:tr w:rsidRPr="00962818" w:rsidR="005D1698" w:rsidTr="00FA3CDA" w14:paraId="35BBCE28"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76DC69EC"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34. Structureel primair saldo</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00D87587"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0B217A03"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E5280E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E27417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0,4</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30869B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4CD231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CC91D3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-0,5</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6A73000D" w14:textId="77777777">
            <w:pPr>
              <w:spacing w:after="0" w:line="240" w:lineRule="auto"/>
              <w:jc w:val="right"/>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-0,6</w:t>
            </w:r>
          </w:p>
        </w:tc>
      </w:tr>
      <w:tr w:rsidRPr="00962818" w:rsidR="005D1698" w:rsidTr="00FA3CDA" w14:paraId="7692FA65" w14:textId="77777777">
        <w:trPr>
          <w:trHeight w:val="158"/>
        </w:trPr>
        <w:tc>
          <w:tcPr>
            <w:tcW w:w="3420" w:type="dxa"/>
            <w:tcBorders>
              <w:top w:val="nil"/>
              <w:left w:val="single" w:color="auto" w:sz="4" w:space="0"/>
              <w:bottom w:val="single" w:color="auto" w:sz="4" w:space="0"/>
              <w:right w:val="single" w:color="auto" w:sz="4" w:space="0"/>
            </w:tcBorders>
            <w:shd w:val="clear" w:color="auto" w:fill="01689B"/>
            <w:vAlign w:val="bottom"/>
            <w:hideMark/>
          </w:tcPr>
          <w:p w:rsidRPr="00962818" w:rsidR="005D1698" w:rsidP="005D1698" w:rsidRDefault="005D1698" w14:paraId="20D596CB"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Schuld</w:t>
            </w:r>
          </w:p>
        </w:tc>
        <w:tc>
          <w:tcPr>
            <w:tcW w:w="1572"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3D06A16B"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426B5E23"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mld.</w:t>
            </w:r>
          </w:p>
        </w:tc>
        <w:tc>
          <w:tcPr>
            <w:tcW w:w="665"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2C073D82"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2CCF6112"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2ACBB5E6"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640E0188"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085DBB77"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0EED7DC7" w14:textId="7EE8059C">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r>
      <w:tr w:rsidRPr="00962818" w:rsidR="005D1698" w:rsidTr="00FA3CDA" w14:paraId="013D2D8C"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1CFAAC22"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35. Staatsschuld</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57AA5A8F"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D61015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482,2</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D7DDEF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0E0956E" w14:textId="7A656190">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w:t>
            </w:r>
            <w:r w:rsidR="002635E4">
              <w:rPr>
                <w:rFonts w:eastAsia="Times New Roman" w:cs="Times New Roman"/>
                <w:color w:val="000000"/>
                <w:kern w:val="0"/>
                <w:sz w:val="14"/>
                <w:szCs w:val="14"/>
                <w:lang w:eastAsia="nl-NL"/>
                <w14:ligatures w14:val="none"/>
              </w:rPr>
              <w:t>3</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2D1910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CB57AF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47,8</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93AD28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48,5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0AAA66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49,2</w:t>
            </w:r>
          </w:p>
        </w:tc>
      </w:tr>
      <w:tr w:rsidRPr="00962818" w:rsidR="005D1698" w:rsidTr="00FA3CDA" w14:paraId="6882B17C"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3CDE8782"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36. Verandering in schuld</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400152CE"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DD274B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1,1</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DD5509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B80F00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C85AB4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F081E4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2,8</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57F5EA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0,6</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25E9E4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r>
      <w:tr w:rsidRPr="00962818" w:rsidR="005D1698" w:rsidTr="00FA3CDA" w14:paraId="78AFB722"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6EA34507"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37. Bijdragen aan verandering in schuld</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089C221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68D4B2A1"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42D5C85E"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1E749DFC"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890"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7ADD8C3C"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890"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2059C2C6"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2E91EBD7"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2F115CA4"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r>
      <w:tr w:rsidRPr="00962818" w:rsidR="005D1698" w:rsidTr="00FA3CDA" w14:paraId="5DE880D2"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6CECCC82"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38. Primair saldo (= minus 32)</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536E9960"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54FEE55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1B1494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954AFE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0ED614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DBA90C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950F8E9"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4269DB96" w14:textId="77777777">
            <w:pPr>
              <w:spacing w:after="0" w:line="240" w:lineRule="auto"/>
              <w:jc w:val="right"/>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1,1</w:t>
            </w:r>
          </w:p>
        </w:tc>
      </w:tr>
      <w:tr w:rsidRPr="00962818" w:rsidR="005D1698" w:rsidTr="00FA3CDA" w14:paraId="20958B81" w14:textId="77777777">
        <w:trPr>
          <w:trHeight w:val="95"/>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63F13F8B"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39. Sneeuwbaleffect</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391FA7AA"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0E6FFB61"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90B6AD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-2,7</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60D9EB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-1,9</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38E440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3D44B7B"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2609B7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-0,9</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1F388EF4" w14:textId="77777777">
            <w:pPr>
              <w:spacing w:after="0" w:line="240" w:lineRule="auto"/>
              <w:jc w:val="right"/>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-0,9</w:t>
            </w:r>
          </w:p>
        </w:tc>
      </w:tr>
      <w:tr w:rsidRPr="00962818" w:rsidR="005D1698" w:rsidTr="00FA3CDA" w14:paraId="4E6FF418" w14:textId="77777777">
        <w:trPr>
          <w:trHeight w:val="127"/>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04ADE72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40. Rentebetalingen (=14)</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1E89A540"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2195592D"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98ACD6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CF752F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735D61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0,7</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762474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0,9</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056623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1,0</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6D029A84" w14:textId="77777777">
            <w:pPr>
              <w:spacing w:after="0" w:line="240" w:lineRule="auto"/>
              <w:jc w:val="right"/>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1,0</w:t>
            </w:r>
          </w:p>
        </w:tc>
      </w:tr>
      <w:tr w:rsidRPr="00962818" w:rsidR="00A81C0A" w:rsidTr="00FA3CDA" w14:paraId="3AAB20D9" w14:textId="77777777">
        <w:trPr>
          <w:trHeight w:val="50"/>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A81C0A" w:rsidP="00A81C0A" w:rsidRDefault="00A81C0A" w14:paraId="385D90D6"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41. Groei</w:t>
            </w:r>
          </w:p>
        </w:tc>
        <w:tc>
          <w:tcPr>
            <w:tcW w:w="1572" w:type="dxa"/>
            <w:tcBorders>
              <w:top w:val="nil"/>
              <w:left w:val="nil"/>
              <w:bottom w:val="single" w:color="auto" w:sz="4" w:space="0"/>
              <w:right w:val="single" w:color="auto" w:sz="4" w:space="0"/>
            </w:tcBorders>
            <w:shd w:val="clear" w:color="auto" w:fill="DDEFF8"/>
            <w:vAlign w:val="bottom"/>
            <w:hideMark/>
          </w:tcPr>
          <w:p w:rsidRPr="004B4374" w:rsidR="00A81C0A" w:rsidP="00A81C0A" w:rsidRDefault="00A81C0A" w14:paraId="788A3582"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6933BF46" w14:textId="77777777">
            <w:pPr>
              <w:spacing w:after="0" w:line="240" w:lineRule="auto"/>
              <w:rPr>
                <w:rFonts w:eastAsia="Times New Roman" w:cs="Arial"/>
                <w:color w:val="000000"/>
                <w:kern w:val="0"/>
                <w:sz w:val="14"/>
                <w:szCs w:val="14"/>
                <w:lang w:eastAsia="nl-NL"/>
                <w14:ligatures w14:val="none"/>
              </w:rPr>
            </w:pPr>
            <w:r w:rsidRPr="00A81C0A">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013DD4CC" w14:textId="59F6DE0D">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0,0</w:t>
            </w:r>
          </w:p>
        </w:tc>
        <w:tc>
          <w:tcPr>
            <w:tcW w:w="664"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3C194CF5" w14:textId="6EB17F86">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-0,4</w:t>
            </w:r>
          </w:p>
        </w:tc>
        <w:tc>
          <w:tcPr>
            <w:tcW w:w="890"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31AA2B59" w14:textId="2A76199D">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-0,8</w:t>
            </w:r>
          </w:p>
        </w:tc>
        <w:tc>
          <w:tcPr>
            <w:tcW w:w="890"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684DBA30" w14:textId="0FC15F19">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-0,7</w:t>
            </w:r>
          </w:p>
        </w:tc>
        <w:tc>
          <w:tcPr>
            <w:tcW w:w="723"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08ECC0DF" w14:textId="086A0B5E">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-0,7</w:t>
            </w:r>
          </w:p>
        </w:tc>
        <w:tc>
          <w:tcPr>
            <w:tcW w:w="664"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7DAFE108" w14:textId="6742BAFC">
            <w:pPr>
              <w:spacing w:after="0" w:line="240" w:lineRule="auto"/>
              <w:jc w:val="right"/>
              <w:rPr>
                <w:rFonts w:eastAsia="Times New Roman" w:cs="Arial"/>
                <w:color w:val="000000"/>
                <w:kern w:val="0"/>
                <w:sz w:val="14"/>
                <w:szCs w:val="14"/>
                <w:lang w:eastAsia="nl-NL"/>
                <w14:ligatures w14:val="none"/>
              </w:rPr>
            </w:pPr>
            <w:r w:rsidRPr="009A661E">
              <w:rPr>
                <w:rFonts w:eastAsia="Times New Roman" w:cs="Arial"/>
                <w:color w:val="000000"/>
                <w:kern w:val="0"/>
                <w:sz w:val="14"/>
                <w:szCs w:val="14"/>
                <w:lang w:eastAsia="nl-NL"/>
                <w14:ligatures w14:val="none"/>
              </w:rPr>
              <w:t>-0,7</w:t>
            </w:r>
          </w:p>
        </w:tc>
      </w:tr>
      <w:tr w:rsidRPr="00962818" w:rsidR="00A81C0A" w:rsidTr="00FA3CDA" w14:paraId="77A82F3A"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A81C0A" w:rsidP="00A81C0A" w:rsidRDefault="00A81C0A" w14:paraId="71C9964C"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42. Inflatie (HICP)</w:t>
            </w:r>
          </w:p>
        </w:tc>
        <w:tc>
          <w:tcPr>
            <w:tcW w:w="1572" w:type="dxa"/>
            <w:tcBorders>
              <w:top w:val="nil"/>
              <w:left w:val="nil"/>
              <w:bottom w:val="single" w:color="auto" w:sz="4" w:space="0"/>
              <w:right w:val="single" w:color="auto" w:sz="4" w:space="0"/>
            </w:tcBorders>
            <w:shd w:val="clear" w:color="auto" w:fill="DDEFF8"/>
            <w:vAlign w:val="bottom"/>
            <w:hideMark/>
          </w:tcPr>
          <w:p w:rsidRPr="004B4374" w:rsidR="00A81C0A" w:rsidP="00A81C0A" w:rsidRDefault="00A81C0A" w14:paraId="5D97E2EF"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26E9D872" w14:textId="77777777">
            <w:pPr>
              <w:spacing w:after="0" w:line="240" w:lineRule="auto"/>
              <w:rPr>
                <w:rFonts w:eastAsia="Times New Roman" w:cs="Arial"/>
                <w:color w:val="000000"/>
                <w:kern w:val="0"/>
                <w:sz w:val="14"/>
                <w:szCs w:val="14"/>
                <w:lang w:eastAsia="nl-NL"/>
                <w14:ligatures w14:val="none"/>
              </w:rPr>
            </w:pPr>
            <w:r w:rsidRPr="00A81C0A">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74215D49" w14:textId="060C4B57">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-3,3</w:t>
            </w:r>
          </w:p>
        </w:tc>
        <w:tc>
          <w:tcPr>
            <w:tcW w:w="664"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3F04AB7C" w14:textId="20B2EA66">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-2,2</w:t>
            </w:r>
          </w:p>
        </w:tc>
        <w:tc>
          <w:tcPr>
            <w:tcW w:w="890"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31339887" w14:textId="0AD721D3">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-1,5</w:t>
            </w:r>
          </w:p>
        </w:tc>
        <w:tc>
          <w:tcPr>
            <w:tcW w:w="890"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236F3CC6" w14:textId="7A395C2A">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-1,2</w:t>
            </w:r>
          </w:p>
        </w:tc>
        <w:tc>
          <w:tcPr>
            <w:tcW w:w="723"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7D7B4793" w14:textId="0591A029">
            <w:pPr>
              <w:spacing w:after="0" w:line="240" w:lineRule="auto"/>
              <w:jc w:val="right"/>
              <w:rPr>
                <w:rFonts w:eastAsia="Times New Roman" w:cs="Times New Roman"/>
                <w:color w:val="000000"/>
                <w:kern w:val="0"/>
                <w:sz w:val="14"/>
                <w:szCs w:val="14"/>
                <w:lang w:eastAsia="nl-NL"/>
                <w14:ligatures w14:val="none"/>
              </w:rPr>
            </w:pPr>
            <w:r w:rsidRPr="009A661E">
              <w:rPr>
                <w:rFonts w:eastAsia="Times New Roman" w:cs="Times New Roman"/>
                <w:color w:val="000000"/>
                <w:kern w:val="0"/>
                <w:sz w:val="14"/>
                <w:szCs w:val="14"/>
                <w:lang w:eastAsia="nl-NL"/>
                <w14:ligatures w14:val="none"/>
              </w:rPr>
              <w:t>-1,2</w:t>
            </w:r>
          </w:p>
        </w:tc>
        <w:tc>
          <w:tcPr>
            <w:tcW w:w="664" w:type="dxa"/>
            <w:tcBorders>
              <w:top w:val="nil"/>
              <w:left w:val="nil"/>
              <w:bottom w:val="single" w:color="auto" w:sz="4" w:space="0"/>
              <w:right w:val="single" w:color="auto" w:sz="4" w:space="0"/>
            </w:tcBorders>
            <w:shd w:val="clear" w:color="auto" w:fill="auto"/>
            <w:vAlign w:val="bottom"/>
            <w:hideMark/>
          </w:tcPr>
          <w:p w:rsidRPr="00A81C0A" w:rsidR="00A81C0A" w:rsidP="00A81C0A" w:rsidRDefault="00A81C0A" w14:paraId="7D75D5D3" w14:textId="3EBA03C3">
            <w:pPr>
              <w:spacing w:after="0" w:line="240" w:lineRule="auto"/>
              <w:jc w:val="right"/>
              <w:rPr>
                <w:rFonts w:eastAsia="Times New Roman" w:cs="Arial"/>
                <w:color w:val="000000"/>
                <w:kern w:val="0"/>
                <w:sz w:val="14"/>
                <w:szCs w:val="14"/>
                <w:lang w:eastAsia="nl-NL"/>
                <w14:ligatures w14:val="none"/>
              </w:rPr>
            </w:pPr>
            <w:r w:rsidRPr="009A661E">
              <w:rPr>
                <w:rFonts w:eastAsia="Times New Roman" w:cs="Arial"/>
                <w:color w:val="000000"/>
                <w:kern w:val="0"/>
                <w:sz w:val="14"/>
                <w:szCs w:val="14"/>
                <w:lang w:eastAsia="nl-NL"/>
                <w14:ligatures w14:val="none"/>
              </w:rPr>
              <w:t>-1,2</w:t>
            </w:r>
          </w:p>
        </w:tc>
      </w:tr>
      <w:tr w:rsidRPr="00962818" w:rsidR="005D1698" w:rsidTr="00FA3CDA" w14:paraId="09EFC953"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0251E0B1"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43. Stock-flow aanpassing (= 36-38-39)</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1A259D00"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3004D36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42F156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D55A58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0,0</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9BB147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90CE17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E32499A"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0,4</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4A3E7BB3" w14:textId="77777777">
            <w:pPr>
              <w:spacing w:after="0" w:line="240" w:lineRule="auto"/>
              <w:jc w:val="right"/>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0,5</w:t>
            </w:r>
          </w:p>
        </w:tc>
      </w:tr>
      <w:tr w:rsidRPr="00962818" w:rsidR="005D1698" w:rsidTr="00994DB8" w14:paraId="0A1DE538" w14:textId="77777777">
        <w:trPr>
          <w:trHeight w:val="169"/>
        </w:trPr>
        <w:tc>
          <w:tcPr>
            <w:tcW w:w="3420" w:type="dxa"/>
            <w:tcBorders>
              <w:top w:val="nil"/>
              <w:left w:val="single" w:color="auto" w:sz="4" w:space="0"/>
              <w:bottom w:val="single" w:color="auto" w:sz="4" w:space="0"/>
              <w:right w:val="single" w:color="auto" w:sz="4" w:space="0"/>
            </w:tcBorders>
            <w:shd w:val="clear" w:color="auto" w:fill="01689B"/>
            <w:vAlign w:val="bottom"/>
            <w:hideMark/>
          </w:tcPr>
          <w:p w:rsidRPr="004B4374" w:rsidR="005D1698" w:rsidP="005D1698" w:rsidRDefault="005D1698" w14:paraId="0F4D4AAF"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1572"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2336C9A8"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994DB8" w:rsidR="005D1698" w:rsidP="005D1698" w:rsidRDefault="005D1698" w14:paraId="07E300B6" w14:textId="77777777">
            <w:pPr>
              <w:spacing w:after="0" w:line="240" w:lineRule="auto"/>
              <w:jc w:val="right"/>
              <w:rPr>
                <w:rFonts w:eastAsia="Times New Roman" w:cs="Times New Roman"/>
                <w:b/>
                <w:bCs/>
                <w:color w:val="FFFFFF" w:themeColor="background1"/>
                <w:kern w:val="0"/>
                <w:sz w:val="14"/>
                <w:szCs w:val="14"/>
                <w:lang w:eastAsia="nl-NL"/>
                <w14:ligatures w14:val="none"/>
              </w:rPr>
            </w:pPr>
            <w:r w:rsidRPr="00994DB8">
              <w:rPr>
                <w:rFonts w:eastAsia="Times New Roman" w:cs="Times New Roman"/>
                <w:b/>
                <w:bCs/>
                <w:color w:val="FFFFFF" w:themeColor="background1"/>
                <w:kern w:val="0"/>
                <w:sz w:val="14"/>
                <w:szCs w:val="14"/>
                <w:lang w:eastAsia="nl-NL"/>
                <w14:ligatures w14:val="none"/>
              </w:rPr>
              <w:t>%</w:t>
            </w:r>
          </w:p>
        </w:tc>
        <w:tc>
          <w:tcPr>
            <w:tcW w:w="665" w:type="dxa"/>
            <w:tcBorders>
              <w:top w:val="nil"/>
              <w:left w:val="nil"/>
              <w:bottom w:val="single" w:color="auto" w:sz="4" w:space="0"/>
              <w:right w:val="single" w:color="auto" w:sz="4" w:space="0"/>
            </w:tcBorders>
            <w:shd w:val="clear" w:color="auto" w:fill="01689B"/>
            <w:vAlign w:val="bottom"/>
            <w:hideMark/>
          </w:tcPr>
          <w:p w:rsidRPr="00994DB8" w:rsidR="005D1698" w:rsidP="005D1698" w:rsidRDefault="005D1698" w14:paraId="2A9EEEF4" w14:textId="77777777">
            <w:pPr>
              <w:spacing w:after="0" w:line="240" w:lineRule="auto"/>
              <w:jc w:val="right"/>
              <w:rPr>
                <w:rFonts w:eastAsia="Times New Roman" w:cs="Times New Roman"/>
                <w:b/>
                <w:bCs/>
                <w:color w:val="FFFFFF" w:themeColor="background1"/>
                <w:kern w:val="0"/>
                <w:sz w:val="14"/>
                <w:szCs w:val="14"/>
                <w:lang w:eastAsia="nl-NL"/>
                <w14:ligatures w14:val="none"/>
              </w:rPr>
            </w:pPr>
            <w:r w:rsidRPr="00994DB8">
              <w:rPr>
                <w:rFonts w:eastAsia="Times New Roman" w:cs="Times New Roman"/>
                <w:b/>
                <w:bCs/>
                <w:color w:val="FFFFFF" w:themeColor="background1"/>
                <w:kern w:val="0"/>
                <w:sz w:val="14"/>
                <w:szCs w:val="14"/>
                <w:lang w:eastAsia="nl-NL"/>
                <w14:ligatures w14:val="none"/>
              </w:rPr>
              <w:t>%</w:t>
            </w:r>
          </w:p>
        </w:tc>
        <w:tc>
          <w:tcPr>
            <w:tcW w:w="664" w:type="dxa"/>
            <w:tcBorders>
              <w:top w:val="nil"/>
              <w:left w:val="nil"/>
              <w:bottom w:val="single" w:color="auto" w:sz="4" w:space="0"/>
              <w:right w:val="single" w:color="auto" w:sz="4" w:space="0"/>
            </w:tcBorders>
            <w:shd w:val="clear" w:color="auto" w:fill="01689B"/>
            <w:vAlign w:val="bottom"/>
            <w:hideMark/>
          </w:tcPr>
          <w:p w:rsidRPr="00994DB8" w:rsidR="005D1698" w:rsidP="005D1698" w:rsidRDefault="005D1698" w14:paraId="2E41E042" w14:textId="77777777">
            <w:pPr>
              <w:spacing w:after="0" w:line="240" w:lineRule="auto"/>
              <w:jc w:val="right"/>
              <w:rPr>
                <w:rFonts w:eastAsia="Times New Roman" w:cs="Times New Roman"/>
                <w:b/>
                <w:bCs/>
                <w:color w:val="FFFFFF" w:themeColor="background1"/>
                <w:kern w:val="0"/>
                <w:sz w:val="14"/>
                <w:szCs w:val="14"/>
                <w:lang w:eastAsia="nl-NL"/>
                <w14:ligatures w14:val="none"/>
              </w:rPr>
            </w:pPr>
            <w:r w:rsidRPr="00994DB8">
              <w:rPr>
                <w:rFonts w:eastAsia="Times New Roman" w:cs="Times New Roman"/>
                <w:b/>
                <w:bCs/>
                <w:color w:val="FFFFFF" w:themeColor="background1"/>
                <w:kern w:val="0"/>
                <w:sz w:val="14"/>
                <w:szCs w:val="14"/>
                <w:lang w:eastAsia="nl-NL"/>
                <w14:ligatures w14:val="none"/>
              </w:rPr>
              <w:t>%</w:t>
            </w:r>
          </w:p>
        </w:tc>
        <w:tc>
          <w:tcPr>
            <w:tcW w:w="890" w:type="dxa"/>
            <w:tcBorders>
              <w:top w:val="nil"/>
              <w:left w:val="nil"/>
              <w:bottom w:val="single" w:color="auto" w:sz="4" w:space="0"/>
              <w:right w:val="single" w:color="auto" w:sz="4" w:space="0"/>
            </w:tcBorders>
            <w:shd w:val="clear" w:color="auto" w:fill="01689B"/>
            <w:vAlign w:val="bottom"/>
            <w:hideMark/>
          </w:tcPr>
          <w:p w:rsidRPr="00994DB8" w:rsidR="005D1698" w:rsidP="005D1698" w:rsidRDefault="005D1698" w14:paraId="304500BF" w14:textId="77777777">
            <w:pPr>
              <w:spacing w:after="0" w:line="240" w:lineRule="auto"/>
              <w:jc w:val="right"/>
              <w:rPr>
                <w:rFonts w:eastAsia="Times New Roman" w:cs="Times New Roman"/>
                <w:b/>
                <w:bCs/>
                <w:color w:val="FFFFFF" w:themeColor="background1"/>
                <w:kern w:val="0"/>
                <w:sz w:val="14"/>
                <w:szCs w:val="14"/>
                <w:lang w:eastAsia="nl-NL"/>
                <w14:ligatures w14:val="none"/>
              </w:rPr>
            </w:pPr>
            <w:r w:rsidRPr="00994DB8">
              <w:rPr>
                <w:rFonts w:eastAsia="Times New Roman" w:cs="Times New Roman"/>
                <w:b/>
                <w:bCs/>
                <w:color w:val="FFFFFF" w:themeColor="background1"/>
                <w:kern w:val="0"/>
                <w:sz w:val="14"/>
                <w:szCs w:val="14"/>
                <w:lang w:eastAsia="nl-NL"/>
                <w14:ligatures w14:val="none"/>
              </w:rPr>
              <w:t>%</w:t>
            </w:r>
          </w:p>
        </w:tc>
        <w:tc>
          <w:tcPr>
            <w:tcW w:w="890" w:type="dxa"/>
            <w:tcBorders>
              <w:top w:val="nil"/>
              <w:left w:val="nil"/>
              <w:bottom w:val="single" w:color="auto" w:sz="4" w:space="0"/>
              <w:right w:val="single" w:color="auto" w:sz="4" w:space="0"/>
            </w:tcBorders>
            <w:shd w:val="clear" w:color="auto" w:fill="01689B"/>
            <w:vAlign w:val="bottom"/>
            <w:hideMark/>
          </w:tcPr>
          <w:p w:rsidRPr="00994DB8" w:rsidR="005D1698" w:rsidP="005D1698" w:rsidRDefault="005D1698" w14:paraId="623A5EC6" w14:textId="77777777">
            <w:pPr>
              <w:spacing w:after="0" w:line="240" w:lineRule="auto"/>
              <w:jc w:val="right"/>
              <w:rPr>
                <w:rFonts w:eastAsia="Times New Roman" w:cs="Times New Roman"/>
                <w:b/>
                <w:bCs/>
                <w:color w:val="FFFFFF" w:themeColor="background1"/>
                <w:kern w:val="0"/>
                <w:sz w:val="14"/>
                <w:szCs w:val="14"/>
                <w:lang w:eastAsia="nl-NL"/>
                <w14:ligatures w14:val="none"/>
              </w:rPr>
            </w:pPr>
            <w:r w:rsidRPr="00994DB8">
              <w:rPr>
                <w:rFonts w:eastAsia="Times New Roman" w:cs="Times New Roman"/>
                <w:b/>
                <w:bCs/>
                <w:color w:val="FFFFFF" w:themeColor="background1"/>
                <w:kern w:val="0"/>
                <w:sz w:val="14"/>
                <w:szCs w:val="14"/>
                <w:lang w:eastAsia="nl-NL"/>
                <w14:ligatures w14:val="none"/>
              </w:rPr>
              <w:t>%</w:t>
            </w:r>
          </w:p>
        </w:tc>
        <w:tc>
          <w:tcPr>
            <w:tcW w:w="723" w:type="dxa"/>
            <w:tcBorders>
              <w:top w:val="nil"/>
              <w:left w:val="nil"/>
              <w:bottom w:val="single" w:color="auto" w:sz="4" w:space="0"/>
              <w:right w:val="single" w:color="auto" w:sz="4" w:space="0"/>
            </w:tcBorders>
            <w:shd w:val="clear" w:color="auto" w:fill="01689B"/>
            <w:vAlign w:val="bottom"/>
            <w:hideMark/>
          </w:tcPr>
          <w:p w:rsidRPr="00994DB8" w:rsidR="005D1698" w:rsidP="005D1698" w:rsidRDefault="005D1698" w14:paraId="7452C564" w14:textId="77777777">
            <w:pPr>
              <w:spacing w:after="0" w:line="240" w:lineRule="auto"/>
              <w:jc w:val="right"/>
              <w:rPr>
                <w:rFonts w:eastAsia="Times New Roman" w:cs="Times New Roman"/>
                <w:b/>
                <w:bCs/>
                <w:color w:val="FFFFFF" w:themeColor="background1"/>
                <w:kern w:val="0"/>
                <w:sz w:val="14"/>
                <w:szCs w:val="14"/>
                <w:lang w:eastAsia="nl-NL"/>
                <w14:ligatures w14:val="none"/>
              </w:rPr>
            </w:pPr>
            <w:r w:rsidRPr="00994DB8">
              <w:rPr>
                <w:rFonts w:eastAsia="Times New Roman" w:cs="Times New Roman"/>
                <w:b/>
                <w:bCs/>
                <w:color w:val="FFFFFF" w:themeColor="background1"/>
                <w:kern w:val="0"/>
                <w:sz w:val="14"/>
                <w:szCs w:val="14"/>
                <w:lang w:eastAsia="nl-NL"/>
                <w14:ligatures w14:val="none"/>
              </w:rPr>
              <w:t>%</w:t>
            </w:r>
          </w:p>
        </w:tc>
        <w:tc>
          <w:tcPr>
            <w:tcW w:w="664" w:type="dxa"/>
            <w:tcBorders>
              <w:top w:val="nil"/>
              <w:left w:val="nil"/>
              <w:bottom w:val="single" w:color="auto" w:sz="4" w:space="0"/>
              <w:right w:val="single" w:color="auto" w:sz="4" w:space="0"/>
            </w:tcBorders>
            <w:shd w:val="clear" w:color="auto" w:fill="01689B"/>
            <w:vAlign w:val="bottom"/>
            <w:hideMark/>
          </w:tcPr>
          <w:p w:rsidRPr="00994DB8" w:rsidR="005D1698" w:rsidP="005D1698" w:rsidRDefault="005D1698" w14:paraId="266B8A03" w14:textId="77777777">
            <w:pPr>
              <w:spacing w:after="0" w:line="240" w:lineRule="auto"/>
              <w:jc w:val="right"/>
              <w:rPr>
                <w:rFonts w:eastAsia="Times New Roman" w:cs="Times New Roman"/>
                <w:b/>
                <w:bCs/>
                <w:color w:val="FFFFFF" w:themeColor="background1"/>
                <w:kern w:val="0"/>
                <w:sz w:val="14"/>
                <w:szCs w:val="14"/>
                <w:lang w:eastAsia="nl-NL"/>
                <w14:ligatures w14:val="none"/>
              </w:rPr>
            </w:pPr>
            <w:r w:rsidRPr="00994DB8">
              <w:rPr>
                <w:rFonts w:eastAsia="Times New Roman" w:cs="Times New Roman"/>
                <w:b/>
                <w:bCs/>
                <w:color w:val="FFFFFF" w:themeColor="background1"/>
                <w:kern w:val="0"/>
                <w:sz w:val="14"/>
                <w:szCs w:val="14"/>
                <w:lang w:eastAsia="nl-NL"/>
                <w14:ligatures w14:val="none"/>
              </w:rPr>
              <w:t>%</w:t>
            </w:r>
          </w:p>
        </w:tc>
      </w:tr>
      <w:tr w:rsidRPr="00962818" w:rsidR="005D1698" w:rsidTr="00FA3CDA" w14:paraId="0ADE4B01"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noWrap/>
            <w:vAlign w:val="center"/>
            <w:hideMark/>
          </w:tcPr>
          <w:p w:rsidRPr="00962818" w:rsidR="005D1698" w:rsidP="005D1698" w:rsidRDefault="005D1698" w14:paraId="694EA3CB"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44. Impliciete rente op schuld</w:t>
            </w:r>
          </w:p>
        </w:tc>
        <w:tc>
          <w:tcPr>
            <w:tcW w:w="1572" w:type="dxa"/>
            <w:tcBorders>
              <w:top w:val="nil"/>
              <w:left w:val="nil"/>
              <w:bottom w:val="single" w:color="auto" w:sz="4" w:space="0"/>
              <w:right w:val="single" w:color="auto" w:sz="4" w:space="0"/>
            </w:tcBorders>
            <w:shd w:val="clear" w:color="auto" w:fill="DDEFF8"/>
            <w:vAlign w:val="bottom"/>
            <w:hideMark/>
          </w:tcPr>
          <w:p w:rsidRPr="004B4374" w:rsidR="005D1698" w:rsidP="005D1698" w:rsidRDefault="005D1698" w14:paraId="08EE85BB"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418D0863"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A87934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1,5</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1E2B1345"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1,6</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758F022C"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0A53567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A28A5B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2,2</w:t>
            </w:r>
          </w:p>
        </w:tc>
        <w:tc>
          <w:tcPr>
            <w:tcW w:w="664" w:type="dxa"/>
            <w:tcBorders>
              <w:top w:val="nil"/>
              <w:left w:val="nil"/>
              <w:bottom w:val="single" w:color="auto" w:sz="4" w:space="0"/>
              <w:right w:val="single" w:color="auto" w:sz="4" w:space="0"/>
            </w:tcBorders>
            <w:shd w:val="clear" w:color="auto" w:fill="auto"/>
            <w:vAlign w:val="bottom"/>
            <w:hideMark/>
          </w:tcPr>
          <w:p w:rsidRPr="004B4374" w:rsidR="005D1698" w:rsidP="005D1698" w:rsidRDefault="005D1698" w14:paraId="446B1854" w14:textId="77777777">
            <w:pPr>
              <w:spacing w:after="0" w:line="240" w:lineRule="auto"/>
              <w:jc w:val="right"/>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2,2</w:t>
            </w:r>
          </w:p>
        </w:tc>
      </w:tr>
      <w:tr w:rsidRPr="00962818" w:rsidR="005D1698" w:rsidTr="00FA3CDA" w14:paraId="0A802309" w14:textId="77777777">
        <w:trPr>
          <w:trHeight w:val="158"/>
        </w:trPr>
        <w:tc>
          <w:tcPr>
            <w:tcW w:w="3420" w:type="dxa"/>
            <w:tcBorders>
              <w:top w:val="nil"/>
              <w:left w:val="single" w:color="auto" w:sz="4" w:space="0"/>
              <w:bottom w:val="single" w:color="auto" w:sz="4" w:space="0"/>
              <w:right w:val="single" w:color="auto" w:sz="4" w:space="0"/>
            </w:tcBorders>
            <w:shd w:val="clear" w:color="auto" w:fill="01689B"/>
            <w:vAlign w:val="bottom"/>
            <w:hideMark/>
          </w:tcPr>
          <w:p w:rsidRPr="00962818" w:rsidR="005D1698" w:rsidP="005D1698" w:rsidRDefault="005D1698" w14:paraId="6C3BABEA" w14:textId="77777777">
            <w:pPr>
              <w:spacing w:after="0" w:line="240" w:lineRule="auto"/>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Defensie</w:t>
            </w:r>
          </w:p>
        </w:tc>
        <w:tc>
          <w:tcPr>
            <w:tcW w:w="1572" w:type="dxa"/>
            <w:tcBorders>
              <w:top w:val="nil"/>
              <w:left w:val="nil"/>
              <w:bottom w:val="single" w:color="auto" w:sz="4" w:space="0"/>
              <w:right w:val="single" w:color="auto" w:sz="4" w:space="0"/>
            </w:tcBorders>
            <w:shd w:val="clear" w:color="auto" w:fill="01689B"/>
            <w:vAlign w:val="bottom"/>
            <w:hideMark/>
          </w:tcPr>
          <w:p w:rsidRPr="004B4374" w:rsidR="005D1698" w:rsidP="005D1698" w:rsidRDefault="005D1698" w14:paraId="483F311C" w14:textId="77777777">
            <w:pPr>
              <w:spacing w:after="0" w:line="240" w:lineRule="auto"/>
              <w:rPr>
                <w:rFonts w:eastAsia="Times New Roman" w:cs="Arial"/>
                <w:color w:val="000000"/>
                <w:kern w:val="0"/>
                <w:sz w:val="14"/>
                <w:szCs w:val="14"/>
                <w:lang w:eastAsia="nl-NL"/>
                <w14:ligatures w14:val="none"/>
              </w:rPr>
            </w:pPr>
            <w:r w:rsidRPr="004B4374">
              <w:rPr>
                <w:rFonts w:eastAsia="Times New Roman" w:cs="Arial"/>
                <w:color w:val="000000"/>
                <w:kern w:val="0"/>
                <w:sz w:val="14"/>
                <w:szCs w:val="14"/>
                <w:lang w:eastAsia="nl-NL"/>
                <w14:ligatures w14:val="none"/>
              </w:rPr>
              <w:t> </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3B4BD7D0"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mld.</w:t>
            </w:r>
          </w:p>
        </w:tc>
        <w:tc>
          <w:tcPr>
            <w:tcW w:w="665"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67A31BD4"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776F88FA"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0CE6CD6B"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890"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0D63393F"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723"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3297E248" w14:textId="77777777">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c>
          <w:tcPr>
            <w:tcW w:w="664" w:type="dxa"/>
            <w:tcBorders>
              <w:top w:val="nil"/>
              <w:left w:val="nil"/>
              <w:bottom w:val="single" w:color="auto" w:sz="4" w:space="0"/>
              <w:right w:val="single" w:color="auto" w:sz="4" w:space="0"/>
            </w:tcBorders>
            <w:shd w:val="clear" w:color="auto" w:fill="01689B"/>
            <w:vAlign w:val="bottom"/>
            <w:hideMark/>
          </w:tcPr>
          <w:p w:rsidRPr="00962818" w:rsidR="005D1698" w:rsidP="005D1698" w:rsidRDefault="005D1698" w14:paraId="07D0A712" w14:textId="2BBED29C">
            <w:pPr>
              <w:spacing w:after="0" w:line="240" w:lineRule="auto"/>
              <w:jc w:val="right"/>
              <w:rPr>
                <w:rFonts w:eastAsia="Times New Roman" w:cs="Times New Roman"/>
                <w:b/>
                <w:bCs/>
                <w:color w:val="FFFFFF"/>
                <w:kern w:val="0"/>
                <w:sz w:val="14"/>
                <w:szCs w:val="14"/>
                <w:lang w:eastAsia="nl-NL"/>
                <w14:ligatures w14:val="none"/>
              </w:rPr>
            </w:pPr>
            <w:r w:rsidRPr="00962818">
              <w:rPr>
                <w:rFonts w:eastAsia="Times New Roman" w:cs="Times New Roman"/>
                <w:b/>
                <w:bCs/>
                <w:color w:val="FFFFFF"/>
                <w:kern w:val="0"/>
                <w:sz w:val="14"/>
                <w:szCs w:val="14"/>
                <w:lang w:eastAsia="nl-NL"/>
                <w14:ligatures w14:val="none"/>
              </w:rPr>
              <w:t>% bbp</w:t>
            </w:r>
          </w:p>
        </w:tc>
      </w:tr>
      <w:tr w:rsidRPr="00962818" w:rsidR="005D1698" w:rsidTr="00FA3CDA" w14:paraId="469233AC"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01156A8D" w14:textId="45D1FE3A">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45. Totale defensie uitgaven</w:t>
            </w:r>
            <w:r>
              <w:rPr>
                <w:rFonts w:eastAsia="Times New Roman" w:cs="Times New Roman"/>
                <w:color w:val="000000"/>
                <w:kern w:val="0"/>
                <w:sz w:val="14"/>
                <w:szCs w:val="14"/>
                <w:lang w:eastAsia="nl-NL"/>
                <w14:ligatures w14:val="none"/>
              </w:rPr>
              <w:t>*</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2DA54B89"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COFOG 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94F95F8"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14,4</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D39303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1,3</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5FB52FE"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25ABD02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2,1</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B5C9DD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2,0</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B2013C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2,1</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58A29400"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2,2</w:t>
            </w:r>
          </w:p>
        </w:tc>
      </w:tr>
      <w:tr w:rsidRPr="00962818" w:rsidR="005D1698" w:rsidTr="00FA3CDA" w14:paraId="5071CAF4" w14:textId="77777777">
        <w:trPr>
          <w:trHeight w:val="158"/>
        </w:trPr>
        <w:tc>
          <w:tcPr>
            <w:tcW w:w="3420" w:type="dxa"/>
            <w:tcBorders>
              <w:top w:val="nil"/>
              <w:left w:val="single" w:color="auto" w:sz="4" w:space="0"/>
              <w:bottom w:val="single" w:color="auto" w:sz="4" w:space="0"/>
              <w:right w:val="single" w:color="auto" w:sz="4" w:space="0"/>
            </w:tcBorders>
            <w:shd w:val="clear" w:color="auto" w:fill="DDEFF8"/>
            <w:vAlign w:val="bottom"/>
            <w:hideMark/>
          </w:tcPr>
          <w:p w:rsidRPr="00962818" w:rsidR="005D1698" w:rsidP="005D1698" w:rsidRDefault="005D1698" w14:paraId="63B2BEDC" w14:textId="32CD418D">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46. Waarvan investeringen</w:t>
            </w:r>
            <w:r>
              <w:rPr>
                <w:rFonts w:eastAsia="Times New Roman" w:cs="Times New Roman"/>
                <w:color w:val="000000"/>
                <w:kern w:val="0"/>
                <w:sz w:val="14"/>
                <w:szCs w:val="14"/>
                <w:lang w:eastAsia="nl-NL"/>
                <w14:ligatures w14:val="none"/>
              </w:rPr>
              <w:t>*</w:t>
            </w:r>
          </w:p>
        </w:tc>
        <w:tc>
          <w:tcPr>
            <w:tcW w:w="1572" w:type="dxa"/>
            <w:tcBorders>
              <w:top w:val="nil"/>
              <w:left w:val="nil"/>
              <w:bottom w:val="single" w:color="auto" w:sz="4" w:space="0"/>
              <w:right w:val="single" w:color="auto" w:sz="4" w:space="0"/>
            </w:tcBorders>
            <w:shd w:val="clear" w:color="auto" w:fill="DDEFF8"/>
            <w:vAlign w:val="bottom"/>
            <w:hideMark/>
          </w:tcPr>
          <w:p w:rsidRPr="00962818" w:rsidR="005D1698" w:rsidP="005D1698" w:rsidRDefault="005D1698" w14:paraId="5B50E8D8" w14:textId="77777777">
            <w:pPr>
              <w:spacing w:after="0" w:line="240" w:lineRule="auto"/>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COFOG 2, P.51g</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A018806"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1,8</w:t>
            </w:r>
          </w:p>
        </w:tc>
        <w:tc>
          <w:tcPr>
            <w:tcW w:w="665"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7CC3B0D"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10238A4"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3D43BA07"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890"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A447F33"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723"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60D0AD81"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c>
          <w:tcPr>
            <w:tcW w:w="664" w:type="dxa"/>
            <w:tcBorders>
              <w:top w:val="nil"/>
              <w:left w:val="nil"/>
              <w:bottom w:val="single" w:color="auto" w:sz="4" w:space="0"/>
              <w:right w:val="single" w:color="auto" w:sz="4" w:space="0"/>
            </w:tcBorders>
            <w:shd w:val="clear" w:color="auto" w:fill="auto"/>
            <w:vAlign w:val="bottom"/>
            <w:hideMark/>
          </w:tcPr>
          <w:p w:rsidRPr="00962818" w:rsidR="005D1698" w:rsidP="005D1698" w:rsidRDefault="005D1698" w14:paraId="409D0FDF" w14:textId="77777777">
            <w:pPr>
              <w:spacing w:after="0" w:line="240" w:lineRule="auto"/>
              <w:jc w:val="right"/>
              <w:rPr>
                <w:rFonts w:eastAsia="Times New Roman" w:cs="Times New Roman"/>
                <w:color w:val="000000"/>
                <w:kern w:val="0"/>
                <w:sz w:val="14"/>
                <w:szCs w:val="14"/>
                <w:lang w:eastAsia="nl-NL"/>
                <w14:ligatures w14:val="none"/>
              </w:rPr>
            </w:pPr>
            <w:r w:rsidRPr="00962818">
              <w:rPr>
                <w:rFonts w:eastAsia="Times New Roman" w:cs="Times New Roman"/>
                <w:color w:val="000000"/>
                <w:kern w:val="0"/>
                <w:sz w:val="14"/>
                <w:szCs w:val="14"/>
                <w:lang w:eastAsia="nl-NL"/>
                <w14:ligatures w14:val="none"/>
              </w:rPr>
              <w:t>0,2</w:t>
            </w:r>
          </w:p>
        </w:tc>
      </w:tr>
    </w:tbl>
    <w:p w:rsidRPr="0059487B" w:rsidR="000B4D4D" w:rsidP="00DB043D" w:rsidRDefault="00962818" w14:paraId="5B38E637" w14:textId="6D806E18">
      <w:pPr>
        <w:pStyle w:val="Geenafstand"/>
        <w:rPr>
          <w:rFonts w:ascii="Verdana" w:hAnsi="Verdana"/>
          <w:i/>
          <w:sz w:val="18"/>
          <w:szCs w:val="18"/>
        </w:rPr>
      </w:pPr>
      <w:r w:rsidRPr="0059487B">
        <w:rPr>
          <w:rFonts w:ascii="Verdana" w:hAnsi="Verdana"/>
          <w:i/>
          <w:sz w:val="18"/>
          <w:szCs w:val="18"/>
        </w:rPr>
        <w:t>Tabel 4</w:t>
      </w:r>
      <w:r w:rsidR="00B44514">
        <w:rPr>
          <w:rFonts w:ascii="Verdana" w:hAnsi="Verdana"/>
          <w:i/>
          <w:sz w:val="18"/>
          <w:szCs w:val="18"/>
        </w:rPr>
        <w:t>b</w:t>
      </w:r>
      <w:r w:rsidRPr="0059487B">
        <w:rPr>
          <w:rFonts w:ascii="Verdana" w:hAnsi="Verdana"/>
          <w:i/>
          <w:sz w:val="18"/>
          <w:szCs w:val="18"/>
        </w:rPr>
        <w:t>: Overzicht overheidsfinanciën</w:t>
      </w:r>
    </w:p>
    <w:p w:rsidR="00962818" w:rsidP="004B4374" w:rsidRDefault="00FA3CDA" w14:paraId="5522FE3F" w14:textId="3DDEE1D2">
      <w:pPr>
        <w:pStyle w:val="Geenafstand"/>
        <w:rPr>
          <w:rFonts w:ascii="Verdana" w:hAnsi="Verdana"/>
          <w:bCs/>
          <w:sz w:val="14"/>
          <w:szCs w:val="14"/>
        </w:rPr>
      </w:pPr>
      <w:r w:rsidRPr="00FA3CDA">
        <w:rPr>
          <w:rFonts w:ascii="Verdana" w:hAnsi="Verdana"/>
          <w:bCs/>
          <w:sz w:val="14"/>
          <w:szCs w:val="14"/>
        </w:rPr>
        <w:t>*Nieuw</w:t>
      </w:r>
      <w:r w:rsidR="00B44514">
        <w:rPr>
          <w:rFonts w:ascii="Verdana" w:hAnsi="Verdana"/>
          <w:bCs/>
          <w:sz w:val="14"/>
          <w:szCs w:val="14"/>
        </w:rPr>
        <w:t xml:space="preserve"> (ten opzichte van het budgettair-structureel plan)</w:t>
      </w:r>
      <w:r w:rsidRPr="00FA3CDA">
        <w:rPr>
          <w:rFonts w:ascii="Verdana" w:hAnsi="Verdana"/>
          <w:bCs/>
          <w:sz w:val="14"/>
          <w:szCs w:val="14"/>
        </w:rPr>
        <w:t xml:space="preserve"> is dat de Europese Commissie heeft verzocht om ook de defensie-</w:t>
      </w:r>
      <w:bookmarkEnd w:id="15"/>
      <w:r w:rsidRPr="00FA3CDA">
        <w:rPr>
          <w:rFonts w:ascii="Verdana" w:hAnsi="Verdana"/>
          <w:bCs/>
          <w:sz w:val="14"/>
          <w:szCs w:val="14"/>
        </w:rPr>
        <w:t>uitgaven op te nemen in deze voortgangsrapportage. Deze zijn weergeven in rij 45 en 46. De defensie-uitgaven in deze rapportage zijn gebaseerd op basis van ramingen door het CPB en niet op basis van de actuele begrotingsstanden. Om die reden wijken de defensie-uitgaven uitgedrukt in percentage bbp af van de cijfers zoals gepresenteerd in de Voorjaarsnota</w:t>
      </w:r>
      <w:r>
        <w:rPr>
          <w:rFonts w:ascii="Verdana" w:hAnsi="Verdana"/>
          <w:bCs/>
          <w:sz w:val="14"/>
          <w:szCs w:val="14"/>
        </w:rPr>
        <w:t>.</w:t>
      </w:r>
    </w:p>
    <w:p w:rsidRPr="00FA3CDA" w:rsidR="00A81C0A" w:rsidP="004B4374" w:rsidRDefault="00A81C0A" w14:paraId="235A914A" w14:textId="77777777">
      <w:pPr>
        <w:pStyle w:val="Geenafstand"/>
        <w:rPr>
          <w:rFonts w:ascii="Verdana" w:hAnsi="Verdana"/>
          <w:bCs/>
          <w:sz w:val="14"/>
          <w:szCs w:val="14"/>
        </w:rPr>
      </w:pPr>
    </w:p>
    <w:p w:rsidRPr="000B4D4D" w:rsidR="00D83F61" w:rsidP="00F67FC5" w:rsidRDefault="00D83F61" w14:paraId="6369EB64" w14:textId="58844D7C">
      <w:pPr>
        <w:rPr>
          <w:b/>
          <w:bCs/>
          <w:iCs/>
          <w:szCs w:val="18"/>
          <w:u w:val="single"/>
        </w:rPr>
      </w:pPr>
      <w:r w:rsidRPr="000B4D4D">
        <w:rPr>
          <w:b/>
          <w:bCs/>
          <w:iCs/>
          <w:szCs w:val="18"/>
          <w:u w:val="single"/>
        </w:rPr>
        <w:t>Discretionaire inkomstenmaatregelen</w:t>
      </w:r>
    </w:p>
    <w:p w:rsidRPr="000B4D4D" w:rsidR="00FE3F5D" w:rsidP="00F67FC5" w:rsidRDefault="0027484D" w14:paraId="5C0193F3" w14:textId="35E8CFD9">
      <w:pPr>
        <w:rPr>
          <w:iCs/>
          <w:szCs w:val="18"/>
        </w:rPr>
      </w:pPr>
      <w:bookmarkStart w:name="_Hlk195614229" w:id="16"/>
      <w:r w:rsidRPr="000B4D4D">
        <w:rPr>
          <w:iCs/>
          <w:szCs w:val="18"/>
        </w:rPr>
        <w:t xml:space="preserve">Bij het vaststellen van </w:t>
      </w:r>
      <w:r w:rsidRPr="000B4D4D" w:rsidR="0083495D">
        <w:rPr>
          <w:iCs/>
          <w:szCs w:val="18"/>
        </w:rPr>
        <w:t>het uitgavenpad</w:t>
      </w:r>
      <w:r w:rsidRPr="000B4D4D">
        <w:rPr>
          <w:iCs/>
          <w:szCs w:val="18"/>
        </w:rPr>
        <w:t xml:space="preserve"> wordt rekening gehouden met discretionaire inkomstenmaatregelen. </w:t>
      </w:r>
      <w:r w:rsidRPr="000B4D4D" w:rsidR="00FE3F5D">
        <w:rPr>
          <w:iCs/>
          <w:szCs w:val="18"/>
        </w:rPr>
        <w:t xml:space="preserve">In </w:t>
      </w:r>
      <w:r w:rsidRPr="000B4D4D" w:rsidR="00D2195D">
        <w:rPr>
          <w:iCs/>
          <w:szCs w:val="18"/>
        </w:rPr>
        <w:t>t</w:t>
      </w:r>
      <w:r w:rsidRPr="000B4D4D" w:rsidR="00FE3F5D">
        <w:rPr>
          <w:iCs/>
          <w:szCs w:val="18"/>
        </w:rPr>
        <w:t xml:space="preserve">abel </w:t>
      </w:r>
      <w:r w:rsidRPr="000B4D4D" w:rsidR="00596D63">
        <w:rPr>
          <w:iCs/>
          <w:szCs w:val="18"/>
        </w:rPr>
        <w:t xml:space="preserve">5 </w:t>
      </w:r>
      <w:r w:rsidRPr="000B4D4D" w:rsidR="00FE3F5D">
        <w:rPr>
          <w:iCs/>
          <w:szCs w:val="18"/>
        </w:rPr>
        <w:t>wordt een overzicht gegeven van de totale discretionaire inkomstenmaatregelen per jaar. Dit overzicht omvat niet alleen de maatregelen die door dit kabinet zijn getroffen, maar ook maatregelen die door vorige kabinetten zijn genomen en nog effect hebben in de komende jaren.</w:t>
      </w:r>
    </w:p>
    <w:bookmarkEnd w:id="16"/>
    <w:p w:rsidRPr="000B4D4D" w:rsidR="00D83F61" w:rsidP="00D83F61" w:rsidRDefault="00D83F61" w14:paraId="1EE8E1A5" w14:textId="24F01B45">
      <w:pPr>
        <w:rPr>
          <w:iCs/>
          <w:szCs w:val="18"/>
        </w:rPr>
      </w:pPr>
      <w:r w:rsidRPr="000B4D4D">
        <w:rPr>
          <w:iCs/>
          <w:szCs w:val="18"/>
        </w:rPr>
        <w:t>Voor de discretionaire inkomstenmaatregelen is het statische effect van fiscale beleidswijzigingen relevant. Het statische effect is het effect van een beleidsmatige tariefswijziging bij gelijkblijvende grondslag of het effect van een beleidsmatige grondslagwijziging bij gelijkblijvend tarief. Daar waar relevant, telt ook het eerste</w:t>
      </w:r>
      <w:r w:rsidRPr="000B4D4D" w:rsidR="00596D63">
        <w:rPr>
          <w:iCs/>
          <w:szCs w:val="18"/>
        </w:rPr>
        <w:t>-</w:t>
      </w:r>
      <w:r w:rsidRPr="000B4D4D">
        <w:rPr>
          <w:iCs/>
          <w:szCs w:val="18"/>
        </w:rPr>
        <w:t>orde</w:t>
      </w:r>
      <w:r w:rsidRPr="000B4D4D" w:rsidR="00596D63">
        <w:rPr>
          <w:iCs/>
          <w:szCs w:val="18"/>
        </w:rPr>
        <w:t xml:space="preserve"> </w:t>
      </w:r>
      <w:r w:rsidRPr="000B4D4D">
        <w:rPr>
          <w:iCs/>
          <w:szCs w:val="18"/>
        </w:rPr>
        <w:t>gedragseffect mee. Dit zijn directe effecten op de grondslag van de belasting waar de maatregel betrekking op heeft. Dit leidt tot een meer realistische inschatting van de effecten van een tariefswijziging en daarmee tot een betere afweging. Ook wordt rekening gehouden met direct samenhangende fiscale kruiselasticiteiten wanneer die van toepassing zijn. Met kruiselasticiteiten tussen een beleidswijziging aan de uitgavenkant (waaronder normerende maatregelen) en de fiscaliteit wordt geen rekening gehouden tenzij dit leidt tot mogelijk ondoelmatige keuzes of onbedoelde uitkomsten. Een stimulans, zowel aan de inkomsten- als aan de uitgavenkant, van elektrisch rijden kan bijvoorbeeld ook (andere) auto</w:t>
      </w:r>
      <w:r w:rsidRPr="000B4D4D" w:rsidR="00881672">
        <w:rPr>
          <w:iCs/>
          <w:szCs w:val="18"/>
        </w:rPr>
        <w:t>-</w:t>
      </w:r>
      <w:r w:rsidRPr="000B4D4D">
        <w:rPr>
          <w:iCs/>
          <w:szCs w:val="18"/>
        </w:rPr>
        <w:t xml:space="preserve">gerelateerde belastingen substantieel beïnvloeden. </w:t>
      </w:r>
    </w:p>
    <w:p w:rsidRPr="000B4D4D" w:rsidR="00D83F61" w:rsidP="00D83F61" w:rsidRDefault="00D83F61" w14:paraId="3836950E" w14:textId="4F26CA87">
      <w:pPr>
        <w:rPr>
          <w:iCs/>
          <w:szCs w:val="18"/>
        </w:rPr>
      </w:pPr>
      <w:r w:rsidRPr="000B4D4D">
        <w:rPr>
          <w:iCs/>
          <w:szCs w:val="18"/>
        </w:rPr>
        <w:t xml:space="preserve">Op het moment dat inkomstenmaatregelen in wetgeving worden omgezet, worden de budgettaire effecten van de maatregelen eenmalig herijkt. Bij het herijken worden de laatste (economische) inzichten meegenomen om te zorgen voor een zo accuraat mogelijke raming. </w:t>
      </w:r>
    </w:p>
    <w:p w:rsidRPr="009E6CB5" w:rsidR="00FE3F5D" w:rsidP="006C0965" w:rsidRDefault="006C0965" w14:paraId="4C7CE8B7" w14:textId="537AAA00">
      <w:pPr>
        <w:rPr>
          <w:rFonts w:eastAsia="Verdana" w:cs="Verdana"/>
          <w:szCs w:val="18"/>
        </w:rPr>
      </w:pPr>
      <w:r w:rsidRPr="000B4D4D">
        <w:rPr>
          <w:rFonts w:eastAsia="Verdana" w:cs="Verdana"/>
          <w:i/>
          <w:szCs w:val="18"/>
        </w:rPr>
        <w:t>T</w:t>
      </w:r>
      <w:r w:rsidRPr="000B4D4D" w:rsidR="00D06F47">
        <w:rPr>
          <w:rFonts w:eastAsia="Verdana" w:cs="Verdana"/>
          <w:i/>
          <w:szCs w:val="18"/>
        </w:rPr>
        <w:t xml:space="preserve">abel </w:t>
      </w:r>
      <w:r w:rsidRPr="000B4D4D" w:rsidR="00D06F47">
        <w:rPr>
          <w:i/>
          <w:iCs/>
          <w:szCs w:val="18"/>
        </w:rPr>
        <w:t xml:space="preserve">5: </w:t>
      </w:r>
      <w:r w:rsidRPr="000B4D4D">
        <w:rPr>
          <w:i/>
          <w:iCs/>
          <w:szCs w:val="18"/>
        </w:rPr>
        <w:t xml:space="preserve">Verwachte impact </w:t>
      </w:r>
      <w:r w:rsidRPr="000B4D4D" w:rsidR="00607946">
        <w:rPr>
          <w:i/>
          <w:iCs/>
          <w:szCs w:val="18"/>
        </w:rPr>
        <w:t>discretionaire inkomensmaatregelen</w:t>
      </w:r>
      <w:r w:rsidR="009E6CB5">
        <w:rPr>
          <w:rFonts w:eastAsia="Verdana" w:cs="Verdana"/>
          <w:szCs w:val="18"/>
        </w:rPr>
        <w:t>,</w:t>
      </w:r>
      <w:r w:rsidRPr="000B4D4D">
        <w:rPr>
          <w:rFonts w:eastAsia="Verdana" w:cs="Verdana"/>
          <w:szCs w:val="18"/>
        </w:rPr>
        <w:t xml:space="preserve"> </w:t>
      </w:r>
      <w:r w:rsidRPr="000B4D4D">
        <w:rPr>
          <w:rFonts w:eastAsia="Verdana" w:cs="Verdana"/>
          <w:i/>
          <w:iCs/>
          <w:szCs w:val="18"/>
        </w:rPr>
        <w:t>Impact in miljoenen euro’s, + = saldoverbeterend)</w:t>
      </w:r>
    </w:p>
    <w:tbl>
      <w:tblPr>
        <w:tblW w:w="8980" w:type="dxa"/>
        <w:tblCellMar>
          <w:left w:w="70" w:type="dxa"/>
          <w:right w:w="70" w:type="dxa"/>
        </w:tblCellMar>
        <w:tblLook w:val="04A0" w:firstRow="1" w:lastRow="0" w:firstColumn="1" w:lastColumn="0" w:noHBand="0" w:noVBand="1"/>
      </w:tblPr>
      <w:tblGrid>
        <w:gridCol w:w="2684"/>
        <w:gridCol w:w="992"/>
        <w:gridCol w:w="663"/>
        <w:gridCol w:w="663"/>
        <w:gridCol w:w="663"/>
        <w:gridCol w:w="663"/>
        <w:gridCol w:w="663"/>
        <w:gridCol w:w="663"/>
        <w:gridCol w:w="663"/>
        <w:gridCol w:w="663"/>
      </w:tblGrid>
      <w:tr w:rsidRPr="009E6CB5" w:rsidR="009E6CB5" w:rsidTr="009E6CB5" w14:paraId="31C25304" w14:textId="77777777">
        <w:trPr>
          <w:trHeight w:val="315"/>
        </w:trPr>
        <w:tc>
          <w:tcPr>
            <w:tcW w:w="2684" w:type="dxa"/>
            <w:tcBorders>
              <w:top w:val="single" w:color="auto" w:sz="8" w:space="0"/>
              <w:left w:val="single" w:color="auto" w:sz="8" w:space="0"/>
              <w:bottom w:val="single" w:color="auto" w:sz="8" w:space="0"/>
              <w:right w:val="single" w:color="auto" w:sz="8" w:space="0"/>
            </w:tcBorders>
            <w:shd w:val="clear" w:color="000000" w:fill="01689B"/>
            <w:noWrap/>
            <w:vAlign w:val="center"/>
            <w:hideMark/>
          </w:tcPr>
          <w:p w:rsidRPr="009E6CB5" w:rsidR="009E6CB5" w:rsidP="009E6CB5" w:rsidRDefault="009E6CB5" w14:paraId="771324B4" w14:textId="77777777">
            <w:pPr>
              <w:spacing w:after="0" w:line="240" w:lineRule="auto"/>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Belastingsoort</w:t>
            </w:r>
          </w:p>
        </w:tc>
        <w:tc>
          <w:tcPr>
            <w:tcW w:w="992"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3473FB3D" w14:textId="77777777">
            <w:pPr>
              <w:spacing w:after="0" w:line="240" w:lineRule="auto"/>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Eenmalig</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607A11B9"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2023</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4606D9BF"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2024</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0FDC51AD"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2025</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123612CC"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2026</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3F7BD162"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2027</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0C1C7C10"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2028</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3BD03506"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2029</w:t>
            </w:r>
          </w:p>
        </w:tc>
        <w:tc>
          <w:tcPr>
            <w:tcW w:w="663" w:type="dxa"/>
            <w:tcBorders>
              <w:top w:val="single" w:color="auto" w:sz="8" w:space="0"/>
              <w:left w:val="nil"/>
              <w:bottom w:val="single" w:color="auto" w:sz="8" w:space="0"/>
              <w:right w:val="single" w:color="auto" w:sz="8" w:space="0"/>
            </w:tcBorders>
            <w:shd w:val="clear" w:color="000000" w:fill="01689B"/>
            <w:noWrap/>
            <w:vAlign w:val="center"/>
            <w:hideMark/>
          </w:tcPr>
          <w:p w:rsidRPr="009E6CB5" w:rsidR="009E6CB5" w:rsidP="009E6CB5" w:rsidRDefault="009E6CB5" w14:paraId="3D8EFE66" w14:textId="77777777">
            <w:pPr>
              <w:spacing w:after="0" w:line="240" w:lineRule="auto"/>
              <w:jc w:val="center"/>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2030</w:t>
            </w:r>
          </w:p>
        </w:tc>
      </w:tr>
      <w:tr w:rsidRPr="009E6CB5" w:rsidR="009E6CB5" w:rsidTr="009E6CB5" w14:paraId="3761DA83"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06F790A1"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Bankbelasting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2743199"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E9FB4D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FEA6CE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150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F60EC5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45729A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EE5F56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703AB4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2CDEA2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09CB89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372A5C2E"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400897C6"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BPM</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4B36C03"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24363D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E5A042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E5E05D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586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813C3E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358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94E6B5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07922A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2333B0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26C7DF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-53</w:t>
            </w:r>
          </w:p>
        </w:tc>
      </w:tr>
      <w:tr w:rsidRPr="009E6CB5" w:rsidR="009E6CB5" w:rsidTr="009E6CB5" w14:paraId="37831315"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6F1F218E" w14:textId="7ADC1821">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Circulaire plasti</w:t>
            </w:r>
            <w:r>
              <w:rPr>
                <w:rFonts w:eastAsia="Times New Roman" w:cs="Times New Roman"/>
                <w:color w:val="000000"/>
                <w:kern w:val="0"/>
                <w:sz w:val="14"/>
                <w:szCs w:val="14"/>
                <w:lang w:eastAsia="nl-NL"/>
                <w14:ligatures w14:val="none"/>
              </w:rPr>
              <w:t>c</w:t>
            </w:r>
            <w:r w:rsidRPr="009E6CB5">
              <w:rPr>
                <w:rFonts w:eastAsia="Times New Roman" w:cs="Times New Roman"/>
                <w:color w:val="000000"/>
                <w:kern w:val="0"/>
                <w:sz w:val="14"/>
                <w:szCs w:val="14"/>
                <w:lang w:eastAsia="nl-NL"/>
                <w14:ligatures w14:val="none"/>
              </w:rPr>
              <w:t xml:space="preserve"> heffing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857446B"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6E86BD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D7E5FC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42CA64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FF5293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B3C3C2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0DCEED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547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6C3E1A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3B3E5C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0AC8E3B4"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3A7FD5E9"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CO2-heffing glastuinbouw</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53E17D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A25AF4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2C13F2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A9FD21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04CAFC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90027D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604D53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275949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3D1983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w:t>
            </w:r>
          </w:p>
        </w:tc>
      </w:tr>
      <w:tr w:rsidRPr="009E6CB5" w:rsidR="009E6CB5" w:rsidTr="009E6CB5" w14:paraId="6CAC62CE"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57D41794"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Kolenbelasting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E996287"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D65C61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46DFDC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AACD04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2BFBEC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1061FC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2FEB09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FC9AF1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74F6A4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-35</w:t>
            </w:r>
          </w:p>
        </w:tc>
      </w:tr>
      <w:tr w:rsidRPr="009E6CB5" w:rsidR="009E6CB5" w:rsidTr="009E6CB5" w14:paraId="64668C2E"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2C576A34"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Vennootschapsbelasting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0921FFD"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0E1F13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1757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6F0CA8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E96E31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969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D92530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188089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-167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ABE42A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00ECFC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-120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3454B4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-99</w:t>
            </w:r>
          </w:p>
        </w:tc>
      </w:tr>
      <w:tr w:rsidRPr="009E6CB5" w:rsidR="009E6CB5" w:rsidTr="009E6CB5" w14:paraId="7BE85A07"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4D1CBE4A"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Vennootschapsbelasting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2BD0734"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Ja</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8CA4C6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3E2D91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-1053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0AE81D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1053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1B73FE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E1BB9B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8AF924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28C33A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7A6FA9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19B2E936"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1BD2C352"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Dividendbelasting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F9BCF2B"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7678F2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373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AEC49D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-666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5D9F2E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472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547950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-139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62E027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E217AE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574CA6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C86C7F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w:t>
            </w:r>
          </w:p>
        </w:tc>
      </w:tr>
      <w:tr w:rsidRPr="009E6CB5" w:rsidR="009E6CB5" w:rsidTr="009E6CB5" w14:paraId="4CE0A1A9"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7FA98E36"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Dividendbelasting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6C1A667"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Ja</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E198FC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5000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5AD1D9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-5293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D54ACC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293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4752B5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E0D0C7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5A3F2F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DABECD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7AA573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78EDD0F8"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60A6B193"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Alcoholaccijns</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5F744CB"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A170B4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11822B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5F8BFB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2DFA54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8D4477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2C5B22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550AF4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3601AB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13000B6B"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5676A8E9"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Bieraccijns</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13AE55D"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B7DD7C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5CBF9E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D401D6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FB5524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A2382A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F5743E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1D5314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AD0B01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5E8B9309"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03C2D00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Accijns op lichte oliën</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3B3734F"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65B849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-131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FF9E44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-89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0B8433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7F6E49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916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5ABCE9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B20717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6AE6F9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CFC1A5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w:t>
            </w:r>
          </w:p>
        </w:tc>
      </w:tr>
      <w:tr w:rsidRPr="009E6CB5" w:rsidR="009E6CB5" w:rsidTr="009E6CB5" w14:paraId="6672778A"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2B949DC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Accijns op minerale oliën anders dan lichte olie</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F75CF81"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5A67D8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-82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F29783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4F65C6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A42D31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499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0AA3CF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-167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DF13DA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AD7D1F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49DD7F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-25</w:t>
            </w:r>
          </w:p>
        </w:tc>
      </w:tr>
      <w:tr w:rsidRPr="009E6CB5" w:rsidR="009E6CB5" w:rsidTr="009E6CB5" w14:paraId="5C030011"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5060E97C"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Tabaksaccijns</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0EA19A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FE7132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153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ED79AA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361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05616A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170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1AFA78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ABA11D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F4A9F3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CCA2F6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388A3D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3EAF801D"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7A268196"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Wijnaccijns</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2464989"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D7FD1E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BA5640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2FB9F8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A2424B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7A0263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5E6E13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55C230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AB78D2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499C53CD"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6DD2BC0A"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Energiebelasting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884ADDD"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50ED63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6047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53D018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-287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06F7F9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07D9F0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-390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E4A1EE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300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C90D54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B527EE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264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6DA23C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228</w:t>
            </w:r>
          </w:p>
        </w:tc>
      </w:tr>
      <w:tr w:rsidRPr="009E6CB5" w:rsidR="009E6CB5" w:rsidTr="009E6CB5" w14:paraId="1AB8D469"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0D47C1A2"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Schenk en erfbelasting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4DC1562"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A2D068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C6120A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52F2AF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D9046A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2F4723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6CE0B7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999734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EE8F98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w:t>
            </w:r>
          </w:p>
        </w:tc>
      </w:tr>
      <w:tr w:rsidRPr="009E6CB5" w:rsidR="009E6CB5" w:rsidTr="009E6CB5" w14:paraId="627167F5"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3FB96E00"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Vliegbelasting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7BDD622"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8CCB1E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354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FD2368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E8193D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C11293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967374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248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7BFF11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990BA7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04E99D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665B66E3"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33AE1672"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Kansspelbelasting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89FDF9E"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8527FD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FFE89C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2F9A0F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DA10A9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620C53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23A677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5A0C2B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35B731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0A11EBC4"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5B870661"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Premie zorgverzekeringswet</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60C9100"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B239E1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-270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073CFA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-4206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5F360C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2314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4D4F4B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8BD917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5705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B831CF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884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FF9E36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095B37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64D328FF"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6C8E7F64"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Belasting zware motorrijtuigen</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1BA05B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87A32B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2F9872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9C1CA3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A786A6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8973FB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D736BA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FF6A7C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48F9EF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0A2C94FE"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13D8BDB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lastRenderedPageBreak/>
              <w:t>Inkomensheffing box 1</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CF2F1B7"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F2FEA5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-1267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C3D3AE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2757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409BE6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-1137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4DB6E3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1270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120B95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F72BAE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-459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F7A407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157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008BC4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434</w:t>
            </w:r>
          </w:p>
        </w:tc>
      </w:tr>
      <w:tr w:rsidRPr="009E6CB5" w:rsidR="009E6CB5" w:rsidTr="009E6CB5" w14:paraId="50992B24"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6B5C7E8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Inkomensheffing box 2</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66F1254"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E1F022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257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6A2394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-141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87C521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-810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4668C3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184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D1DA22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4E25E0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B3D09C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FADFB9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-42</w:t>
            </w:r>
          </w:p>
        </w:tc>
      </w:tr>
      <w:tr w:rsidRPr="009E6CB5" w:rsidR="009E6CB5" w:rsidTr="009E6CB5" w14:paraId="6A971B50"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1F18DDEB"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Inkomensheffing box 2</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806520C"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Ja</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586496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801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BBA293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4954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FCB088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-5754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B13FB9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8A6A43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BF5E6C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3A27D2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BA8822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0EA44FC2"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41FFCEE3"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Inkomensheffing box 3</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DB0B9DA"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FD69C7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189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73C500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539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FD6E02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-2172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16125D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1341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6F5400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172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9A6631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-1175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F33A68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2001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B88154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w:t>
            </w:r>
          </w:p>
        </w:tc>
      </w:tr>
      <w:tr w:rsidRPr="009E6CB5" w:rsidR="009E6CB5" w:rsidTr="009E6CB5" w14:paraId="1EC94E74"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50948397"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Inkomensheffing box 3</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C8927F2"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Ja</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4CE64E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1778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D02B53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-4328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BEF902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4328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07AA58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C2BFE3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EC427D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63A701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AEA6FA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46EE2D2C"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2BD37F40"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Inframarginale heffing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BC57C2F"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23A114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8B5DAE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179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39B073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-179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D7181A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687E35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629949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43634B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E91B58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2EF31EB6"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3A47DA1C"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Fiscale maatregelen Caribisch Nederland</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18737F0"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B79F53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0C1F32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B9A492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8F6490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B5C207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855E19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1BC942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A8C99B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78DCC04B"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3FEDFC4A"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Verhuurderheffing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7F48A5C"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B6CBF5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-872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5F5573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020383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F188DC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C03434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439325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14E1AB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C648F5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4D62FD63"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47C9F176"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Motorrijtuigenbelasting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9410B38"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F58248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37E504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FDB33C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75D12C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8A762A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881214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CE73F1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E6C576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324</w:t>
            </w:r>
          </w:p>
        </w:tc>
      </w:tr>
      <w:tr w:rsidRPr="009E6CB5" w:rsidR="009E6CB5" w:rsidTr="009E6CB5" w14:paraId="1A006D07"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699FA47E"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Premies werknemersverzekeringen</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C765456"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28E238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324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1F7074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546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CDE2E70"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588</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2A8791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312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43B6C9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-513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6C2680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B1E8A3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DA97BD4"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13</w:t>
            </w:r>
          </w:p>
        </w:tc>
      </w:tr>
      <w:tr w:rsidRPr="009E6CB5" w:rsidR="009E6CB5" w:rsidTr="009E6CB5" w14:paraId="7E5B64F9"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1D636682"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Solidariteitsbijdrage</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9604F37"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ECB971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-6433</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371453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B786D3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60215D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90DC569"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05B05D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EFCDC6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59F610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34D791B7"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133D8D49"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Overdrachtsbelasting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B61E17E"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5146C8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1089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B95258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3CD90B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-185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036CE0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271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18A7F7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-116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948D66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42</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5A5686B5"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47AC4A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w:t>
            </w:r>
          </w:p>
        </w:tc>
      </w:tr>
      <w:tr w:rsidRPr="009E6CB5" w:rsidR="009E6CB5" w:rsidTr="009E6CB5" w14:paraId="569B599B"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4CFDD8CB"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Verbruiksbelasting niet-alcoholhoudende dranken</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172D03E"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CABB4F6"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124A246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396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164222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97FAAC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1C7885B"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36</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EC6F2C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15BE54E"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3D78993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E6CB5" w:rsidTr="009E6CB5" w14:paraId="5214200F" w14:textId="77777777">
        <w:trPr>
          <w:trHeight w:val="315"/>
        </w:trPr>
        <w:tc>
          <w:tcPr>
            <w:tcW w:w="2684" w:type="dxa"/>
            <w:tcBorders>
              <w:top w:val="nil"/>
              <w:left w:val="single" w:color="auto" w:sz="8" w:space="0"/>
              <w:bottom w:val="single" w:color="auto" w:sz="8" w:space="0"/>
              <w:right w:val="single" w:color="auto" w:sz="8" w:space="0"/>
            </w:tcBorders>
            <w:shd w:val="clear" w:color="000000" w:fill="DDEFF8"/>
            <w:noWrap/>
            <w:vAlign w:val="center"/>
            <w:hideMark/>
          </w:tcPr>
          <w:p w:rsidRPr="009E6CB5" w:rsidR="009E6CB5" w:rsidP="009E6CB5" w:rsidRDefault="009E6CB5" w14:paraId="20C96734"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Omzetbelasting</w:t>
            </w:r>
          </w:p>
        </w:tc>
        <w:tc>
          <w:tcPr>
            <w:tcW w:w="992"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988EBD6"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44CC688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994</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70D3D41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97B9122"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-135</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47B69B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1297</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6D9288CF"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189</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997616A"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2F80EED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-10</w:t>
            </w:r>
          </w:p>
        </w:tc>
        <w:tc>
          <w:tcPr>
            <w:tcW w:w="663" w:type="dxa"/>
            <w:tcBorders>
              <w:top w:val="nil"/>
              <w:left w:val="nil"/>
              <w:bottom w:val="single" w:color="auto" w:sz="8" w:space="0"/>
              <w:right w:val="single" w:color="auto" w:sz="8" w:space="0"/>
            </w:tcBorders>
            <w:shd w:val="clear" w:color="auto" w:fill="auto"/>
            <w:noWrap/>
            <w:vAlign w:val="center"/>
            <w:hideMark/>
          </w:tcPr>
          <w:p w:rsidRPr="009E6CB5" w:rsidR="009E6CB5" w:rsidP="009E6CB5" w:rsidRDefault="009E6CB5" w14:paraId="00582F1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7</w:t>
            </w:r>
          </w:p>
        </w:tc>
      </w:tr>
      <w:tr w:rsidRPr="009E6CB5" w:rsidR="009E6CB5" w:rsidTr="009E6CB5" w14:paraId="53CDA581" w14:textId="77777777">
        <w:trPr>
          <w:trHeight w:val="315"/>
        </w:trPr>
        <w:tc>
          <w:tcPr>
            <w:tcW w:w="2684" w:type="dxa"/>
            <w:tcBorders>
              <w:top w:val="nil"/>
              <w:left w:val="single" w:color="auto" w:sz="8" w:space="0"/>
              <w:bottom w:val="single" w:color="auto" w:sz="4" w:space="0"/>
              <w:right w:val="single" w:color="auto" w:sz="8" w:space="0"/>
            </w:tcBorders>
            <w:shd w:val="clear" w:color="000000" w:fill="DDEFF8"/>
            <w:noWrap/>
            <w:vAlign w:val="center"/>
            <w:hideMark/>
          </w:tcPr>
          <w:p w:rsidRPr="009E6CB5" w:rsidR="009E6CB5" w:rsidP="009E6CB5" w:rsidRDefault="009E6CB5" w14:paraId="691EC5F3"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Afvalstoffenbelasting</w:t>
            </w:r>
          </w:p>
        </w:tc>
        <w:tc>
          <w:tcPr>
            <w:tcW w:w="992"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5C9CF615" w14:textId="77777777">
            <w:pPr>
              <w:spacing w:after="0" w:line="240" w:lineRule="auto"/>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Nee</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0C9978A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1</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76B70751"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66A0AE6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3D4F888C"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2F36489D"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508C7C23"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38832108"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c>
          <w:tcPr>
            <w:tcW w:w="663" w:type="dxa"/>
            <w:tcBorders>
              <w:top w:val="nil"/>
              <w:left w:val="nil"/>
              <w:bottom w:val="single" w:color="auto" w:sz="4" w:space="0"/>
              <w:right w:val="single" w:color="auto" w:sz="8" w:space="0"/>
            </w:tcBorders>
            <w:shd w:val="clear" w:color="auto" w:fill="auto"/>
            <w:noWrap/>
            <w:vAlign w:val="center"/>
            <w:hideMark/>
          </w:tcPr>
          <w:p w:rsidRPr="009E6CB5" w:rsidR="009E6CB5" w:rsidP="009E6CB5" w:rsidRDefault="009E6CB5" w14:paraId="19971357" w14:textId="77777777">
            <w:pPr>
              <w:spacing w:after="0" w:line="240" w:lineRule="auto"/>
              <w:jc w:val="center"/>
              <w:rPr>
                <w:rFonts w:eastAsia="Times New Roman" w:cs="Times New Roman"/>
                <w:color w:val="000000"/>
                <w:kern w:val="0"/>
                <w:sz w:val="14"/>
                <w:szCs w:val="14"/>
                <w:lang w:eastAsia="nl-NL"/>
                <w14:ligatures w14:val="none"/>
              </w:rPr>
            </w:pPr>
            <w:r w:rsidRPr="009E6CB5">
              <w:rPr>
                <w:rFonts w:eastAsia="Times New Roman" w:cs="Times New Roman"/>
                <w:color w:val="000000"/>
                <w:kern w:val="0"/>
                <w:sz w:val="14"/>
                <w:szCs w:val="14"/>
                <w:lang w:eastAsia="nl-NL"/>
                <w14:ligatures w14:val="none"/>
              </w:rPr>
              <w:t>0</w:t>
            </w:r>
          </w:p>
        </w:tc>
      </w:tr>
      <w:tr w:rsidRPr="009E6CB5" w:rsidR="00922F0E" w:rsidTr="00922F0E" w14:paraId="4217E1B9" w14:textId="77777777">
        <w:trPr>
          <w:trHeight w:val="315"/>
        </w:trPr>
        <w:tc>
          <w:tcPr>
            <w:tcW w:w="3676" w:type="dxa"/>
            <w:gridSpan w:val="2"/>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135328D9" w14:textId="77777777">
            <w:pPr>
              <w:spacing w:after="0" w:line="240" w:lineRule="auto"/>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Totaal</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7852BE48" w14:textId="19C2CD6A">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9936</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195ACBDE" w14:textId="30C52DCE">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-6146</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4B4BB2EE" w14:textId="682B2277">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438</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321C1F8A" w14:textId="05D8AA2D">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6035</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7BF2CB1E" w14:textId="37D2A99E">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5830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2C6743DF" w14:textId="53464C37">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-163</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10A3932A" w14:textId="0EFD976E">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2290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6E515ADE" w14:textId="72592490">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770</w:t>
            </w:r>
          </w:p>
        </w:tc>
      </w:tr>
      <w:tr w:rsidRPr="009E6CB5" w:rsidR="00922F0E" w:rsidTr="00922F0E" w14:paraId="148438FF" w14:textId="77777777">
        <w:trPr>
          <w:trHeight w:val="315"/>
        </w:trPr>
        <w:tc>
          <w:tcPr>
            <w:tcW w:w="3676" w:type="dxa"/>
            <w:gridSpan w:val="2"/>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293B3F6A" w14:textId="77777777">
            <w:pPr>
              <w:spacing w:after="0" w:line="240" w:lineRule="auto"/>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Totaal (eenmalig)</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60FC8ABD" w14:textId="07C1952D">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7579</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53636E91" w14:textId="00915F5F">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-5720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28959ED2" w14:textId="1AC1B9D1">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-80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0EFAB895" w14:textId="14787136">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4387DAE2" w14:textId="53D7ECBC">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4DE4F721" w14:textId="64FFE396">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63E97D76" w14:textId="4E485B1D">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0F7EF4DB" w14:textId="454ECB57">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0</w:t>
            </w:r>
          </w:p>
        </w:tc>
      </w:tr>
      <w:tr w:rsidRPr="009E6CB5" w:rsidR="00922F0E" w:rsidTr="00922F0E" w14:paraId="122322BB" w14:textId="77777777">
        <w:trPr>
          <w:trHeight w:val="315"/>
        </w:trPr>
        <w:tc>
          <w:tcPr>
            <w:tcW w:w="3676" w:type="dxa"/>
            <w:gridSpan w:val="2"/>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2F8B5465" w14:textId="77777777">
            <w:pPr>
              <w:spacing w:after="0" w:line="240" w:lineRule="auto"/>
              <w:rPr>
                <w:rFonts w:eastAsia="Times New Roman" w:cs="Times New Roman"/>
                <w:b/>
                <w:bCs/>
                <w:color w:val="FFFFFF"/>
                <w:kern w:val="0"/>
                <w:sz w:val="14"/>
                <w:szCs w:val="14"/>
                <w:lang w:eastAsia="nl-NL"/>
                <w14:ligatures w14:val="none"/>
              </w:rPr>
            </w:pPr>
            <w:r w:rsidRPr="009E6CB5">
              <w:rPr>
                <w:rFonts w:eastAsia="Times New Roman" w:cs="Times New Roman"/>
                <w:b/>
                <w:bCs/>
                <w:color w:val="FFFFFF"/>
                <w:kern w:val="0"/>
                <w:sz w:val="14"/>
                <w:szCs w:val="14"/>
                <w:lang w:eastAsia="nl-NL"/>
                <w14:ligatures w14:val="none"/>
              </w:rPr>
              <w:t>Totaal (niet eenmalig)</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0F3184A8" w14:textId="55FC8C35">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2357</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79BACBF6" w14:textId="73B38663">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-426</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0E2F9FA5" w14:textId="6F1E96AA">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518</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540C3968" w14:textId="67180142">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6035</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74033B05" w14:textId="41007CD3">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5830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3AFC32C4" w14:textId="7C0A92B1">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-163</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78345E18" w14:textId="78620091">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2290</w:t>
            </w:r>
          </w:p>
        </w:tc>
        <w:tc>
          <w:tcPr>
            <w:tcW w:w="663" w:type="dxa"/>
            <w:tcBorders>
              <w:top w:val="single" w:color="auto" w:sz="4" w:space="0"/>
              <w:left w:val="single" w:color="auto" w:sz="4" w:space="0"/>
              <w:bottom w:val="single" w:color="auto" w:sz="4" w:space="0"/>
              <w:right w:val="single" w:color="auto" w:sz="4" w:space="0"/>
            </w:tcBorders>
            <w:shd w:val="clear" w:color="000000" w:fill="01689B"/>
            <w:noWrap/>
            <w:vAlign w:val="center"/>
            <w:hideMark/>
          </w:tcPr>
          <w:p w:rsidRPr="009E6CB5" w:rsidR="00922F0E" w:rsidP="00922F0E" w:rsidRDefault="00922F0E" w14:paraId="0C0AB735" w14:textId="7D403CB8">
            <w:pPr>
              <w:spacing w:after="0" w:line="240" w:lineRule="auto"/>
              <w:jc w:val="center"/>
              <w:rPr>
                <w:rFonts w:eastAsia="Times New Roman" w:cs="Times New Roman"/>
                <w:color w:val="FFFFFF" w:themeColor="background1"/>
                <w:kern w:val="0"/>
                <w:sz w:val="14"/>
                <w:szCs w:val="14"/>
                <w:lang w:eastAsia="nl-NL"/>
                <w14:ligatures w14:val="none"/>
              </w:rPr>
            </w:pPr>
            <w:r w:rsidRPr="00922F0E">
              <w:rPr>
                <w:color w:val="FFFFFF" w:themeColor="background1"/>
                <w:sz w:val="14"/>
                <w:szCs w:val="14"/>
              </w:rPr>
              <w:t>770</w:t>
            </w:r>
          </w:p>
        </w:tc>
      </w:tr>
    </w:tbl>
    <w:p w:rsidRPr="009E6CB5" w:rsidR="009E6CB5" w:rsidRDefault="009E6CB5" w14:paraId="65FBCFB7" w14:textId="09CC6FF2">
      <w:pPr>
        <w:rPr>
          <w:rFonts w:eastAsia="Verdana" w:cs="Verdana"/>
          <w:sz w:val="14"/>
          <w:szCs w:val="14"/>
        </w:rPr>
      </w:pPr>
      <w:r w:rsidRPr="00B44514">
        <w:rPr>
          <w:rFonts w:eastAsia="Verdana" w:cs="Verdana"/>
          <w:sz w:val="14"/>
          <w:szCs w:val="14"/>
        </w:rPr>
        <w:t>* Bedragen zijn incrementeel weergegeven in de tabel</w:t>
      </w:r>
    </w:p>
    <w:p w:rsidRPr="000B4D4D" w:rsidR="001D59A4" w:rsidRDefault="001D59A4" w14:paraId="6E0E7F35" w14:textId="59607F2D">
      <w:pPr>
        <w:rPr>
          <w:rFonts w:eastAsia="Verdana" w:cs="Verdana"/>
          <w:b/>
          <w:bCs/>
          <w:szCs w:val="18"/>
          <w:u w:val="single"/>
        </w:rPr>
      </w:pPr>
      <w:r w:rsidRPr="000B4D4D">
        <w:rPr>
          <w:rFonts w:eastAsia="Verdana" w:cs="Verdana"/>
          <w:b/>
          <w:bCs/>
          <w:szCs w:val="18"/>
          <w:u w:val="single"/>
        </w:rPr>
        <w:t>Herstel- en Veerkrachtplan</w:t>
      </w:r>
    </w:p>
    <w:p w:rsidRPr="000B4D4D" w:rsidR="001D59A4" w:rsidRDefault="001D59A4" w14:paraId="3D0728BA" w14:textId="72FC16F8">
      <w:pPr>
        <w:rPr>
          <w:rFonts w:eastAsia="Verdana" w:cs="Verdana"/>
          <w:szCs w:val="18"/>
        </w:rPr>
      </w:pPr>
      <w:r w:rsidRPr="000B4D4D">
        <w:rPr>
          <w:rFonts w:eastAsia="Verdana" w:cs="Verdana"/>
          <w:szCs w:val="18"/>
        </w:rPr>
        <w:t>Het Nederlandse Herstel en Veerkrachtplan (HVP) bestaat uit een combinatie van 22 hervormingen en 28 investeringen ter waarde van 5,4 miljard euro. Nederland focust zich nu op de implementatie van het plan. Nederland heeft inmiddels twee betaalverzoeken ingediend die door de Europese Commissie zijn goedgekeurd en uitbetaald. Daarmee heeft Nederland inmiddels 2,5 miljard euro ontvangen. Nederland is voornemens in 2025 het derde betaalverzoek in te dienen. In 2026 volgen het vierde en vijfde betaalverzoek. Nederland ontvangt geen leningen uit de Herstel- en Veerkrachtfaciliteit.</w:t>
      </w:r>
    </w:p>
    <w:p w:rsidRPr="001E6863" w:rsidR="00A04C0A" w:rsidRDefault="0068401C" w14:paraId="29D861D9" w14:textId="28FA6284">
      <w:pPr>
        <w:rPr>
          <w:rFonts w:eastAsia="Verdana" w:cs="Verdana"/>
          <w:i/>
          <w:iCs/>
          <w:szCs w:val="18"/>
        </w:rPr>
      </w:pPr>
      <w:r w:rsidRPr="001E6863">
        <w:rPr>
          <w:rFonts w:eastAsia="Verdana" w:cs="Verdana"/>
          <w:i/>
          <w:iCs/>
          <w:szCs w:val="18"/>
        </w:rPr>
        <w:t xml:space="preserve">Tabel </w:t>
      </w:r>
      <w:r w:rsidRPr="001E6863" w:rsidR="00596D63">
        <w:rPr>
          <w:rFonts w:eastAsia="Verdana" w:cs="Verdana"/>
          <w:i/>
          <w:iCs/>
          <w:szCs w:val="18"/>
        </w:rPr>
        <w:t>6</w:t>
      </w:r>
      <w:r w:rsidRPr="001E6863">
        <w:rPr>
          <w:rFonts w:eastAsia="Verdana" w:cs="Verdana"/>
          <w:i/>
          <w:iCs/>
          <w:szCs w:val="18"/>
        </w:rPr>
        <w:t xml:space="preserve">: </w:t>
      </w:r>
      <w:r w:rsidRPr="001E6863" w:rsidR="001D59A4">
        <w:rPr>
          <w:rFonts w:eastAsia="Verdana" w:cs="Verdana"/>
          <w:i/>
          <w:iCs/>
          <w:szCs w:val="18"/>
        </w:rPr>
        <w:t>HVP</w:t>
      </w:r>
      <w:r w:rsidRPr="001E6863">
        <w:rPr>
          <w:rFonts w:eastAsia="Verdana" w:cs="Verdana"/>
          <w:i/>
          <w:iCs/>
          <w:szCs w:val="18"/>
        </w:rPr>
        <w:t>-</w:t>
      </w:r>
      <w:r w:rsidRPr="001E6863" w:rsidR="001D59A4">
        <w:rPr>
          <w:rFonts w:eastAsia="Verdana" w:cs="Verdana"/>
          <w:i/>
          <w:iCs/>
          <w:szCs w:val="18"/>
        </w:rPr>
        <w:t>subsidies</w:t>
      </w:r>
    </w:p>
    <w:tbl>
      <w:tblPr>
        <w:tblStyle w:val="Tabelraster"/>
        <w:tblW w:w="9079" w:type="dxa"/>
        <w:tblLook w:val="04A0" w:firstRow="1" w:lastRow="0" w:firstColumn="1" w:lastColumn="0" w:noHBand="0" w:noVBand="1"/>
      </w:tblPr>
      <w:tblGrid>
        <w:gridCol w:w="2631"/>
        <w:gridCol w:w="921"/>
        <w:gridCol w:w="921"/>
        <w:gridCol w:w="921"/>
        <w:gridCol w:w="922"/>
        <w:gridCol w:w="921"/>
        <w:gridCol w:w="921"/>
        <w:gridCol w:w="921"/>
      </w:tblGrid>
      <w:tr w:rsidRPr="000B4D4D" w:rsidR="005105EF" w:rsidTr="005105EF" w14:paraId="1209EA69" w14:textId="77777777">
        <w:trPr>
          <w:trHeight w:val="198"/>
        </w:trPr>
        <w:tc>
          <w:tcPr>
            <w:tcW w:w="2631" w:type="dxa"/>
            <w:shd w:val="clear" w:color="auto" w:fill="01689B"/>
          </w:tcPr>
          <w:p w:rsidRPr="0059487B" w:rsidR="005105EF" w:rsidRDefault="005105EF" w14:paraId="125EE0D2" w14:textId="77777777">
            <w:pPr>
              <w:rPr>
                <w:rFonts w:eastAsia="Verdana" w:cs="Verdana"/>
                <w:sz w:val="16"/>
                <w:szCs w:val="16"/>
              </w:rPr>
            </w:pPr>
          </w:p>
        </w:tc>
        <w:tc>
          <w:tcPr>
            <w:tcW w:w="921" w:type="dxa"/>
            <w:shd w:val="clear" w:color="auto" w:fill="01689B"/>
          </w:tcPr>
          <w:p w:rsidRPr="0059487B" w:rsidR="005105EF" w:rsidRDefault="005105EF" w14:paraId="2477E1B5" w14:textId="504F9738">
            <w:pPr>
              <w:rPr>
                <w:rFonts w:eastAsia="Verdana" w:cs="Verdana"/>
                <w:b/>
                <w:color w:val="FFFFFF" w:themeColor="background1"/>
                <w:sz w:val="16"/>
                <w:szCs w:val="16"/>
              </w:rPr>
            </w:pPr>
            <w:r w:rsidRPr="0059487B">
              <w:rPr>
                <w:rFonts w:eastAsia="Verdana" w:cs="Verdana"/>
                <w:b/>
                <w:color w:val="FFFFFF" w:themeColor="background1"/>
                <w:sz w:val="16"/>
                <w:szCs w:val="16"/>
              </w:rPr>
              <w:t>2020</w:t>
            </w:r>
          </w:p>
        </w:tc>
        <w:tc>
          <w:tcPr>
            <w:tcW w:w="921" w:type="dxa"/>
            <w:shd w:val="clear" w:color="auto" w:fill="01689B"/>
          </w:tcPr>
          <w:p w:rsidRPr="0059487B" w:rsidR="005105EF" w:rsidRDefault="005105EF" w14:paraId="261AA8BC" w14:textId="433C0727">
            <w:pPr>
              <w:rPr>
                <w:rFonts w:eastAsia="Verdana" w:cs="Verdana"/>
                <w:b/>
                <w:color w:val="FFFFFF" w:themeColor="background1"/>
                <w:sz w:val="16"/>
                <w:szCs w:val="16"/>
              </w:rPr>
            </w:pPr>
            <w:r w:rsidRPr="0059487B">
              <w:rPr>
                <w:rFonts w:eastAsia="Verdana" w:cs="Verdana"/>
                <w:b/>
                <w:color w:val="FFFFFF" w:themeColor="background1"/>
                <w:sz w:val="16"/>
                <w:szCs w:val="16"/>
              </w:rPr>
              <w:t>2021</w:t>
            </w:r>
          </w:p>
        </w:tc>
        <w:tc>
          <w:tcPr>
            <w:tcW w:w="921" w:type="dxa"/>
            <w:shd w:val="clear" w:color="auto" w:fill="01689B"/>
          </w:tcPr>
          <w:p w:rsidRPr="0059487B" w:rsidR="005105EF" w:rsidRDefault="005105EF" w14:paraId="67C7EED0" w14:textId="5B1C34E3">
            <w:pPr>
              <w:rPr>
                <w:rFonts w:eastAsia="Verdana" w:cs="Verdana"/>
                <w:b/>
                <w:color w:val="FFFFFF" w:themeColor="background1"/>
                <w:sz w:val="16"/>
                <w:szCs w:val="16"/>
              </w:rPr>
            </w:pPr>
            <w:r w:rsidRPr="0059487B">
              <w:rPr>
                <w:rFonts w:eastAsia="Verdana" w:cs="Verdana"/>
                <w:b/>
                <w:color w:val="FFFFFF" w:themeColor="background1"/>
                <w:sz w:val="16"/>
                <w:szCs w:val="16"/>
              </w:rPr>
              <w:t>2022</w:t>
            </w:r>
          </w:p>
        </w:tc>
        <w:tc>
          <w:tcPr>
            <w:tcW w:w="922" w:type="dxa"/>
            <w:shd w:val="clear" w:color="auto" w:fill="01689B"/>
          </w:tcPr>
          <w:p w:rsidRPr="0059487B" w:rsidR="005105EF" w:rsidRDefault="005105EF" w14:paraId="7C219C71" w14:textId="666EE9B1">
            <w:pPr>
              <w:rPr>
                <w:rFonts w:eastAsia="Verdana" w:cs="Verdana"/>
                <w:b/>
                <w:color w:val="FFFFFF" w:themeColor="background1"/>
                <w:sz w:val="16"/>
                <w:szCs w:val="16"/>
              </w:rPr>
            </w:pPr>
            <w:r w:rsidRPr="0059487B">
              <w:rPr>
                <w:rFonts w:eastAsia="Verdana" w:cs="Verdana"/>
                <w:b/>
                <w:color w:val="FFFFFF" w:themeColor="background1"/>
                <w:sz w:val="16"/>
                <w:szCs w:val="16"/>
              </w:rPr>
              <w:t>2023</w:t>
            </w:r>
          </w:p>
        </w:tc>
        <w:tc>
          <w:tcPr>
            <w:tcW w:w="921" w:type="dxa"/>
            <w:shd w:val="clear" w:color="auto" w:fill="01689B"/>
          </w:tcPr>
          <w:p w:rsidRPr="0059487B" w:rsidR="005105EF" w:rsidRDefault="005105EF" w14:paraId="307B970F" w14:textId="4AE6F1AB">
            <w:pPr>
              <w:rPr>
                <w:rFonts w:eastAsia="Verdana" w:cs="Verdana"/>
                <w:b/>
                <w:color w:val="FFFFFF" w:themeColor="background1"/>
                <w:sz w:val="16"/>
                <w:szCs w:val="16"/>
              </w:rPr>
            </w:pPr>
            <w:r w:rsidRPr="0059487B">
              <w:rPr>
                <w:rFonts w:eastAsia="Verdana" w:cs="Verdana"/>
                <w:b/>
                <w:color w:val="FFFFFF" w:themeColor="background1"/>
                <w:sz w:val="16"/>
                <w:szCs w:val="16"/>
              </w:rPr>
              <w:t>2024</w:t>
            </w:r>
          </w:p>
        </w:tc>
        <w:tc>
          <w:tcPr>
            <w:tcW w:w="921" w:type="dxa"/>
            <w:shd w:val="clear" w:color="auto" w:fill="01689B"/>
          </w:tcPr>
          <w:p w:rsidRPr="0059487B" w:rsidR="005105EF" w:rsidRDefault="005105EF" w14:paraId="105EE59B" w14:textId="39C30FE1">
            <w:pPr>
              <w:rPr>
                <w:rFonts w:eastAsia="Verdana" w:cs="Verdana"/>
                <w:b/>
                <w:color w:val="FFFFFF" w:themeColor="background1"/>
                <w:sz w:val="16"/>
                <w:szCs w:val="16"/>
              </w:rPr>
            </w:pPr>
            <w:r w:rsidRPr="0059487B">
              <w:rPr>
                <w:rFonts w:eastAsia="Verdana" w:cs="Verdana"/>
                <w:b/>
                <w:color w:val="FFFFFF" w:themeColor="background1"/>
                <w:sz w:val="16"/>
                <w:szCs w:val="16"/>
              </w:rPr>
              <w:t>2025</w:t>
            </w:r>
          </w:p>
        </w:tc>
        <w:tc>
          <w:tcPr>
            <w:tcW w:w="921" w:type="dxa"/>
            <w:shd w:val="clear" w:color="auto" w:fill="01689B"/>
          </w:tcPr>
          <w:p w:rsidRPr="0059487B" w:rsidR="005105EF" w:rsidRDefault="005105EF" w14:paraId="239B25E8" w14:textId="5E66AF85">
            <w:pPr>
              <w:rPr>
                <w:rFonts w:eastAsia="Verdana" w:cs="Verdana"/>
                <w:b/>
                <w:color w:val="FFFFFF" w:themeColor="background1"/>
                <w:sz w:val="16"/>
                <w:szCs w:val="16"/>
              </w:rPr>
            </w:pPr>
            <w:r w:rsidRPr="0059487B">
              <w:rPr>
                <w:rFonts w:eastAsia="Verdana" w:cs="Verdana"/>
                <w:b/>
                <w:color w:val="FFFFFF" w:themeColor="background1"/>
                <w:sz w:val="16"/>
                <w:szCs w:val="16"/>
              </w:rPr>
              <w:t>2026</w:t>
            </w:r>
          </w:p>
        </w:tc>
      </w:tr>
      <w:tr w:rsidRPr="000B4D4D" w:rsidR="005105EF" w:rsidTr="005105EF" w14:paraId="6A3D8E8A" w14:textId="77777777">
        <w:trPr>
          <w:trHeight w:val="411"/>
        </w:trPr>
        <w:tc>
          <w:tcPr>
            <w:tcW w:w="2631" w:type="dxa"/>
            <w:shd w:val="clear" w:color="auto" w:fill="01689B"/>
          </w:tcPr>
          <w:p w:rsidRPr="00994DB8" w:rsidR="005105EF" w:rsidP="00A04C0A" w:rsidRDefault="005105EF" w14:paraId="2172694E" w14:textId="54BE0E0C">
            <w:pPr>
              <w:rPr>
                <w:rFonts w:eastAsia="Verdana" w:cs="Verdana"/>
                <w:b/>
                <w:color w:val="FFFFFF" w:themeColor="background1"/>
                <w:sz w:val="16"/>
                <w:szCs w:val="16"/>
              </w:rPr>
            </w:pPr>
            <w:r w:rsidRPr="00994DB8">
              <w:rPr>
                <w:rFonts w:eastAsia="Verdana" w:cs="Verdana"/>
                <w:b/>
                <w:color w:val="FFFFFF" w:themeColor="background1"/>
                <w:sz w:val="16"/>
                <w:szCs w:val="16"/>
              </w:rPr>
              <w:t>Ontvangsten van HVP-subsidies</w:t>
            </w:r>
          </w:p>
        </w:tc>
        <w:tc>
          <w:tcPr>
            <w:tcW w:w="921" w:type="dxa"/>
            <w:shd w:val="clear" w:color="auto" w:fill="01689B"/>
          </w:tcPr>
          <w:p w:rsidRPr="00994DB8" w:rsidR="005105EF" w:rsidP="00BF6980" w:rsidRDefault="005105EF" w14:paraId="26AB3BDA" w14:textId="528CE7F9">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1223E534" w14:textId="5376A3F0">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061CA88D" w14:textId="7854CD92">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2" w:type="dxa"/>
            <w:shd w:val="clear" w:color="auto" w:fill="01689B"/>
          </w:tcPr>
          <w:p w:rsidRPr="00994DB8" w:rsidR="005105EF" w:rsidP="00BF6980" w:rsidRDefault="005105EF" w14:paraId="147AE698" w14:textId="0AB2F559">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49ECFFA1" w14:textId="4E5ED38A">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241795FD" w14:textId="67EF868F">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37E1BDDD" w14:textId="6E5C3EBB">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r>
      <w:tr w:rsidRPr="000B4D4D" w:rsidR="005105EF" w:rsidTr="005105EF" w14:paraId="11AB8662" w14:textId="77777777">
        <w:trPr>
          <w:trHeight w:val="625"/>
        </w:trPr>
        <w:tc>
          <w:tcPr>
            <w:tcW w:w="2631" w:type="dxa"/>
            <w:shd w:val="clear" w:color="auto" w:fill="DDEFF8"/>
          </w:tcPr>
          <w:p w:rsidRPr="0059487B" w:rsidR="005105EF" w:rsidP="00A04C0A" w:rsidRDefault="005105EF" w14:paraId="56923A5E" w14:textId="6A1307A3">
            <w:pPr>
              <w:rPr>
                <w:rFonts w:eastAsia="Verdana" w:cs="Verdana"/>
                <w:sz w:val="16"/>
                <w:szCs w:val="16"/>
              </w:rPr>
            </w:pPr>
            <w:r w:rsidRPr="0059487B">
              <w:rPr>
                <w:rFonts w:eastAsia="Verdana" w:cs="Verdana"/>
                <w:sz w:val="16"/>
                <w:szCs w:val="16"/>
              </w:rPr>
              <w:t>1.</w:t>
            </w:r>
            <w:r w:rsidR="00B44514">
              <w:rPr>
                <w:rFonts w:eastAsia="Verdana" w:cs="Verdana"/>
                <w:sz w:val="16"/>
                <w:szCs w:val="16"/>
              </w:rPr>
              <w:t xml:space="preserve"> </w:t>
            </w:r>
            <w:r w:rsidRPr="0059487B">
              <w:rPr>
                <w:rFonts w:eastAsia="Verdana" w:cs="Verdana"/>
                <w:sz w:val="16"/>
                <w:szCs w:val="16"/>
              </w:rPr>
              <w:t>HVP subsidies zoals meegenomen in de ontvangst projecties</w:t>
            </w:r>
          </w:p>
        </w:tc>
        <w:tc>
          <w:tcPr>
            <w:tcW w:w="921" w:type="dxa"/>
          </w:tcPr>
          <w:p w:rsidRPr="0059487B" w:rsidR="005105EF" w:rsidP="00A04C0A" w:rsidRDefault="005105EF" w14:paraId="2AB4AEF1" w14:textId="77777777">
            <w:pPr>
              <w:rPr>
                <w:rFonts w:eastAsia="Verdana" w:cs="Verdana"/>
                <w:sz w:val="16"/>
                <w:szCs w:val="16"/>
              </w:rPr>
            </w:pPr>
          </w:p>
        </w:tc>
        <w:tc>
          <w:tcPr>
            <w:tcW w:w="921" w:type="dxa"/>
          </w:tcPr>
          <w:p w:rsidRPr="0059487B" w:rsidR="005105EF" w:rsidP="00A04C0A" w:rsidRDefault="005105EF" w14:paraId="70A8164F" w14:textId="33994105">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7B6CCED4" w14:textId="19602054">
            <w:pPr>
              <w:rPr>
                <w:rFonts w:eastAsia="Verdana" w:cs="Verdana"/>
                <w:sz w:val="16"/>
                <w:szCs w:val="16"/>
              </w:rPr>
            </w:pPr>
            <w:r w:rsidRPr="0059487B">
              <w:rPr>
                <w:rFonts w:eastAsia="Verdana" w:cs="Verdana"/>
                <w:sz w:val="16"/>
                <w:szCs w:val="16"/>
              </w:rPr>
              <w:t>0,00%</w:t>
            </w:r>
          </w:p>
        </w:tc>
        <w:tc>
          <w:tcPr>
            <w:tcW w:w="922" w:type="dxa"/>
          </w:tcPr>
          <w:p w:rsidRPr="0059487B" w:rsidR="005105EF" w:rsidP="00A04C0A" w:rsidRDefault="005105EF" w14:paraId="18479E38" w14:textId="17C5033F">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0E8D7FEC" w14:textId="7C1A3B5C">
            <w:pPr>
              <w:rPr>
                <w:rFonts w:eastAsia="Verdana" w:cs="Verdana"/>
                <w:sz w:val="16"/>
                <w:szCs w:val="16"/>
              </w:rPr>
            </w:pPr>
            <w:r w:rsidRPr="0059487B">
              <w:rPr>
                <w:rFonts w:eastAsia="Verdana" w:cs="Verdana"/>
                <w:sz w:val="16"/>
                <w:szCs w:val="16"/>
              </w:rPr>
              <w:t>0,12%</w:t>
            </w:r>
          </w:p>
        </w:tc>
        <w:tc>
          <w:tcPr>
            <w:tcW w:w="921" w:type="dxa"/>
          </w:tcPr>
          <w:p w:rsidRPr="0059487B" w:rsidR="005105EF" w:rsidP="00A04C0A" w:rsidRDefault="005105EF" w14:paraId="65712F56" w14:textId="15643076">
            <w:pPr>
              <w:rPr>
                <w:rFonts w:eastAsia="Verdana" w:cs="Verdana"/>
                <w:sz w:val="16"/>
                <w:szCs w:val="16"/>
              </w:rPr>
            </w:pPr>
            <w:r w:rsidRPr="0059487B">
              <w:rPr>
                <w:rFonts w:eastAsia="Verdana" w:cs="Verdana"/>
                <w:sz w:val="16"/>
                <w:szCs w:val="16"/>
              </w:rPr>
              <w:t>0,10%</w:t>
            </w:r>
          </w:p>
        </w:tc>
        <w:tc>
          <w:tcPr>
            <w:tcW w:w="921" w:type="dxa"/>
          </w:tcPr>
          <w:p w:rsidRPr="0059487B" w:rsidR="005105EF" w:rsidP="00A04C0A" w:rsidRDefault="005105EF" w14:paraId="4231F5B2" w14:textId="3FA3D20B">
            <w:pPr>
              <w:rPr>
                <w:rFonts w:eastAsia="Verdana" w:cs="Verdana"/>
                <w:sz w:val="16"/>
                <w:szCs w:val="16"/>
              </w:rPr>
            </w:pPr>
            <w:r w:rsidRPr="0059487B">
              <w:rPr>
                <w:rFonts w:eastAsia="Verdana" w:cs="Verdana"/>
                <w:sz w:val="16"/>
                <w:szCs w:val="16"/>
              </w:rPr>
              <w:t>0,23%</w:t>
            </w:r>
          </w:p>
        </w:tc>
      </w:tr>
      <w:tr w:rsidRPr="000B4D4D" w:rsidR="005105EF" w:rsidTr="005105EF" w14:paraId="35B21FED" w14:textId="77777777">
        <w:trPr>
          <w:trHeight w:val="398"/>
        </w:trPr>
        <w:tc>
          <w:tcPr>
            <w:tcW w:w="2631" w:type="dxa"/>
            <w:shd w:val="clear" w:color="auto" w:fill="DDEFF8"/>
          </w:tcPr>
          <w:p w:rsidRPr="0059487B" w:rsidR="005105EF" w:rsidP="00A04C0A" w:rsidRDefault="005105EF" w14:paraId="7C4F1379" w14:textId="21BC46F8">
            <w:pPr>
              <w:rPr>
                <w:rFonts w:eastAsia="Verdana" w:cs="Verdana"/>
                <w:sz w:val="16"/>
                <w:szCs w:val="16"/>
              </w:rPr>
            </w:pPr>
            <w:r w:rsidRPr="0059487B">
              <w:rPr>
                <w:rFonts w:eastAsia="Verdana" w:cs="Verdana"/>
                <w:sz w:val="16"/>
                <w:szCs w:val="16"/>
              </w:rPr>
              <w:t>2.</w:t>
            </w:r>
            <w:r w:rsidR="00B44514">
              <w:rPr>
                <w:rFonts w:eastAsia="Verdana" w:cs="Verdana"/>
                <w:sz w:val="16"/>
                <w:szCs w:val="16"/>
              </w:rPr>
              <w:t xml:space="preserve"> </w:t>
            </w:r>
            <w:r w:rsidRPr="0059487B">
              <w:rPr>
                <w:rFonts w:eastAsia="Verdana" w:cs="Verdana"/>
                <w:sz w:val="16"/>
                <w:szCs w:val="16"/>
              </w:rPr>
              <w:t>Ontvangsten van de HVP subsidies</w:t>
            </w:r>
          </w:p>
        </w:tc>
        <w:tc>
          <w:tcPr>
            <w:tcW w:w="921" w:type="dxa"/>
          </w:tcPr>
          <w:p w:rsidRPr="0059487B" w:rsidR="005105EF" w:rsidP="00A04C0A" w:rsidRDefault="005105EF" w14:paraId="3A3DF63B" w14:textId="77777777">
            <w:pPr>
              <w:rPr>
                <w:rFonts w:eastAsia="Verdana" w:cs="Verdana"/>
                <w:sz w:val="16"/>
                <w:szCs w:val="16"/>
              </w:rPr>
            </w:pPr>
          </w:p>
        </w:tc>
        <w:tc>
          <w:tcPr>
            <w:tcW w:w="921" w:type="dxa"/>
          </w:tcPr>
          <w:p w:rsidRPr="0059487B" w:rsidR="005105EF" w:rsidP="00A04C0A" w:rsidRDefault="005105EF" w14:paraId="761BF738" w14:textId="00DB6D86">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29E81715" w14:textId="7D055FBA">
            <w:pPr>
              <w:rPr>
                <w:rFonts w:eastAsia="Verdana" w:cs="Verdana"/>
                <w:sz w:val="16"/>
                <w:szCs w:val="16"/>
              </w:rPr>
            </w:pPr>
            <w:r w:rsidRPr="0059487B">
              <w:rPr>
                <w:rFonts w:eastAsia="Verdana" w:cs="Verdana"/>
                <w:sz w:val="16"/>
                <w:szCs w:val="16"/>
              </w:rPr>
              <w:t>0,00%</w:t>
            </w:r>
          </w:p>
        </w:tc>
        <w:tc>
          <w:tcPr>
            <w:tcW w:w="922" w:type="dxa"/>
          </w:tcPr>
          <w:p w:rsidRPr="0059487B" w:rsidR="005105EF" w:rsidP="00A04C0A" w:rsidRDefault="005105EF" w14:paraId="47CA3E4B" w14:textId="52366FA9">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34C4AFE5" w14:textId="0D668CFA">
            <w:pPr>
              <w:rPr>
                <w:rFonts w:eastAsia="Verdana" w:cs="Verdana"/>
                <w:sz w:val="16"/>
                <w:szCs w:val="16"/>
              </w:rPr>
            </w:pPr>
            <w:r w:rsidRPr="0059487B">
              <w:rPr>
                <w:rFonts w:eastAsia="Verdana" w:cs="Verdana"/>
                <w:sz w:val="16"/>
                <w:szCs w:val="16"/>
              </w:rPr>
              <w:t>0,12%</w:t>
            </w:r>
          </w:p>
        </w:tc>
        <w:tc>
          <w:tcPr>
            <w:tcW w:w="921" w:type="dxa"/>
          </w:tcPr>
          <w:p w:rsidRPr="0059487B" w:rsidR="005105EF" w:rsidP="00A04C0A" w:rsidRDefault="005105EF" w14:paraId="789CA633" w14:textId="323AF97C">
            <w:pPr>
              <w:rPr>
                <w:rFonts w:eastAsia="Verdana" w:cs="Verdana"/>
                <w:sz w:val="16"/>
                <w:szCs w:val="16"/>
              </w:rPr>
            </w:pPr>
            <w:r w:rsidRPr="0059487B">
              <w:rPr>
                <w:rFonts w:eastAsia="Verdana" w:cs="Verdana"/>
                <w:sz w:val="16"/>
                <w:szCs w:val="16"/>
              </w:rPr>
              <w:t>0,10%</w:t>
            </w:r>
          </w:p>
        </w:tc>
        <w:tc>
          <w:tcPr>
            <w:tcW w:w="921" w:type="dxa"/>
          </w:tcPr>
          <w:p w:rsidRPr="0059487B" w:rsidR="005105EF" w:rsidP="00A04C0A" w:rsidRDefault="005105EF" w14:paraId="2CA0F3B5" w14:textId="1B81D966">
            <w:pPr>
              <w:rPr>
                <w:rFonts w:eastAsia="Verdana" w:cs="Verdana"/>
                <w:sz w:val="16"/>
                <w:szCs w:val="16"/>
              </w:rPr>
            </w:pPr>
            <w:r w:rsidRPr="0059487B">
              <w:rPr>
                <w:rFonts w:eastAsia="Verdana" w:cs="Verdana"/>
                <w:sz w:val="16"/>
                <w:szCs w:val="16"/>
              </w:rPr>
              <w:t>0,00%</w:t>
            </w:r>
          </w:p>
        </w:tc>
      </w:tr>
      <w:tr w:rsidRPr="000B4D4D" w:rsidR="005105EF" w:rsidTr="005105EF" w14:paraId="54DC7AA7" w14:textId="77777777">
        <w:trPr>
          <w:trHeight w:val="411"/>
        </w:trPr>
        <w:tc>
          <w:tcPr>
            <w:tcW w:w="2631" w:type="dxa"/>
            <w:shd w:val="clear" w:color="auto" w:fill="01689B"/>
          </w:tcPr>
          <w:p w:rsidRPr="00994DB8" w:rsidR="005105EF" w:rsidP="00A04C0A" w:rsidRDefault="005105EF" w14:paraId="0D7F9148" w14:textId="150D3C0B">
            <w:pPr>
              <w:rPr>
                <w:rFonts w:eastAsia="Verdana" w:cs="Verdana"/>
                <w:b/>
                <w:color w:val="FFFFFF" w:themeColor="background1"/>
                <w:sz w:val="16"/>
                <w:szCs w:val="16"/>
              </w:rPr>
            </w:pPr>
            <w:r w:rsidRPr="00994DB8">
              <w:rPr>
                <w:rFonts w:eastAsia="Verdana" w:cs="Verdana"/>
                <w:b/>
                <w:color w:val="FFFFFF" w:themeColor="background1"/>
                <w:sz w:val="16"/>
                <w:szCs w:val="16"/>
              </w:rPr>
              <w:t>Uitgaven gefinancierd door HVP-subsidies</w:t>
            </w:r>
          </w:p>
        </w:tc>
        <w:tc>
          <w:tcPr>
            <w:tcW w:w="921" w:type="dxa"/>
            <w:shd w:val="clear" w:color="auto" w:fill="01689B"/>
          </w:tcPr>
          <w:p w:rsidRPr="00994DB8" w:rsidR="005105EF" w:rsidP="00BF6980" w:rsidRDefault="005105EF" w14:paraId="646EA629" w14:textId="481F6A76">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03E965EA" w14:textId="649A7639">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2BF76E84" w14:textId="69350C7E">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2" w:type="dxa"/>
            <w:shd w:val="clear" w:color="auto" w:fill="01689B"/>
          </w:tcPr>
          <w:p w:rsidRPr="00994DB8" w:rsidR="005105EF" w:rsidP="00BF6980" w:rsidRDefault="005105EF" w14:paraId="4E5793BF" w14:textId="6005408E">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10CBDF68" w14:textId="18CD0271">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78464429" w14:textId="7C4B474B">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3AB1DF9E" w14:textId="2ADBE629">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r>
      <w:tr w:rsidRPr="000B4D4D" w:rsidR="005105EF" w:rsidTr="005105EF" w14:paraId="16409004" w14:textId="77777777">
        <w:trPr>
          <w:trHeight w:val="210"/>
        </w:trPr>
        <w:tc>
          <w:tcPr>
            <w:tcW w:w="2631" w:type="dxa"/>
            <w:shd w:val="clear" w:color="auto" w:fill="DDEFF8"/>
          </w:tcPr>
          <w:p w:rsidRPr="0059487B" w:rsidR="005105EF" w:rsidP="00A04C0A" w:rsidRDefault="005105EF" w14:paraId="295A32BC" w14:textId="4EFB58FB">
            <w:pPr>
              <w:rPr>
                <w:rFonts w:eastAsia="Verdana" w:cs="Verdana"/>
                <w:sz w:val="16"/>
                <w:szCs w:val="16"/>
              </w:rPr>
            </w:pPr>
            <w:r w:rsidRPr="0059487B">
              <w:rPr>
                <w:rFonts w:eastAsia="Verdana" w:cs="Verdana"/>
                <w:sz w:val="16"/>
                <w:szCs w:val="16"/>
              </w:rPr>
              <w:t>3.</w:t>
            </w:r>
            <w:r w:rsidR="00B44514">
              <w:rPr>
                <w:rFonts w:eastAsia="Verdana" w:cs="Verdana"/>
                <w:sz w:val="16"/>
                <w:szCs w:val="16"/>
              </w:rPr>
              <w:t xml:space="preserve"> </w:t>
            </w:r>
            <w:r w:rsidRPr="0059487B">
              <w:rPr>
                <w:rFonts w:eastAsia="Verdana" w:cs="Verdana"/>
                <w:sz w:val="16"/>
                <w:szCs w:val="16"/>
              </w:rPr>
              <w:t>Totale lopende uitgaven</w:t>
            </w:r>
          </w:p>
        </w:tc>
        <w:tc>
          <w:tcPr>
            <w:tcW w:w="921" w:type="dxa"/>
          </w:tcPr>
          <w:p w:rsidRPr="0059487B" w:rsidR="005105EF" w:rsidP="00A04C0A" w:rsidRDefault="005105EF" w14:paraId="68C16C9D" w14:textId="193CB060">
            <w:pPr>
              <w:rPr>
                <w:rFonts w:eastAsia="Verdana" w:cs="Verdana"/>
                <w:sz w:val="16"/>
                <w:szCs w:val="16"/>
              </w:rPr>
            </w:pPr>
            <w:r w:rsidRPr="0059487B">
              <w:rPr>
                <w:rFonts w:eastAsia="Verdana" w:cs="Verdana"/>
                <w:sz w:val="16"/>
                <w:szCs w:val="16"/>
              </w:rPr>
              <w:t>0,01%</w:t>
            </w:r>
          </w:p>
        </w:tc>
        <w:tc>
          <w:tcPr>
            <w:tcW w:w="921" w:type="dxa"/>
          </w:tcPr>
          <w:p w:rsidRPr="0059487B" w:rsidR="005105EF" w:rsidP="00A04C0A" w:rsidRDefault="005105EF" w14:paraId="5F70B8BF" w14:textId="48470FDE">
            <w:pPr>
              <w:rPr>
                <w:rFonts w:eastAsia="Verdana" w:cs="Verdana"/>
                <w:sz w:val="16"/>
                <w:szCs w:val="16"/>
              </w:rPr>
            </w:pPr>
            <w:r w:rsidRPr="0059487B">
              <w:rPr>
                <w:rFonts w:eastAsia="Verdana" w:cs="Verdana"/>
                <w:sz w:val="16"/>
                <w:szCs w:val="16"/>
              </w:rPr>
              <w:t>0,05%</w:t>
            </w:r>
          </w:p>
        </w:tc>
        <w:tc>
          <w:tcPr>
            <w:tcW w:w="921" w:type="dxa"/>
          </w:tcPr>
          <w:p w:rsidRPr="0059487B" w:rsidR="005105EF" w:rsidP="00A04C0A" w:rsidRDefault="005105EF" w14:paraId="026C5EF1" w14:textId="69388BF1">
            <w:pPr>
              <w:rPr>
                <w:rFonts w:eastAsia="Verdana" w:cs="Verdana"/>
                <w:sz w:val="16"/>
                <w:szCs w:val="16"/>
              </w:rPr>
            </w:pPr>
            <w:r w:rsidRPr="0059487B">
              <w:rPr>
                <w:rFonts w:eastAsia="Verdana" w:cs="Verdana"/>
                <w:sz w:val="16"/>
                <w:szCs w:val="16"/>
              </w:rPr>
              <w:t>0,06%</w:t>
            </w:r>
          </w:p>
        </w:tc>
        <w:tc>
          <w:tcPr>
            <w:tcW w:w="922" w:type="dxa"/>
          </w:tcPr>
          <w:p w:rsidRPr="0059487B" w:rsidR="005105EF" w:rsidP="00A04C0A" w:rsidRDefault="005105EF" w14:paraId="1282F814" w14:textId="395D83A7">
            <w:pPr>
              <w:rPr>
                <w:rFonts w:eastAsia="Verdana" w:cs="Verdana"/>
                <w:sz w:val="16"/>
                <w:szCs w:val="16"/>
              </w:rPr>
            </w:pPr>
            <w:r w:rsidRPr="0059487B">
              <w:rPr>
                <w:rFonts w:eastAsia="Verdana" w:cs="Verdana"/>
                <w:sz w:val="16"/>
                <w:szCs w:val="16"/>
              </w:rPr>
              <w:t>0,08%</w:t>
            </w:r>
          </w:p>
        </w:tc>
        <w:tc>
          <w:tcPr>
            <w:tcW w:w="921" w:type="dxa"/>
          </w:tcPr>
          <w:p w:rsidRPr="0059487B" w:rsidR="005105EF" w:rsidP="00A04C0A" w:rsidRDefault="005105EF" w14:paraId="4573D768" w14:textId="5390751C">
            <w:pPr>
              <w:rPr>
                <w:rFonts w:eastAsia="Verdana" w:cs="Verdana"/>
                <w:sz w:val="16"/>
                <w:szCs w:val="16"/>
              </w:rPr>
            </w:pPr>
            <w:r w:rsidRPr="0059487B">
              <w:rPr>
                <w:rFonts w:eastAsia="Verdana" w:cs="Verdana"/>
                <w:sz w:val="16"/>
                <w:szCs w:val="16"/>
              </w:rPr>
              <w:t>0,07%</w:t>
            </w:r>
          </w:p>
        </w:tc>
        <w:tc>
          <w:tcPr>
            <w:tcW w:w="921" w:type="dxa"/>
          </w:tcPr>
          <w:p w:rsidRPr="0059487B" w:rsidR="005105EF" w:rsidP="00A04C0A" w:rsidRDefault="005105EF" w14:paraId="081B8DD9" w14:textId="67E98C09">
            <w:pPr>
              <w:rPr>
                <w:rFonts w:eastAsia="Verdana" w:cs="Verdana"/>
                <w:sz w:val="16"/>
                <w:szCs w:val="16"/>
              </w:rPr>
            </w:pPr>
            <w:r w:rsidRPr="0059487B">
              <w:rPr>
                <w:rFonts w:eastAsia="Verdana" w:cs="Verdana"/>
                <w:sz w:val="16"/>
                <w:szCs w:val="16"/>
              </w:rPr>
              <w:t>0,05%</w:t>
            </w:r>
          </w:p>
        </w:tc>
        <w:tc>
          <w:tcPr>
            <w:tcW w:w="921" w:type="dxa"/>
          </w:tcPr>
          <w:p w:rsidRPr="0059487B" w:rsidR="005105EF" w:rsidP="00A04C0A" w:rsidRDefault="005105EF" w14:paraId="241D61E0" w14:textId="05AE1F72">
            <w:pPr>
              <w:rPr>
                <w:rFonts w:eastAsia="Verdana" w:cs="Verdana"/>
                <w:sz w:val="16"/>
                <w:szCs w:val="16"/>
              </w:rPr>
            </w:pPr>
            <w:r w:rsidRPr="0059487B">
              <w:rPr>
                <w:rFonts w:eastAsia="Verdana" w:cs="Verdana"/>
                <w:sz w:val="16"/>
                <w:szCs w:val="16"/>
              </w:rPr>
              <w:t>0,04%</w:t>
            </w:r>
          </w:p>
        </w:tc>
      </w:tr>
      <w:tr w:rsidRPr="000B4D4D" w:rsidR="005105EF" w:rsidTr="005105EF" w14:paraId="13C7F192" w14:textId="77777777">
        <w:trPr>
          <w:trHeight w:val="198"/>
        </w:trPr>
        <w:tc>
          <w:tcPr>
            <w:tcW w:w="2631" w:type="dxa"/>
            <w:shd w:val="clear" w:color="auto" w:fill="DDEFF8"/>
          </w:tcPr>
          <w:p w:rsidRPr="0059487B" w:rsidR="005105EF" w:rsidP="00A04C0A" w:rsidRDefault="005105EF" w14:paraId="45E1A16D" w14:textId="1B917A90">
            <w:pPr>
              <w:rPr>
                <w:rFonts w:eastAsia="Verdana" w:cs="Verdana"/>
                <w:sz w:val="16"/>
                <w:szCs w:val="16"/>
              </w:rPr>
            </w:pPr>
            <w:r w:rsidRPr="0059487B">
              <w:rPr>
                <w:rFonts w:eastAsia="Verdana" w:cs="Verdana"/>
                <w:sz w:val="16"/>
                <w:szCs w:val="16"/>
              </w:rPr>
              <w:t>4.</w:t>
            </w:r>
            <w:r w:rsidR="00B44514">
              <w:rPr>
                <w:rFonts w:eastAsia="Verdana" w:cs="Verdana"/>
                <w:sz w:val="16"/>
                <w:szCs w:val="16"/>
              </w:rPr>
              <w:t xml:space="preserve"> </w:t>
            </w:r>
            <w:r w:rsidRPr="0059487B">
              <w:rPr>
                <w:rFonts w:eastAsia="Verdana" w:cs="Verdana"/>
                <w:sz w:val="16"/>
                <w:szCs w:val="16"/>
              </w:rPr>
              <w:t>Bruto vaste kapitaalformatie</w:t>
            </w:r>
          </w:p>
        </w:tc>
        <w:tc>
          <w:tcPr>
            <w:tcW w:w="921" w:type="dxa"/>
          </w:tcPr>
          <w:p w:rsidRPr="0059487B" w:rsidR="005105EF" w:rsidP="00A04C0A" w:rsidRDefault="005105EF" w14:paraId="58E74B2E" w14:textId="34717AE5">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3C3C087D" w14:textId="00846DD3">
            <w:pPr>
              <w:rPr>
                <w:rFonts w:eastAsia="Verdana" w:cs="Verdana"/>
                <w:sz w:val="16"/>
                <w:szCs w:val="16"/>
              </w:rPr>
            </w:pPr>
            <w:r w:rsidRPr="0059487B">
              <w:rPr>
                <w:rFonts w:eastAsia="Verdana" w:cs="Verdana"/>
                <w:sz w:val="16"/>
                <w:szCs w:val="16"/>
              </w:rPr>
              <w:t>0,02%</w:t>
            </w:r>
          </w:p>
        </w:tc>
        <w:tc>
          <w:tcPr>
            <w:tcW w:w="921" w:type="dxa"/>
          </w:tcPr>
          <w:p w:rsidRPr="0059487B" w:rsidR="005105EF" w:rsidP="00A04C0A" w:rsidRDefault="005105EF" w14:paraId="661E8903" w14:textId="7375E7D4">
            <w:pPr>
              <w:rPr>
                <w:rFonts w:eastAsia="Verdana" w:cs="Verdana"/>
                <w:sz w:val="16"/>
                <w:szCs w:val="16"/>
              </w:rPr>
            </w:pPr>
            <w:r w:rsidRPr="0059487B">
              <w:rPr>
                <w:rFonts w:eastAsia="Verdana" w:cs="Verdana"/>
                <w:sz w:val="16"/>
                <w:szCs w:val="16"/>
              </w:rPr>
              <w:t>0,02%</w:t>
            </w:r>
          </w:p>
        </w:tc>
        <w:tc>
          <w:tcPr>
            <w:tcW w:w="922" w:type="dxa"/>
          </w:tcPr>
          <w:p w:rsidRPr="0059487B" w:rsidR="005105EF" w:rsidP="00A04C0A" w:rsidRDefault="005105EF" w14:paraId="3C7B1D9E" w14:textId="0D4BA85B">
            <w:pPr>
              <w:rPr>
                <w:rFonts w:eastAsia="Verdana" w:cs="Verdana"/>
                <w:sz w:val="16"/>
                <w:szCs w:val="16"/>
              </w:rPr>
            </w:pPr>
            <w:r w:rsidRPr="0059487B">
              <w:rPr>
                <w:rFonts w:eastAsia="Verdana" w:cs="Verdana"/>
                <w:sz w:val="16"/>
                <w:szCs w:val="16"/>
              </w:rPr>
              <w:t>0,03%</w:t>
            </w:r>
          </w:p>
        </w:tc>
        <w:tc>
          <w:tcPr>
            <w:tcW w:w="921" w:type="dxa"/>
          </w:tcPr>
          <w:p w:rsidRPr="0059487B" w:rsidR="005105EF" w:rsidP="00A04C0A" w:rsidRDefault="005105EF" w14:paraId="5A2C14F5" w14:textId="2A865F23">
            <w:pPr>
              <w:rPr>
                <w:rFonts w:eastAsia="Verdana" w:cs="Verdana"/>
                <w:sz w:val="16"/>
                <w:szCs w:val="16"/>
              </w:rPr>
            </w:pPr>
            <w:r w:rsidRPr="0059487B">
              <w:rPr>
                <w:rFonts w:eastAsia="Verdana" w:cs="Verdana"/>
                <w:sz w:val="16"/>
                <w:szCs w:val="16"/>
              </w:rPr>
              <w:t>0,02%</w:t>
            </w:r>
          </w:p>
        </w:tc>
        <w:tc>
          <w:tcPr>
            <w:tcW w:w="921" w:type="dxa"/>
          </w:tcPr>
          <w:p w:rsidRPr="0059487B" w:rsidR="005105EF" w:rsidP="00A04C0A" w:rsidRDefault="005105EF" w14:paraId="682CDDAF" w14:textId="7FFC7E67">
            <w:pPr>
              <w:rPr>
                <w:rFonts w:eastAsia="Verdana" w:cs="Verdana"/>
                <w:sz w:val="16"/>
                <w:szCs w:val="16"/>
              </w:rPr>
            </w:pPr>
            <w:r w:rsidRPr="0059487B">
              <w:rPr>
                <w:rFonts w:eastAsia="Verdana" w:cs="Verdana"/>
                <w:sz w:val="16"/>
                <w:szCs w:val="16"/>
              </w:rPr>
              <w:t>0,02%</w:t>
            </w:r>
          </w:p>
        </w:tc>
        <w:tc>
          <w:tcPr>
            <w:tcW w:w="921" w:type="dxa"/>
          </w:tcPr>
          <w:p w:rsidRPr="0059487B" w:rsidR="005105EF" w:rsidP="00A04C0A" w:rsidRDefault="005105EF" w14:paraId="1C4164E2" w14:textId="148A3A92">
            <w:pPr>
              <w:rPr>
                <w:rFonts w:eastAsia="Verdana" w:cs="Verdana"/>
                <w:sz w:val="16"/>
                <w:szCs w:val="16"/>
              </w:rPr>
            </w:pPr>
            <w:r w:rsidRPr="0059487B">
              <w:rPr>
                <w:rFonts w:eastAsia="Verdana" w:cs="Verdana"/>
                <w:sz w:val="16"/>
                <w:szCs w:val="16"/>
              </w:rPr>
              <w:t>0,01%</w:t>
            </w:r>
          </w:p>
        </w:tc>
      </w:tr>
      <w:tr w:rsidRPr="000B4D4D" w:rsidR="005105EF" w:rsidTr="005105EF" w14:paraId="1F933E73" w14:textId="77777777">
        <w:trPr>
          <w:trHeight w:val="198"/>
        </w:trPr>
        <w:tc>
          <w:tcPr>
            <w:tcW w:w="2631" w:type="dxa"/>
            <w:shd w:val="clear" w:color="auto" w:fill="DDEFF8"/>
          </w:tcPr>
          <w:p w:rsidRPr="0059487B" w:rsidR="005105EF" w:rsidP="00A04C0A" w:rsidRDefault="005105EF" w14:paraId="788B1BBE" w14:textId="3717B6F0">
            <w:pPr>
              <w:rPr>
                <w:rFonts w:eastAsia="Verdana" w:cs="Verdana"/>
                <w:sz w:val="16"/>
                <w:szCs w:val="16"/>
              </w:rPr>
            </w:pPr>
            <w:r w:rsidRPr="0059487B">
              <w:rPr>
                <w:rFonts w:eastAsia="Verdana" w:cs="Verdana"/>
                <w:sz w:val="16"/>
                <w:szCs w:val="16"/>
              </w:rPr>
              <w:t>5.</w:t>
            </w:r>
            <w:r w:rsidR="00B44514">
              <w:rPr>
                <w:rFonts w:eastAsia="Verdana" w:cs="Verdana"/>
                <w:sz w:val="16"/>
                <w:szCs w:val="16"/>
              </w:rPr>
              <w:t xml:space="preserve"> </w:t>
            </w:r>
            <w:r w:rsidRPr="0059487B">
              <w:rPr>
                <w:rFonts w:eastAsia="Verdana" w:cs="Verdana"/>
                <w:sz w:val="16"/>
                <w:szCs w:val="16"/>
              </w:rPr>
              <w:t>Andere kapitaaluitgaven</w:t>
            </w:r>
          </w:p>
        </w:tc>
        <w:tc>
          <w:tcPr>
            <w:tcW w:w="921" w:type="dxa"/>
          </w:tcPr>
          <w:p w:rsidRPr="0059487B" w:rsidR="005105EF" w:rsidP="00A04C0A" w:rsidRDefault="005105EF" w14:paraId="1D1E7803" w14:textId="5863C7E1">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34EEC370" w14:textId="06F7F469">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46CC69F1" w14:textId="7168024F">
            <w:pPr>
              <w:rPr>
                <w:rFonts w:eastAsia="Verdana" w:cs="Verdana"/>
                <w:sz w:val="16"/>
                <w:szCs w:val="16"/>
              </w:rPr>
            </w:pPr>
            <w:r w:rsidRPr="0059487B">
              <w:rPr>
                <w:rFonts w:eastAsia="Verdana" w:cs="Verdana"/>
                <w:sz w:val="16"/>
                <w:szCs w:val="16"/>
              </w:rPr>
              <w:t>0,00%</w:t>
            </w:r>
          </w:p>
        </w:tc>
        <w:tc>
          <w:tcPr>
            <w:tcW w:w="922" w:type="dxa"/>
          </w:tcPr>
          <w:p w:rsidRPr="0059487B" w:rsidR="005105EF" w:rsidP="00A04C0A" w:rsidRDefault="005105EF" w14:paraId="2B091C9E" w14:textId="3E2D8A4F">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179B999D" w14:textId="741FCB0B">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4760E910" w14:textId="02BD56BE">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6BD9DA29" w14:textId="34B5604F">
            <w:pPr>
              <w:rPr>
                <w:rFonts w:eastAsia="Verdana" w:cs="Verdana"/>
                <w:sz w:val="16"/>
                <w:szCs w:val="16"/>
              </w:rPr>
            </w:pPr>
            <w:r w:rsidRPr="0059487B">
              <w:rPr>
                <w:rFonts w:eastAsia="Verdana" w:cs="Verdana"/>
                <w:sz w:val="16"/>
                <w:szCs w:val="16"/>
              </w:rPr>
              <w:t>0,00%</w:t>
            </w:r>
          </w:p>
        </w:tc>
      </w:tr>
      <w:tr w:rsidRPr="000B4D4D" w:rsidR="005105EF" w:rsidTr="005105EF" w14:paraId="579D2B7D" w14:textId="77777777">
        <w:trPr>
          <w:trHeight w:val="198"/>
        </w:trPr>
        <w:tc>
          <w:tcPr>
            <w:tcW w:w="2631" w:type="dxa"/>
            <w:shd w:val="clear" w:color="auto" w:fill="DDEFF8"/>
          </w:tcPr>
          <w:p w:rsidRPr="0059487B" w:rsidR="005105EF" w:rsidP="00A04C0A" w:rsidRDefault="005105EF" w14:paraId="14012DF7" w14:textId="23D1D9C0">
            <w:pPr>
              <w:rPr>
                <w:rFonts w:eastAsia="Verdana" w:cs="Verdana"/>
                <w:sz w:val="16"/>
                <w:szCs w:val="16"/>
              </w:rPr>
            </w:pPr>
            <w:r w:rsidRPr="0059487B">
              <w:rPr>
                <w:rFonts w:eastAsia="Verdana" w:cs="Verdana"/>
                <w:sz w:val="16"/>
                <w:szCs w:val="16"/>
              </w:rPr>
              <w:t>6.</w:t>
            </w:r>
            <w:r w:rsidR="00B44514">
              <w:rPr>
                <w:rFonts w:eastAsia="Verdana" w:cs="Verdana"/>
                <w:sz w:val="16"/>
                <w:szCs w:val="16"/>
              </w:rPr>
              <w:t xml:space="preserve"> </w:t>
            </w:r>
            <w:r w:rsidRPr="0059487B">
              <w:rPr>
                <w:rFonts w:eastAsia="Verdana" w:cs="Verdana"/>
                <w:sz w:val="16"/>
                <w:szCs w:val="16"/>
              </w:rPr>
              <w:t>Totale kapitaaluitgaven</w:t>
            </w:r>
          </w:p>
        </w:tc>
        <w:tc>
          <w:tcPr>
            <w:tcW w:w="921" w:type="dxa"/>
          </w:tcPr>
          <w:p w:rsidRPr="0059487B" w:rsidR="005105EF" w:rsidP="00A04C0A" w:rsidRDefault="005105EF" w14:paraId="063C72DB" w14:textId="6BA15359">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580EFC5F" w14:textId="27075D2B">
            <w:pPr>
              <w:rPr>
                <w:rFonts w:eastAsia="Verdana" w:cs="Verdana"/>
                <w:sz w:val="16"/>
                <w:szCs w:val="16"/>
              </w:rPr>
            </w:pPr>
            <w:r w:rsidRPr="0059487B">
              <w:rPr>
                <w:rFonts w:eastAsia="Verdana" w:cs="Verdana"/>
                <w:sz w:val="16"/>
                <w:szCs w:val="16"/>
              </w:rPr>
              <w:t>0,02%</w:t>
            </w:r>
          </w:p>
        </w:tc>
        <w:tc>
          <w:tcPr>
            <w:tcW w:w="921" w:type="dxa"/>
          </w:tcPr>
          <w:p w:rsidRPr="0059487B" w:rsidR="005105EF" w:rsidP="00A04C0A" w:rsidRDefault="005105EF" w14:paraId="51F4A6EC" w14:textId="608DFA62">
            <w:pPr>
              <w:rPr>
                <w:rFonts w:eastAsia="Verdana" w:cs="Verdana"/>
                <w:sz w:val="16"/>
                <w:szCs w:val="16"/>
              </w:rPr>
            </w:pPr>
            <w:r w:rsidRPr="0059487B">
              <w:rPr>
                <w:rFonts w:eastAsia="Verdana" w:cs="Verdana"/>
                <w:sz w:val="16"/>
                <w:szCs w:val="16"/>
              </w:rPr>
              <w:t>0,02%</w:t>
            </w:r>
          </w:p>
        </w:tc>
        <w:tc>
          <w:tcPr>
            <w:tcW w:w="922" w:type="dxa"/>
          </w:tcPr>
          <w:p w:rsidRPr="0059487B" w:rsidR="005105EF" w:rsidP="00A04C0A" w:rsidRDefault="005105EF" w14:paraId="31B4807B" w14:textId="41CB718B">
            <w:pPr>
              <w:rPr>
                <w:rFonts w:eastAsia="Verdana" w:cs="Verdana"/>
                <w:sz w:val="16"/>
                <w:szCs w:val="16"/>
              </w:rPr>
            </w:pPr>
            <w:r w:rsidRPr="0059487B">
              <w:rPr>
                <w:rFonts w:eastAsia="Verdana" w:cs="Verdana"/>
                <w:sz w:val="16"/>
                <w:szCs w:val="16"/>
              </w:rPr>
              <w:t>0,03%</w:t>
            </w:r>
          </w:p>
        </w:tc>
        <w:tc>
          <w:tcPr>
            <w:tcW w:w="921" w:type="dxa"/>
          </w:tcPr>
          <w:p w:rsidRPr="0059487B" w:rsidR="005105EF" w:rsidP="00A04C0A" w:rsidRDefault="005105EF" w14:paraId="74B1B2DE" w14:textId="34CFC993">
            <w:pPr>
              <w:rPr>
                <w:rFonts w:eastAsia="Verdana" w:cs="Verdana"/>
                <w:sz w:val="16"/>
                <w:szCs w:val="16"/>
              </w:rPr>
            </w:pPr>
            <w:r w:rsidRPr="0059487B">
              <w:rPr>
                <w:rFonts w:eastAsia="Verdana" w:cs="Verdana"/>
                <w:sz w:val="16"/>
                <w:szCs w:val="16"/>
              </w:rPr>
              <w:t>0,02%</w:t>
            </w:r>
          </w:p>
        </w:tc>
        <w:tc>
          <w:tcPr>
            <w:tcW w:w="921" w:type="dxa"/>
          </w:tcPr>
          <w:p w:rsidRPr="0059487B" w:rsidR="005105EF" w:rsidP="00A04C0A" w:rsidRDefault="005105EF" w14:paraId="6027D3BA" w14:textId="2274CB58">
            <w:pPr>
              <w:rPr>
                <w:rFonts w:eastAsia="Verdana" w:cs="Verdana"/>
                <w:sz w:val="16"/>
                <w:szCs w:val="16"/>
              </w:rPr>
            </w:pPr>
            <w:r w:rsidRPr="0059487B">
              <w:rPr>
                <w:rFonts w:eastAsia="Verdana" w:cs="Verdana"/>
                <w:sz w:val="16"/>
                <w:szCs w:val="16"/>
              </w:rPr>
              <w:t>0,02%</w:t>
            </w:r>
          </w:p>
        </w:tc>
        <w:tc>
          <w:tcPr>
            <w:tcW w:w="921" w:type="dxa"/>
          </w:tcPr>
          <w:p w:rsidRPr="0059487B" w:rsidR="005105EF" w:rsidP="00A04C0A" w:rsidRDefault="005105EF" w14:paraId="72F261C1" w14:textId="75A9B89F">
            <w:pPr>
              <w:rPr>
                <w:rFonts w:eastAsia="Verdana" w:cs="Verdana"/>
                <w:sz w:val="16"/>
                <w:szCs w:val="16"/>
              </w:rPr>
            </w:pPr>
            <w:r w:rsidRPr="0059487B">
              <w:rPr>
                <w:rFonts w:eastAsia="Verdana" w:cs="Verdana"/>
                <w:sz w:val="16"/>
                <w:szCs w:val="16"/>
              </w:rPr>
              <w:t>0,01%</w:t>
            </w:r>
          </w:p>
        </w:tc>
      </w:tr>
      <w:tr w:rsidRPr="000B4D4D" w:rsidR="005105EF" w:rsidTr="005105EF" w14:paraId="4C8B4803" w14:textId="77777777">
        <w:trPr>
          <w:trHeight w:val="411"/>
        </w:trPr>
        <w:tc>
          <w:tcPr>
            <w:tcW w:w="2631" w:type="dxa"/>
            <w:shd w:val="clear" w:color="auto" w:fill="01689B"/>
          </w:tcPr>
          <w:p w:rsidRPr="00994DB8" w:rsidR="005105EF" w:rsidP="00A04C0A" w:rsidRDefault="005105EF" w14:paraId="05B3E1DA" w14:textId="43CCC03E">
            <w:pPr>
              <w:rPr>
                <w:rFonts w:eastAsia="Verdana" w:cs="Verdana"/>
                <w:b/>
                <w:color w:val="FFFFFF" w:themeColor="background1"/>
                <w:sz w:val="16"/>
                <w:szCs w:val="16"/>
              </w:rPr>
            </w:pPr>
            <w:r w:rsidRPr="00994DB8">
              <w:rPr>
                <w:rFonts w:eastAsia="Verdana" w:cs="Verdana"/>
                <w:b/>
                <w:color w:val="FFFFFF" w:themeColor="background1"/>
                <w:sz w:val="16"/>
                <w:szCs w:val="16"/>
              </w:rPr>
              <w:t>Andere kosten gefinancierd door HVP-subsidies</w:t>
            </w:r>
          </w:p>
        </w:tc>
        <w:tc>
          <w:tcPr>
            <w:tcW w:w="921" w:type="dxa"/>
            <w:shd w:val="clear" w:color="auto" w:fill="01689B"/>
          </w:tcPr>
          <w:p w:rsidRPr="00994DB8" w:rsidR="005105EF" w:rsidP="00BF6980" w:rsidRDefault="005105EF" w14:paraId="5EE85065" w14:textId="47DE48A7">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11610FAE" w14:textId="43EF87E9">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53A349A5" w14:textId="390C0426">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2" w:type="dxa"/>
            <w:shd w:val="clear" w:color="auto" w:fill="01689B"/>
          </w:tcPr>
          <w:p w:rsidRPr="00994DB8" w:rsidR="005105EF" w:rsidP="00BF6980" w:rsidRDefault="005105EF" w14:paraId="3A4D2B10" w14:textId="389419E3">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3D79E2C6" w14:textId="5AF73A48">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07FD973B" w14:textId="72A7E5AA">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c>
          <w:tcPr>
            <w:tcW w:w="921" w:type="dxa"/>
            <w:shd w:val="clear" w:color="auto" w:fill="01689B"/>
          </w:tcPr>
          <w:p w:rsidRPr="00994DB8" w:rsidR="005105EF" w:rsidP="00BF6980" w:rsidRDefault="005105EF" w14:paraId="269F68FC" w14:textId="2859542F">
            <w:pPr>
              <w:jc w:val="right"/>
              <w:rPr>
                <w:rFonts w:eastAsia="Verdana" w:cs="Verdana"/>
                <w:b/>
                <w:color w:val="FFFFFF" w:themeColor="background1"/>
                <w:sz w:val="16"/>
                <w:szCs w:val="16"/>
              </w:rPr>
            </w:pPr>
            <w:r w:rsidRPr="00994DB8">
              <w:rPr>
                <w:rFonts w:eastAsia="Verdana" w:cs="Verdana"/>
                <w:b/>
                <w:color w:val="FFFFFF" w:themeColor="background1"/>
                <w:sz w:val="16"/>
                <w:szCs w:val="16"/>
              </w:rPr>
              <w:t>% bbp</w:t>
            </w:r>
          </w:p>
        </w:tc>
      </w:tr>
      <w:tr w:rsidRPr="000B4D4D" w:rsidR="005105EF" w:rsidTr="005105EF" w14:paraId="11C6782C" w14:textId="77777777">
        <w:trPr>
          <w:trHeight w:val="411"/>
        </w:trPr>
        <w:tc>
          <w:tcPr>
            <w:tcW w:w="2631" w:type="dxa"/>
            <w:shd w:val="clear" w:color="auto" w:fill="DDEFF8"/>
          </w:tcPr>
          <w:p w:rsidRPr="0059487B" w:rsidR="005105EF" w:rsidP="00A04C0A" w:rsidRDefault="005105EF" w14:paraId="7BDBE447" w14:textId="449B55F2">
            <w:pPr>
              <w:rPr>
                <w:rFonts w:eastAsia="Verdana" w:cs="Verdana"/>
                <w:sz w:val="16"/>
                <w:szCs w:val="16"/>
              </w:rPr>
            </w:pPr>
            <w:r w:rsidRPr="0059487B">
              <w:rPr>
                <w:rFonts w:eastAsia="Verdana" w:cs="Verdana"/>
                <w:sz w:val="16"/>
                <w:szCs w:val="16"/>
              </w:rPr>
              <w:t>7.</w:t>
            </w:r>
            <w:r w:rsidR="00B44514">
              <w:rPr>
                <w:rFonts w:eastAsia="Verdana" w:cs="Verdana"/>
                <w:sz w:val="16"/>
                <w:szCs w:val="16"/>
              </w:rPr>
              <w:t xml:space="preserve"> </w:t>
            </w:r>
            <w:r w:rsidRPr="0059487B">
              <w:rPr>
                <w:rFonts w:eastAsia="Verdana" w:cs="Verdana"/>
                <w:sz w:val="16"/>
                <w:szCs w:val="16"/>
              </w:rPr>
              <w:t>Verlaging van belastinginkomsten</w:t>
            </w:r>
          </w:p>
        </w:tc>
        <w:tc>
          <w:tcPr>
            <w:tcW w:w="921" w:type="dxa"/>
          </w:tcPr>
          <w:p w:rsidRPr="0059487B" w:rsidR="005105EF" w:rsidP="00A04C0A" w:rsidRDefault="005105EF" w14:paraId="261818DA" w14:textId="6FE00822">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057E3D1D" w14:textId="00A4F013">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56FB33D0" w14:textId="529AB5C9">
            <w:pPr>
              <w:rPr>
                <w:rFonts w:eastAsia="Verdana" w:cs="Verdana"/>
                <w:sz w:val="16"/>
                <w:szCs w:val="16"/>
              </w:rPr>
            </w:pPr>
            <w:r w:rsidRPr="0059487B">
              <w:rPr>
                <w:rFonts w:eastAsia="Verdana" w:cs="Verdana"/>
                <w:sz w:val="16"/>
                <w:szCs w:val="16"/>
              </w:rPr>
              <w:t>0,00%</w:t>
            </w:r>
          </w:p>
        </w:tc>
        <w:tc>
          <w:tcPr>
            <w:tcW w:w="922" w:type="dxa"/>
          </w:tcPr>
          <w:p w:rsidRPr="0059487B" w:rsidR="005105EF" w:rsidP="00A04C0A" w:rsidRDefault="005105EF" w14:paraId="7DFF87D4" w14:textId="143CB24C">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4F0AC4FA" w14:textId="7790B71E">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6B33997D" w14:textId="05CDEBDE">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3594351D" w14:textId="47DE61C4">
            <w:pPr>
              <w:rPr>
                <w:rFonts w:eastAsia="Verdana" w:cs="Verdana"/>
                <w:sz w:val="16"/>
                <w:szCs w:val="16"/>
              </w:rPr>
            </w:pPr>
            <w:r w:rsidRPr="0059487B">
              <w:rPr>
                <w:rFonts w:eastAsia="Verdana" w:cs="Verdana"/>
                <w:sz w:val="16"/>
                <w:szCs w:val="16"/>
              </w:rPr>
              <w:t>0,00%</w:t>
            </w:r>
          </w:p>
        </w:tc>
      </w:tr>
      <w:tr w:rsidRPr="000B4D4D" w:rsidR="005105EF" w:rsidTr="005105EF" w14:paraId="347C5112" w14:textId="77777777">
        <w:trPr>
          <w:trHeight w:val="411"/>
        </w:trPr>
        <w:tc>
          <w:tcPr>
            <w:tcW w:w="2631" w:type="dxa"/>
            <w:shd w:val="clear" w:color="auto" w:fill="DDEFF8"/>
          </w:tcPr>
          <w:p w:rsidRPr="0059487B" w:rsidR="005105EF" w:rsidP="00A04C0A" w:rsidRDefault="005105EF" w14:paraId="5C6C747C" w14:textId="07D5579F">
            <w:pPr>
              <w:rPr>
                <w:rFonts w:eastAsia="Verdana" w:cs="Verdana"/>
                <w:sz w:val="16"/>
                <w:szCs w:val="16"/>
              </w:rPr>
            </w:pPr>
            <w:r w:rsidRPr="0059487B">
              <w:rPr>
                <w:rFonts w:eastAsia="Verdana" w:cs="Verdana"/>
                <w:sz w:val="16"/>
                <w:szCs w:val="16"/>
              </w:rPr>
              <w:t>8.</w:t>
            </w:r>
            <w:r w:rsidR="00B44514">
              <w:rPr>
                <w:rFonts w:eastAsia="Verdana" w:cs="Verdana"/>
                <w:sz w:val="16"/>
                <w:szCs w:val="16"/>
              </w:rPr>
              <w:t xml:space="preserve"> A</w:t>
            </w:r>
            <w:r w:rsidRPr="0059487B">
              <w:rPr>
                <w:rFonts w:eastAsia="Verdana" w:cs="Verdana"/>
                <w:sz w:val="16"/>
                <w:szCs w:val="16"/>
              </w:rPr>
              <w:t>ndere kosten met impact op ontvangsten</w:t>
            </w:r>
          </w:p>
        </w:tc>
        <w:tc>
          <w:tcPr>
            <w:tcW w:w="921" w:type="dxa"/>
          </w:tcPr>
          <w:p w:rsidRPr="0059487B" w:rsidR="005105EF" w:rsidP="00A04C0A" w:rsidRDefault="005105EF" w14:paraId="5165015B" w14:textId="395965EF">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2AF1EA15" w14:textId="35A85179">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1DAE024B" w14:textId="154A6C05">
            <w:pPr>
              <w:rPr>
                <w:rFonts w:eastAsia="Verdana" w:cs="Verdana"/>
                <w:sz w:val="16"/>
                <w:szCs w:val="16"/>
              </w:rPr>
            </w:pPr>
            <w:r w:rsidRPr="0059487B">
              <w:rPr>
                <w:rFonts w:eastAsia="Verdana" w:cs="Verdana"/>
                <w:sz w:val="16"/>
                <w:szCs w:val="16"/>
              </w:rPr>
              <w:t>0,00%</w:t>
            </w:r>
          </w:p>
        </w:tc>
        <w:tc>
          <w:tcPr>
            <w:tcW w:w="922" w:type="dxa"/>
          </w:tcPr>
          <w:p w:rsidRPr="0059487B" w:rsidR="005105EF" w:rsidP="00A04C0A" w:rsidRDefault="005105EF" w14:paraId="379AC8D8" w14:textId="631EC638">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4817D8E4" w14:textId="2EA73A58">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55E8752C" w14:textId="6076204D">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51E40ABA" w14:textId="2EC21E1D">
            <w:pPr>
              <w:rPr>
                <w:rFonts w:eastAsia="Verdana" w:cs="Verdana"/>
                <w:sz w:val="16"/>
                <w:szCs w:val="16"/>
              </w:rPr>
            </w:pPr>
            <w:r w:rsidRPr="0059487B">
              <w:rPr>
                <w:rFonts w:eastAsia="Verdana" w:cs="Verdana"/>
                <w:sz w:val="16"/>
                <w:szCs w:val="16"/>
              </w:rPr>
              <w:t>0,00%</w:t>
            </w:r>
          </w:p>
        </w:tc>
      </w:tr>
      <w:tr w:rsidRPr="000B4D4D" w:rsidR="005105EF" w:rsidTr="005105EF" w14:paraId="29C6DF7D" w14:textId="77777777">
        <w:trPr>
          <w:trHeight w:val="198"/>
        </w:trPr>
        <w:tc>
          <w:tcPr>
            <w:tcW w:w="2631" w:type="dxa"/>
            <w:shd w:val="clear" w:color="auto" w:fill="DDEFF8"/>
          </w:tcPr>
          <w:p w:rsidRPr="0059487B" w:rsidR="005105EF" w:rsidP="00A04C0A" w:rsidRDefault="005105EF" w14:paraId="5DF86436" w14:textId="70081BD1">
            <w:pPr>
              <w:rPr>
                <w:rFonts w:eastAsia="Verdana" w:cs="Verdana"/>
                <w:sz w:val="16"/>
                <w:szCs w:val="16"/>
              </w:rPr>
            </w:pPr>
            <w:r w:rsidRPr="0059487B">
              <w:rPr>
                <w:rFonts w:eastAsia="Verdana" w:cs="Verdana"/>
                <w:sz w:val="16"/>
                <w:szCs w:val="16"/>
              </w:rPr>
              <w:t>9.</w:t>
            </w:r>
            <w:r w:rsidR="00B44514">
              <w:rPr>
                <w:rFonts w:eastAsia="Verdana" w:cs="Verdana"/>
                <w:sz w:val="16"/>
                <w:szCs w:val="16"/>
              </w:rPr>
              <w:t xml:space="preserve"> F</w:t>
            </w:r>
            <w:r w:rsidRPr="0059487B">
              <w:rPr>
                <w:rFonts w:eastAsia="Verdana" w:cs="Verdana"/>
                <w:sz w:val="16"/>
                <w:szCs w:val="16"/>
              </w:rPr>
              <w:t>inanciële transacties</w:t>
            </w:r>
          </w:p>
        </w:tc>
        <w:tc>
          <w:tcPr>
            <w:tcW w:w="921" w:type="dxa"/>
          </w:tcPr>
          <w:p w:rsidRPr="0059487B" w:rsidR="005105EF" w:rsidP="00A04C0A" w:rsidRDefault="005105EF" w14:paraId="581A5478" w14:textId="680A06D7">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05276E7E" w14:textId="63B54ACF">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54C684A8" w14:textId="3D03C5D6">
            <w:pPr>
              <w:rPr>
                <w:rFonts w:eastAsia="Verdana" w:cs="Verdana"/>
                <w:sz w:val="16"/>
                <w:szCs w:val="16"/>
              </w:rPr>
            </w:pPr>
            <w:r w:rsidRPr="0059487B">
              <w:rPr>
                <w:rFonts w:eastAsia="Verdana" w:cs="Verdana"/>
                <w:sz w:val="16"/>
                <w:szCs w:val="16"/>
              </w:rPr>
              <w:t>0,00%</w:t>
            </w:r>
          </w:p>
        </w:tc>
        <w:tc>
          <w:tcPr>
            <w:tcW w:w="922" w:type="dxa"/>
          </w:tcPr>
          <w:p w:rsidRPr="0059487B" w:rsidR="005105EF" w:rsidP="00A04C0A" w:rsidRDefault="005105EF" w14:paraId="5EDBF34D" w14:textId="54C96607">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3711BBBF" w14:textId="4D5BF8BA">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3E5C6202" w14:textId="5C61DDC5">
            <w:pPr>
              <w:rPr>
                <w:rFonts w:eastAsia="Verdana" w:cs="Verdana"/>
                <w:sz w:val="16"/>
                <w:szCs w:val="16"/>
              </w:rPr>
            </w:pPr>
            <w:r w:rsidRPr="0059487B">
              <w:rPr>
                <w:rFonts w:eastAsia="Verdana" w:cs="Verdana"/>
                <w:sz w:val="16"/>
                <w:szCs w:val="16"/>
              </w:rPr>
              <w:t>0,00%</w:t>
            </w:r>
          </w:p>
        </w:tc>
        <w:tc>
          <w:tcPr>
            <w:tcW w:w="921" w:type="dxa"/>
          </w:tcPr>
          <w:p w:rsidRPr="0059487B" w:rsidR="005105EF" w:rsidP="00A04C0A" w:rsidRDefault="005105EF" w14:paraId="7928B579" w14:textId="3185C57B">
            <w:pPr>
              <w:rPr>
                <w:rFonts w:eastAsia="Verdana" w:cs="Verdana"/>
                <w:sz w:val="16"/>
                <w:szCs w:val="16"/>
              </w:rPr>
            </w:pPr>
            <w:r w:rsidRPr="0059487B">
              <w:rPr>
                <w:rFonts w:eastAsia="Verdana" w:cs="Verdana"/>
                <w:sz w:val="16"/>
                <w:szCs w:val="16"/>
              </w:rPr>
              <w:t>0,00%</w:t>
            </w:r>
          </w:p>
        </w:tc>
      </w:tr>
    </w:tbl>
    <w:p w:rsidRPr="00CD05BC" w:rsidR="00D13A77" w:rsidP="00E75319" w:rsidRDefault="00D13A77" w14:paraId="4A6354D4" w14:textId="12FE6323">
      <w:pPr>
        <w:pStyle w:val="Kop1"/>
      </w:pPr>
      <w:bookmarkStart w:name="_Toc196830275" w:id="17"/>
      <w:r w:rsidRPr="00CD05BC">
        <w:lastRenderedPageBreak/>
        <w:t xml:space="preserve">Hoofdstuk 5: </w:t>
      </w:r>
      <w:r w:rsidRPr="00CD05BC">
        <w:br/>
      </w:r>
      <w:r w:rsidRPr="00CD05BC">
        <w:rPr>
          <w:color w:val="auto"/>
        </w:rPr>
        <w:t>Hervormingen en investeringen</w:t>
      </w:r>
      <w:bookmarkEnd w:id="17"/>
      <w:r w:rsidRPr="00CD05BC">
        <w:rPr>
          <w:color w:val="auto"/>
        </w:rPr>
        <w:t xml:space="preserve">  </w:t>
      </w:r>
    </w:p>
    <w:p w:rsidRPr="000B4D4D" w:rsidR="00E75319" w:rsidP="00E75319" w:rsidRDefault="004814C6" w14:paraId="2EF07421" w14:textId="1FB9AE23">
      <w:pPr>
        <w:rPr>
          <w:i/>
          <w:szCs w:val="18"/>
        </w:rPr>
      </w:pPr>
      <w:r w:rsidRPr="000B4D4D">
        <w:rPr>
          <w:i/>
          <w:iCs/>
          <w:szCs w:val="18"/>
        </w:rPr>
        <w:t>Nederland heeft vorig jaar in het budgettair-structureel plan voor de middellange termijn</w:t>
      </w:r>
      <w:r w:rsidRPr="000B4D4D" w:rsidR="00E75319">
        <w:rPr>
          <w:i/>
          <w:szCs w:val="18"/>
        </w:rPr>
        <w:t xml:space="preserve"> hervormingen en investeringen </w:t>
      </w:r>
      <w:r w:rsidRPr="000B4D4D">
        <w:rPr>
          <w:i/>
          <w:iCs/>
          <w:szCs w:val="18"/>
        </w:rPr>
        <w:t xml:space="preserve">gerapporteerd, die </w:t>
      </w:r>
      <w:r w:rsidRPr="000B4D4D" w:rsidR="00E75319">
        <w:rPr>
          <w:i/>
          <w:szCs w:val="18"/>
        </w:rPr>
        <w:t xml:space="preserve">de landspecifieke aanbevelingen en de gemeenschappelijke prioriteiten van de Unie </w:t>
      </w:r>
      <w:r w:rsidRPr="000B4D4D">
        <w:rPr>
          <w:i/>
          <w:iCs/>
          <w:szCs w:val="18"/>
        </w:rPr>
        <w:t xml:space="preserve">adresseren. </w:t>
      </w:r>
      <w:r w:rsidRPr="000B4D4D" w:rsidR="00E75319">
        <w:rPr>
          <w:i/>
          <w:iCs/>
          <w:szCs w:val="18"/>
        </w:rPr>
        <w:t xml:space="preserve">In dit hoofdstuk wordt </w:t>
      </w:r>
      <w:r w:rsidRPr="000B4D4D">
        <w:rPr>
          <w:i/>
          <w:iCs/>
          <w:szCs w:val="18"/>
        </w:rPr>
        <w:t>de voortgang op</w:t>
      </w:r>
      <w:r w:rsidRPr="000B4D4D" w:rsidR="00E75319">
        <w:rPr>
          <w:i/>
          <w:iCs/>
          <w:szCs w:val="18"/>
        </w:rPr>
        <w:t xml:space="preserve"> </w:t>
      </w:r>
      <w:r w:rsidRPr="000B4D4D">
        <w:rPr>
          <w:i/>
          <w:iCs/>
          <w:szCs w:val="18"/>
        </w:rPr>
        <w:t>deze</w:t>
      </w:r>
      <w:r w:rsidRPr="000B4D4D" w:rsidR="00E75319">
        <w:rPr>
          <w:i/>
          <w:iCs/>
          <w:szCs w:val="18"/>
        </w:rPr>
        <w:t xml:space="preserve"> hervormingen en investeringen</w:t>
      </w:r>
      <w:r w:rsidRPr="000B4D4D">
        <w:rPr>
          <w:i/>
          <w:iCs/>
          <w:szCs w:val="18"/>
        </w:rPr>
        <w:t xml:space="preserve"> beschreven.</w:t>
      </w:r>
    </w:p>
    <w:p w:rsidRPr="000B4D4D" w:rsidR="00A67162" w:rsidRDefault="00B776FC" w14:paraId="49410BD9" w14:textId="5115EFB2">
      <w:pPr>
        <w:rPr>
          <w:szCs w:val="18"/>
        </w:rPr>
      </w:pPr>
      <w:r w:rsidRPr="000B4D4D">
        <w:rPr>
          <w:szCs w:val="18"/>
        </w:rPr>
        <w:t xml:space="preserve">In </w:t>
      </w:r>
      <w:r w:rsidRPr="000B4D4D" w:rsidR="00D2195D">
        <w:rPr>
          <w:szCs w:val="18"/>
        </w:rPr>
        <w:t>t</w:t>
      </w:r>
      <w:r w:rsidRPr="000B4D4D" w:rsidR="00A5252A">
        <w:rPr>
          <w:szCs w:val="18"/>
        </w:rPr>
        <w:t xml:space="preserve">abel 7 </w:t>
      </w:r>
      <w:r w:rsidRPr="000B4D4D">
        <w:rPr>
          <w:szCs w:val="18"/>
        </w:rPr>
        <w:t xml:space="preserve">is </w:t>
      </w:r>
      <w:r w:rsidRPr="000B4D4D" w:rsidR="00A5252A">
        <w:rPr>
          <w:szCs w:val="18"/>
        </w:rPr>
        <w:t xml:space="preserve">de status </w:t>
      </w:r>
      <w:r w:rsidRPr="000B4D4D">
        <w:rPr>
          <w:szCs w:val="18"/>
        </w:rPr>
        <w:t xml:space="preserve">te lezen </w:t>
      </w:r>
      <w:r w:rsidRPr="000B4D4D" w:rsidR="00A5252A">
        <w:rPr>
          <w:szCs w:val="18"/>
        </w:rPr>
        <w:t xml:space="preserve">van de hervormingen en investeringen </w:t>
      </w:r>
      <w:r w:rsidRPr="000B4D4D">
        <w:rPr>
          <w:szCs w:val="18"/>
        </w:rPr>
        <w:t xml:space="preserve">sinds het </w:t>
      </w:r>
      <w:r w:rsidRPr="000B4D4D" w:rsidR="004F63FD">
        <w:rPr>
          <w:szCs w:val="18"/>
        </w:rPr>
        <w:t xml:space="preserve">opstellen van het budgettair-structureel plan voor de middellange termijn in het najaar van 2024 </w:t>
      </w:r>
      <w:r w:rsidRPr="000B4D4D" w:rsidR="00A5252A">
        <w:rPr>
          <w:szCs w:val="18"/>
        </w:rPr>
        <w:t>(zie laatste kopje).</w:t>
      </w:r>
      <w:r w:rsidRPr="000B4D4D" w:rsidR="00A67162">
        <w:rPr>
          <w:szCs w:val="18"/>
        </w:rPr>
        <w:t xml:space="preserve"> Er zijn geen nieuwe maatregelen sinds het laatste </w:t>
      </w:r>
      <w:r w:rsidRPr="000B4D4D" w:rsidR="004F63FD">
        <w:rPr>
          <w:szCs w:val="18"/>
        </w:rPr>
        <w:t>plan</w:t>
      </w:r>
      <w:r w:rsidRPr="000B4D4D" w:rsidR="00A67162">
        <w:rPr>
          <w:szCs w:val="18"/>
        </w:rPr>
        <w:t xml:space="preserve"> opgenomen.</w:t>
      </w:r>
      <w:r w:rsidRPr="000B4D4D" w:rsidR="00A5252A">
        <w:rPr>
          <w:szCs w:val="18"/>
        </w:rPr>
        <w:t xml:space="preserve"> </w:t>
      </w:r>
      <w:r w:rsidRPr="00331E93" w:rsidR="00231965">
        <w:rPr>
          <w:szCs w:val="18"/>
        </w:rPr>
        <w:t xml:space="preserve">Bijlage </w:t>
      </w:r>
      <w:r w:rsidRPr="00331E93" w:rsidR="00331E93">
        <w:rPr>
          <w:szCs w:val="18"/>
        </w:rPr>
        <w:t>1</w:t>
      </w:r>
      <w:r w:rsidRPr="00331E93" w:rsidR="00231965">
        <w:rPr>
          <w:szCs w:val="18"/>
        </w:rPr>
        <w:t xml:space="preserve"> </w:t>
      </w:r>
      <w:r w:rsidRPr="000B4D4D" w:rsidR="00231965">
        <w:rPr>
          <w:szCs w:val="18"/>
        </w:rPr>
        <w:t xml:space="preserve">geeft een overzicht van de hervormingen en investeringen die verband houden met de Sustainable Development Goals en de European Pillars of Social Rights. </w:t>
      </w:r>
    </w:p>
    <w:p w:rsidRPr="000B4D4D" w:rsidR="00A67162" w:rsidP="00A67162" w:rsidRDefault="00A67162" w14:paraId="0EEC68AE" w14:textId="48C0EA87">
      <w:pPr>
        <w:rPr>
          <w:szCs w:val="18"/>
        </w:rPr>
      </w:pPr>
      <w:r w:rsidRPr="000B4D4D">
        <w:rPr>
          <w:szCs w:val="18"/>
        </w:rPr>
        <w:t xml:space="preserve">Over het algemeen </w:t>
      </w:r>
      <w:r w:rsidRPr="000B4D4D" w:rsidR="00C97234">
        <w:rPr>
          <w:szCs w:val="18"/>
        </w:rPr>
        <w:t>is Nederland</w:t>
      </w:r>
      <w:r w:rsidRPr="000B4D4D">
        <w:rPr>
          <w:szCs w:val="18"/>
        </w:rPr>
        <w:t xml:space="preserve"> goed op weg </w:t>
      </w:r>
      <w:r w:rsidRPr="000B4D4D" w:rsidR="0087194B">
        <w:rPr>
          <w:szCs w:val="18"/>
        </w:rPr>
        <w:t>(</w:t>
      </w:r>
      <w:r w:rsidRPr="000B4D4D" w:rsidR="0087194B">
        <w:rPr>
          <w:i/>
          <w:iCs/>
          <w:szCs w:val="18"/>
        </w:rPr>
        <w:t>on track</w:t>
      </w:r>
      <w:r w:rsidRPr="000B4D4D" w:rsidR="0087194B">
        <w:rPr>
          <w:szCs w:val="18"/>
        </w:rPr>
        <w:t xml:space="preserve">) </w:t>
      </w:r>
      <w:r w:rsidRPr="000B4D4D">
        <w:rPr>
          <w:szCs w:val="18"/>
        </w:rPr>
        <w:t xml:space="preserve">met 77 maatregelen. Er zijn 15 maatregelen </w:t>
      </w:r>
      <w:r w:rsidRPr="000B4D4D" w:rsidR="00146BAE">
        <w:rPr>
          <w:szCs w:val="18"/>
        </w:rPr>
        <w:t>afgerond (</w:t>
      </w:r>
      <w:r w:rsidRPr="000B4D4D" w:rsidR="00146BAE">
        <w:rPr>
          <w:i/>
          <w:iCs/>
          <w:szCs w:val="18"/>
        </w:rPr>
        <w:t>completed</w:t>
      </w:r>
      <w:r w:rsidRPr="000B4D4D" w:rsidR="0087194B">
        <w:rPr>
          <w:szCs w:val="18"/>
        </w:rPr>
        <w:t xml:space="preserve"> of </w:t>
      </w:r>
      <w:r w:rsidRPr="000B4D4D" w:rsidR="0087194B">
        <w:rPr>
          <w:i/>
          <w:iCs/>
          <w:szCs w:val="18"/>
        </w:rPr>
        <w:t>fulfilled</w:t>
      </w:r>
      <w:r w:rsidRPr="000B4D4D" w:rsidR="00146BAE">
        <w:rPr>
          <w:szCs w:val="18"/>
        </w:rPr>
        <w:t>)</w:t>
      </w:r>
      <w:r w:rsidRPr="000B4D4D">
        <w:rPr>
          <w:szCs w:val="18"/>
        </w:rPr>
        <w:t xml:space="preserve">, en er zijn slechts enkele maatregelen vertraagd </w:t>
      </w:r>
      <w:r w:rsidRPr="000B4D4D" w:rsidR="00146BAE">
        <w:rPr>
          <w:szCs w:val="18"/>
        </w:rPr>
        <w:t>(</w:t>
      </w:r>
      <w:r w:rsidRPr="000B4D4D" w:rsidR="00146BAE">
        <w:rPr>
          <w:i/>
          <w:iCs/>
          <w:szCs w:val="18"/>
        </w:rPr>
        <w:t>delayed</w:t>
      </w:r>
      <w:r w:rsidRPr="000B4D4D" w:rsidR="00146BAE">
        <w:rPr>
          <w:szCs w:val="18"/>
        </w:rPr>
        <w:t xml:space="preserve">) </w:t>
      </w:r>
      <w:r w:rsidRPr="000B4D4D">
        <w:rPr>
          <w:szCs w:val="18"/>
        </w:rPr>
        <w:t xml:space="preserve">of </w:t>
      </w:r>
      <w:r w:rsidRPr="000B4D4D" w:rsidR="00146BAE">
        <w:rPr>
          <w:szCs w:val="18"/>
        </w:rPr>
        <w:t>niet afgerond (</w:t>
      </w:r>
      <w:r w:rsidRPr="000B4D4D" w:rsidR="00146BAE">
        <w:rPr>
          <w:i/>
          <w:iCs/>
          <w:szCs w:val="18"/>
        </w:rPr>
        <w:t>not completed</w:t>
      </w:r>
      <w:r w:rsidRPr="000B4D4D" w:rsidR="00146BAE">
        <w:rPr>
          <w:szCs w:val="18"/>
        </w:rPr>
        <w:t xml:space="preserve">) </w:t>
      </w:r>
      <w:r w:rsidRPr="000B4D4D">
        <w:rPr>
          <w:szCs w:val="18"/>
        </w:rPr>
        <w:t xml:space="preserve">(4). Dit gaat om maatregelen 1, 23, 36, en 76. Per maatregel is onder de tabel toegelicht wat </w:t>
      </w:r>
      <w:r w:rsidRPr="000B4D4D" w:rsidR="0065276E">
        <w:rPr>
          <w:szCs w:val="18"/>
        </w:rPr>
        <w:t xml:space="preserve">de </w:t>
      </w:r>
      <w:r w:rsidRPr="000B4D4D">
        <w:rPr>
          <w:szCs w:val="18"/>
        </w:rPr>
        <w:t>voortgang is. Daarnaast heeft Nederland over het algemeen positief gereageerd op de technische analyse van de ernst van de vastgestelde uitdagingen en de ontwikkeling van risico’s ten aanzien van de externe sector en de woningmarkt in het kader van de macro-economische onevenwichtighedenprocedure.</w:t>
      </w:r>
      <w:r w:rsidRPr="000B4D4D" w:rsidR="00FB2103">
        <w:rPr>
          <w:szCs w:val="18"/>
        </w:rPr>
        <w:t xml:space="preserve"> Deze reactie is reeds naar de Europese Commissie gestuurd.</w:t>
      </w:r>
    </w:p>
    <w:p w:rsidRPr="000B4D4D" w:rsidR="00A67162" w:rsidRDefault="00A67162" w14:paraId="4AD2F6CB" w14:textId="73F21322">
      <w:pPr>
        <w:rPr>
          <w:szCs w:val="18"/>
        </w:rPr>
      </w:pPr>
      <w:r w:rsidRPr="000B4D4D">
        <w:rPr>
          <w:szCs w:val="18"/>
        </w:rPr>
        <w:t>Voor de samenhang met de vijf pijlers van de Energie Unie zijn de hervormingen/investeringen onder de noemer “</w:t>
      </w:r>
      <w:r w:rsidRPr="000B4D4D">
        <w:rPr>
          <w:rStyle w:val="normaltextrun"/>
          <w:rFonts w:cs="Segoe UI"/>
          <w:szCs w:val="18"/>
        </w:rPr>
        <w:t>Een eerlijke groene en digitale transitie, inclusief consistentie met de Europese Klimaatwet</w:t>
      </w:r>
      <w:r w:rsidRPr="000B4D4D">
        <w:rPr>
          <w:rFonts w:cs="Segoe UI"/>
          <w:szCs w:val="18"/>
        </w:rPr>
        <w:t xml:space="preserve">” relevant. </w:t>
      </w:r>
    </w:p>
    <w:p w:rsidRPr="0059487B" w:rsidR="004814C6" w:rsidRDefault="004814C6" w14:paraId="0BF47960" w14:textId="21BB8570">
      <w:pPr>
        <w:tabs>
          <w:tab w:val="left" w:pos="1021"/>
        </w:tabs>
        <w:rPr>
          <w:rFonts w:eastAsia="Times New Roman"/>
          <w:i/>
          <w:szCs w:val="18"/>
        </w:rPr>
      </w:pPr>
      <w:bookmarkStart w:name="_Hlk194503554" w:id="18"/>
      <w:r w:rsidRPr="0059487B">
        <w:rPr>
          <w:rFonts w:eastAsia="Times New Roman"/>
          <w:i/>
          <w:szCs w:val="18"/>
        </w:rPr>
        <w:t xml:space="preserve">Tabel </w:t>
      </w:r>
      <w:r w:rsidRPr="0059487B" w:rsidR="00A5252A">
        <w:rPr>
          <w:rFonts w:eastAsia="Times New Roman"/>
          <w:i/>
          <w:szCs w:val="18"/>
        </w:rPr>
        <w:t>7: Voortgang hervormingen en investeringen</w:t>
      </w:r>
    </w:p>
    <w:tbl>
      <w:tblPr>
        <w:tblStyle w:val="Tabelraster"/>
        <w:tblW w:w="5000" w:type="pct"/>
        <w:tblLayout w:type="fixed"/>
        <w:tblLook w:val="04A0" w:firstRow="1" w:lastRow="0" w:firstColumn="1" w:lastColumn="0" w:noHBand="0" w:noVBand="1"/>
      </w:tblPr>
      <w:tblGrid>
        <w:gridCol w:w="561"/>
        <w:gridCol w:w="2552"/>
        <w:gridCol w:w="1135"/>
        <w:gridCol w:w="1133"/>
        <w:gridCol w:w="2412"/>
        <w:gridCol w:w="1269"/>
      </w:tblGrid>
      <w:tr w:rsidRPr="000B4D4D" w:rsidR="006C7541" w:rsidTr="0059487B" w14:paraId="223D818E" w14:textId="77777777">
        <w:trPr>
          <w:trHeight w:val="300"/>
        </w:trPr>
        <w:tc>
          <w:tcPr>
            <w:tcW w:w="1718" w:type="pct"/>
            <w:gridSpan w:val="2"/>
            <w:shd w:val="clear" w:color="auto" w:fill="01689B"/>
          </w:tcPr>
          <w:p w:rsidRPr="003C3303" w:rsidR="004814C6" w:rsidP="00800A85" w:rsidRDefault="004814C6" w14:paraId="73AB9816" w14:textId="77777777">
            <w:pPr>
              <w:spacing w:line="276" w:lineRule="auto"/>
              <w:rPr>
                <w:b/>
                <w:bCs/>
                <w:color w:val="FFFFFF" w:themeColor="background1"/>
                <w:sz w:val="16"/>
                <w:szCs w:val="16"/>
              </w:rPr>
            </w:pPr>
            <w:r w:rsidRPr="003C3303">
              <w:rPr>
                <w:b/>
                <w:bCs/>
                <w:color w:val="FFFFFF" w:themeColor="background1"/>
                <w:sz w:val="16"/>
                <w:szCs w:val="16"/>
              </w:rPr>
              <w:t xml:space="preserve">Hervormingen/investeringen </w:t>
            </w:r>
          </w:p>
          <w:p w:rsidRPr="003C3303" w:rsidR="004814C6" w:rsidP="002D5F54" w:rsidRDefault="004814C6" w14:paraId="18F66E9E" w14:textId="77777777">
            <w:pPr>
              <w:spacing w:line="276" w:lineRule="auto"/>
              <w:rPr>
                <w:b/>
                <w:bCs/>
                <w:color w:val="FFFFFF" w:themeColor="background1"/>
                <w:sz w:val="16"/>
                <w:szCs w:val="16"/>
              </w:rPr>
            </w:pPr>
          </w:p>
        </w:tc>
        <w:tc>
          <w:tcPr>
            <w:tcW w:w="626" w:type="pct"/>
            <w:shd w:val="clear" w:color="auto" w:fill="01689B"/>
          </w:tcPr>
          <w:p w:rsidRPr="003C3303" w:rsidR="004814C6" w:rsidP="00800A85" w:rsidRDefault="004814C6" w14:paraId="40FE6928" w14:textId="77777777">
            <w:pPr>
              <w:spacing w:line="276" w:lineRule="auto"/>
              <w:rPr>
                <w:b/>
                <w:bCs/>
                <w:color w:val="FFFFFF" w:themeColor="background1"/>
                <w:sz w:val="16"/>
                <w:szCs w:val="16"/>
              </w:rPr>
            </w:pPr>
            <w:r w:rsidRPr="003C3303">
              <w:rPr>
                <w:b/>
                <w:bCs/>
                <w:color w:val="FFFFFF" w:themeColor="background1"/>
                <w:sz w:val="16"/>
                <w:szCs w:val="16"/>
              </w:rPr>
              <w:t>HVP/MFK</w:t>
            </w:r>
            <w:r w:rsidRPr="003C3303">
              <w:rPr>
                <w:rStyle w:val="Voetnootmarkering"/>
                <w:b/>
                <w:bCs/>
                <w:color w:val="FFFFFF" w:themeColor="background1"/>
                <w:sz w:val="16"/>
                <w:szCs w:val="16"/>
              </w:rPr>
              <w:footnoteReference w:id="11"/>
            </w:r>
          </w:p>
        </w:tc>
        <w:tc>
          <w:tcPr>
            <w:tcW w:w="625" w:type="pct"/>
            <w:shd w:val="clear" w:color="auto" w:fill="01689B"/>
          </w:tcPr>
          <w:p w:rsidRPr="003C3303" w:rsidR="004814C6" w:rsidP="00800A85" w:rsidRDefault="004814C6" w14:paraId="7B15017D" w14:textId="77777777">
            <w:pPr>
              <w:spacing w:line="276" w:lineRule="auto"/>
              <w:rPr>
                <w:b/>
                <w:bCs/>
                <w:color w:val="FFFFFF" w:themeColor="background1"/>
                <w:sz w:val="16"/>
                <w:szCs w:val="16"/>
              </w:rPr>
            </w:pPr>
            <w:r w:rsidRPr="003C3303">
              <w:rPr>
                <w:b/>
                <w:bCs/>
                <w:color w:val="FFFFFF" w:themeColor="background1"/>
                <w:sz w:val="16"/>
                <w:szCs w:val="16"/>
              </w:rPr>
              <w:t>LSA</w:t>
            </w:r>
            <w:r w:rsidRPr="003C3303">
              <w:rPr>
                <w:rStyle w:val="Voetnootmarkering"/>
                <w:b/>
                <w:bCs/>
                <w:color w:val="FFFFFF" w:themeColor="background1"/>
                <w:sz w:val="16"/>
                <w:szCs w:val="16"/>
              </w:rPr>
              <w:footnoteReference w:id="12"/>
            </w:r>
          </w:p>
        </w:tc>
        <w:tc>
          <w:tcPr>
            <w:tcW w:w="1331" w:type="pct"/>
            <w:shd w:val="clear" w:color="auto" w:fill="01689B"/>
          </w:tcPr>
          <w:p w:rsidRPr="003C3303" w:rsidR="004814C6" w:rsidP="00800A85" w:rsidRDefault="004814C6" w14:paraId="6FE71011" w14:textId="77777777">
            <w:pPr>
              <w:spacing w:line="276" w:lineRule="auto"/>
              <w:rPr>
                <w:b/>
                <w:bCs/>
                <w:color w:val="FFFFFF" w:themeColor="background1"/>
                <w:sz w:val="16"/>
                <w:szCs w:val="16"/>
              </w:rPr>
            </w:pPr>
            <w:r w:rsidRPr="003C3303">
              <w:rPr>
                <w:b/>
                <w:bCs/>
                <w:color w:val="FFFFFF" w:themeColor="background1"/>
                <w:sz w:val="16"/>
                <w:szCs w:val="16"/>
              </w:rPr>
              <w:t>Gemeenschappelijke prioriteit</w:t>
            </w:r>
            <w:r w:rsidRPr="003C3303">
              <w:rPr>
                <w:rStyle w:val="Voetnootmarkering"/>
                <w:b/>
                <w:bCs/>
                <w:color w:val="FFFFFF" w:themeColor="background1"/>
                <w:sz w:val="16"/>
                <w:szCs w:val="16"/>
              </w:rPr>
              <w:footnoteReference w:id="13"/>
            </w:r>
          </w:p>
        </w:tc>
        <w:tc>
          <w:tcPr>
            <w:tcW w:w="700" w:type="pct"/>
            <w:shd w:val="clear" w:color="auto" w:fill="01689B"/>
          </w:tcPr>
          <w:p w:rsidRPr="003C3303" w:rsidR="004814C6" w:rsidP="00800A85" w:rsidRDefault="004814C6" w14:paraId="0E605F87" w14:textId="0CBD599C">
            <w:pPr>
              <w:spacing w:line="276" w:lineRule="auto"/>
              <w:rPr>
                <w:b/>
                <w:bCs/>
                <w:color w:val="FFFFFF" w:themeColor="background1"/>
                <w:sz w:val="16"/>
                <w:szCs w:val="16"/>
              </w:rPr>
            </w:pPr>
            <w:r w:rsidRPr="003C3303">
              <w:rPr>
                <w:b/>
                <w:bCs/>
                <w:color w:val="FFFFFF" w:themeColor="background1"/>
                <w:sz w:val="16"/>
                <w:szCs w:val="16"/>
              </w:rPr>
              <w:t>Status</w:t>
            </w:r>
          </w:p>
        </w:tc>
      </w:tr>
      <w:tr w:rsidRPr="000B4D4D" w:rsidR="004814C6" w:rsidTr="007A1844" w14:paraId="107A6698" w14:textId="77777777">
        <w:trPr>
          <w:trHeight w:val="300"/>
        </w:trPr>
        <w:tc>
          <w:tcPr>
            <w:tcW w:w="4300" w:type="pct"/>
            <w:gridSpan w:val="5"/>
            <w:shd w:val="clear" w:color="auto" w:fill="DEEAF6" w:themeFill="accent5" w:themeFillTint="33"/>
          </w:tcPr>
          <w:p w:rsidRPr="000B4D4D" w:rsidR="004814C6" w:rsidRDefault="004814C6" w14:paraId="2C9FF150" w14:textId="6C6D0931">
            <w:pPr>
              <w:rPr>
                <w:b/>
                <w:bCs/>
                <w:szCs w:val="18"/>
              </w:rPr>
            </w:pPr>
            <w:r w:rsidRPr="000B4D4D">
              <w:rPr>
                <w:rStyle w:val="normaltextrun"/>
                <w:rFonts w:cs="Segoe UI"/>
                <w:szCs w:val="18"/>
              </w:rPr>
              <w:t xml:space="preserve">Een </w:t>
            </w:r>
            <w:r w:rsidRPr="0059487B">
              <w:rPr>
                <w:rStyle w:val="normaltextrun"/>
                <w:rFonts w:cs="Segoe UI"/>
                <w:szCs w:val="18"/>
                <w:shd w:val="clear" w:color="auto" w:fill="DDEFF8"/>
              </w:rPr>
              <w:t>eerlijke groene en digitale transitie, inclusief consistentie met de Europese Klimaatwet</w:t>
            </w:r>
            <w:bookmarkStart w:name="_Hlk194070384" w:id="19"/>
            <w:r w:rsidRPr="0059487B" w:rsidR="00E247FF">
              <w:rPr>
                <w:rStyle w:val="Voetnootmarkering"/>
                <w:rFonts w:cs="Segoe UI"/>
                <w:szCs w:val="18"/>
                <w:shd w:val="clear" w:color="auto" w:fill="DDEFF8"/>
              </w:rPr>
              <w:footnoteReference w:id="14"/>
            </w:r>
            <w:r w:rsidRPr="000B4D4D">
              <w:rPr>
                <w:rStyle w:val="eop"/>
                <w:rFonts w:cs="Segoe UI"/>
                <w:szCs w:val="18"/>
              </w:rPr>
              <w:t> </w:t>
            </w:r>
            <w:bookmarkEnd w:id="19"/>
          </w:p>
        </w:tc>
        <w:tc>
          <w:tcPr>
            <w:tcW w:w="700" w:type="pct"/>
            <w:shd w:val="clear" w:color="auto" w:fill="DDEFF8"/>
          </w:tcPr>
          <w:p w:rsidRPr="000B4D4D" w:rsidR="004814C6" w:rsidP="002D5F54" w:rsidRDefault="004814C6" w14:paraId="0EF963E8" w14:textId="77777777">
            <w:pPr>
              <w:rPr>
                <w:rStyle w:val="normaltextrun"/>
                <w:rFonts w:cs="Segoe UI"/>
                <w:szCs w:val="18"/>
              </w:rPr>
            </w:pPr>
          </w:p>
        </w:tc>
      </w:tr>
      <w:tr w:rsidRPr="000B4D4D" w:rsidR="004814C6" w:rsidTr="00A448E9" w14:paraId="4980CF4A" w14:textId="77777777">
        <w:trPr>
          <w:trHeight w:val="300"/>
        </w:trPr>
        <w:tc>
          <w:tcPr>
            <w:tcW w:w="4300" w:type="pct"/>
            <w:gridSpan w:val="5"/>
          </w:tcPr>
          <w:p w:rsidRPr="000B4D4D" w:rsidR="004814C6" w:rsidRDefault="004814C6" w14:paraId="42BE883F" w14:textId="77777777">
            <w:pPr>
              <w:rPr>
                <w:b/>
                <w:bCs/>
                <w:szCs w:val="18"/>
              </w:rPr>
            </w:pPr>
            <w:r w:rsidRPr="000B4D4D">
              <w:rPr>
                <w:b/>
                <w:bCs/>
                <w:kern w:val="0"/>
                <w:szCs w:val="18"/>
                <w14:ligatures w14:val="none"/>
              </w:rPr>
              <w:t>Duurzame landbouw</w:t>
            </w:r>
          </w:p>
        </w:tc>
        <w:tc>
          <w:tcPr>
            <w:tcW w:w="700" w:type="pct"/>
          </w:tcPr>
          <w:p w:rsidRPr="000B4D4D" w:rsidR="004814C6" w:rsidP="002D5F54" w:rsidRDefault="004814C6" w14:paraId="227DA71D" w14:textId="77777777">
            <w:pPr>
              <w:rPr>
                <w:b/>
                <w:kern w:val="0"/>
                <w:szCs w:val="18"/>
                <w14:ligatures w14:val="none"/>
              </w:rPr>
            </w:pPr>
          </w:p>
        </w:tc>
      </w:tr>
      <w:tr w:rsidRPr="000B4D4D" w:rsidR="00A448E9" w:rsidTr="00A448E9" w14:paraId="4BB2E89B" w14:textId="77777777">
        <w:trPr>
          <w:trHeight w:val="300"/>
        </w:trPr>
        <w:tc>
          <w:tcPr>
            <w:tcW w:w="310" w:type="pct"/>
          </w:tcPr>
          <w:p w:rsidRPr="000B4D4D" w:rsidR="004814C6" w:rsidP="1A5CB1CB" w:rsidRDefault="004814C6" w14:paraId="6D9D15DC" w14:textId="77777777">
            <w:pPr>
              <w:spacing w:line="276" w:lineRule="auto"/>
              <w:rPr>
                <w:szCs w:val="18"/>
              </w:rPr>
            </w:pPr>
            <w:r w:rsidRPr="000B4D4D">
              <w:rPr>
                <w:szCs w:val="18"/>
              </w:rPr>
              <w:t>1</w:t>
            </w:r>
          </w:p>
        </w:tc>
        <w:tc>
          <w:tcPr>
            <w:tcW w:w="1408" w:type="pct"/>
          </w:tcPr>
          <w:p w:rsidRPr="000B4D4D" w:rsidR="004814C6" w:rsidP="1A5CB1CB" w:rsidRDefault="004814C6" w14:paraId="3E5C79CE" w14:textId="77777777">
            <w:pPr>
              <w:spacing w:line="276" w:lineRule="auto"/>
              <w:rPr>
                <w:szCs w:val="18"/>
              </w:rPr>
            </w:pPr>
            <w:r w:rsidRPr="000B4D4D">
              <w:rPr>
                <w:rStyle w:val="normaltextrun"/>
                <w:rFonts w:cs="Segoe UI"/>
                <w:szCs w:val="18"/>
              </w:rPr>
              <w:t>Hervorming: ketenaanpak verduurzaming landbouw</w:t>
            </w:r>
            <w:r w:rsidRPr="000B4D4D">
              <w:rPr>
                <w:rStyle w:val="eop"/>
                <w:rFonts w:cs="Segoe UI"/>
                <w:szCs w:val="18"/>
              </w:rPr>
              <w:t> </w:t>
            </w:r>
          </w:p>
        </w:tc>
        <w:tc>
          <w:tcPr>
            <w:tcW w:w="626" w:type="pct"/>
          </w:tcPr>
          <w:p w:rsidRPr="000B4D4D" w:rsidR="004814C6" w:rsidP="1A5CB1CB" w:rsidRDefault="004814C6" w14:paraId="7CB9A86D" w14:textId="77777777">
            <w:pPr>
              <w:spacing w:line="276" w:lineRule="auto"/>
              <w:rPr>
                <w:szCs w:val="18"/>
              </w:rPr>
            </w:pPr>
            <w:r w:rsidRPr="000B4D4D">
              <w:rPr>
                <w:rStyle w:val="eop"/>
                <w:rFonts w:cs="Segoe UI"/>
                <w:szCs w:val="18"/>
              </w:rPr>
              <w:t>-</w:t>
            </w:r>
          </w:p>
        </w:tc>
        <w:tc>
          <w:tcPr>
            <w:tcW w:w="625" w:type="pct"/>
          </w:tcPr>
          <w:p w:rsidRPr="000B4D4D" w:rsidR="004814C6" w:rsidP="00800A85" w:rsidRDefault="004814C6" w14:paraId="797F6092"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2024.4.2</w:t>
            </w:r>
            <w:r w:rsidRPr="00CD05BC">
              <w:rPr>
                <w:rStyle w:val="eop"/>
                <w:rFonts w:cs="Segoe UI"/>
                <w:sz w:val="18"/>
                <w:szCs w:val="18"/>
              </w:rPr>
              <w:t xml:space="preserve"> </w:t>
            </w:r>
            <w:r w:rsidRPr="000B4D4D">
              <w:rPr>
                <w:rFonts w:ascii="Verdana" w:hAnsi="Verdana"/>
                <w:sz w:val="18"/>
                <w:szCs w:val="18"/>
                <w:lang w:val="en-US"/>
              </w:rPr>
              <w:t>2023.4.4 2022.4.5</w:t>
            </w:r>
          </w:p>
          <w:p w:rsidRPr="000B4D4D" w:rsidR="004814C6" w:rsidP="002D5F54" w:rsidRDefault="004814C6" w14:paraId="26A8AE5C" w14:textId="77777777">
            <w:pPr>
              <w:spacing w:line="276" w:lineRule="auto"/>
              <w:rPr>
                <w:szCs w:val="18"/>
              </w:rPr>
            </w:pPr>
          </w:p>
        </w:tc>
        <w:tc>
          <w:tcPr>
            <w:tcW w:w="1331" w:type="pct"/>
          </w:tcPr>
          <w:p w:rsidRPr="000B4D4D" w:rsidR="004814C6" w:rsidP="1A5CB1CB" w:rsidRDefault="004814C6" w14:paraId="3035D9DD"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4814C6" w14:paraId="1CF3AFFB" w14:textId="77777777">
            <w:pPr>
              <w:spacing w:line="276" w:lineRule="auto"/>
              <w:rPr>
                <w:rStyle w:val="normaltextrun"/>
                <w:rFonts w:cs="Segoe UI"/>
                <w:szCs w:val="18"/>
              </w:rPr>
            </w:pPr>
            <w:r w:rsidRPr="000B4D4D">
              <w:rPr>
                <w:rStyle w:val="normaltextrun"/>
                <w:rFonts w:cs="Segoe UI"/>
                <w:szCs w:val="18"/>
              </w:rPr>
              <w:t>Not completed</w:t>
            </w:r>
          </w:p>
        </w:tc>
      </w:tr>
      <w:tr w:rsidRPr="000B4D4D" w:rsidR="00A448E9" w:rsidTr="00A448E9" w14:paraId="6EE4C761" w14:textId="77777777">
        <w:trPr>
          <w:trHeight w:val="300"/>
        </w:trPr>
        <w:tc>
          <w:tcPr>
            <w:tcW w:w="310" w:type="pct"/>
          </w:tcPr>
          <w:p w:rsidRPr="000B4D4D" w:rsidR="004814C6" w:rsidP="1A5CB1CB" w:rsidRDefault="004814C6" w14:paraId="29925388" w14:textId="77777777">
            <w:pPr>
              <w:spacing w:line="276" w:lineRule="auto"/>
              <w:rPr>
                <w:szCs w:val="18"/>
              </w:rPr>
            </w:pPr>
            <w:r w:rsidRPr="000B4D4D">
              <w:rPr>
                <w:szCs w:val="18"/>
              </w:rPr>
              <w:t>2</w:t>
            </w:r>
          </w:p>
        </w:tc>
        <w:tc>
          <w:tcPr>
            <w:tcW w:w="1408" w:type="pct"/>
          </w:tcPr>
          <w:p w:rsidRPr="000B4D4D" w:rsidR="004814C6" w:rsidP="1A5CB1CB" w:rsidRDefault="004814C6" w14:paraId="6D9B5E59" w14:textId="1661B87F">
            <w:pPr>
              <w:spacing w:line="276" w:lineRule="auto"/>
              <w:rPr>
                <w:szCs w:val="18"/>
              </w:rPr>
            </w:pPr>
            <w:r w:rsidRPr="000B4D4D">
              <w:rPr>
                <w:rStyle w:val="normaltextrun"/>
                <w:rFonts w:cs="Segoe UI"/>
                <w:szCs w:val="18"/>
              </w:rPr>
              <w:t>Investering: omschakelprogramma ‘duurzame landbouw'</w:t>
            </w:r>
            <w:r w:rsidRPr="000B4D4D" w:rsidR="000E74B5">
              <w:rPr>
                <w:rStyle w:val="normaltextrun"/>
                <w:rFonts w:cs="Segoe UI"/>
                <w:szCs w:val="18"/>
              </w:rPr>
              <w:t>*</w:t>
            </w:r>
            <w:r w:rsidRPr="000B4D4D">
              <w:rPr>
                <w:rStyle w:val="eop"/>
                <w:rFonts w:cs="Segoe UI"/>
                <w:szCs w:val="18"/>
              </w:rPr>
              <w:t> </w:t>
            </w:r>
          </w:p>
        </w:tc>
        <w:tc>
          <w:tcPr>
            <w:tcW w:w="626" w:type="pct"/>
          </w:tcPr>
          <w:p w:rsidRPr="000B4D4D" w:rsidR="004814C6" w:rsidP="1A5CB1CB" w:rsidRDefault="004814C6" w14:paraId="7C7F6348" w14:textId="77777777">
            <w:pPr>
              <w:spacing w:line="276" w:lineRule="auto"/>
              <w:rPr>
                <w:szCs w:val="18"/>
              </w:rPr>
            </w:pPr>
            <w:r w:rsidRPr="000B4D4D">
              <w:rPr>
                <w:rStyle w:val="eop"/>
                <w:rFonts w:cs="Segoe UI"/>
                <w:szCs w:val="18"/>
              </w:rPr>
              <w:t>- </w:t>
            </w:r>
          </w:p>
        </w:tc>
        <w:tc>
          <w:tcPr>
            <w:tcW w:w="625" w:type="pct"/>
          </w:tcPr>
          <w:p w:rsidRPr="000B4D4D" w:rsidR="004814C6" w:rsidP="00800A85" w:rsidRDefault="004814C6" w14:paraId="3E10B12D"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2024.4.2</w:t>
            </w:r>
            <w:r w:rsidRPr="00CD05BC">
              <w:rPr>
                <w:rStyle w:val="eop"/>
                <w:rFonts w:cs="Segoe UI"/>
                <w:sz w:val="18"/>
                <w:szCs w:val="18"/>
              </w:rPr>
              <w:t xml:space="preserve"> </w:t>
            </w:r>
            <w:r w:rsidRPr="000B4D4D">
              <w:rPr>
                <w:rFonts w:ascii="Verdana" w:hAnsi="Verdana"/>
                <w:sz w:val="18"/>
                <w:szCs w:val="18"/>
                <w:lang w:val="en-US"/>
              </w:rPr>
              <w:t>2023.4.4 2022.4.5</w:t>
            </w:r>
          </w:p>
          <w:p w:rsidRPr="000B4D4D" w:rsidR="004814C6" w:rsidP="002D5F54" w:rsidRDefault="004814C6" w14:paraId="2169D41B" w14:textId="77777777">
            <w:pPr>
              <w:spacing w:line="276" w:lineRule="auto"/>
              <w:rPr>
                <w:szCs w:val="18"/>
              </w:rPr>
            </w:pPr>
          </w:p>
        </w:tc>
        <w:tc>
          <w:tcPr>
            <w:tcW w:w="1331" w:type="pct"/>
          </w:tcPr>
          <w:p w:rsidRPr="000B4D4D" w:rsidR="004814C6" w:rsidP="1A5CB1CB" w:rsidRDefault="004814C6" w14:paraId="73FAD198"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4814C6" w14:paraId="7847A07D" w14:textId="77777777">
            <w:pPr>
              <w:spacing w:line="276" w:lineRule="auto"/>
              <w:rPr>
                <w:rStyle w:val="normaltextrun"/>
                <w:rFonts w:cs="Segoe UI"/>
                <w:szCs w:val="18"/>
              </w:rPr>
            </w:pPr>
            <w:r w:rsidRPr="000B4D4D">
              <w:rPr>
                <w:rStyle w:val="normaltextrun"/>
                <w:rFonts w:cs="Segoe UI"/>
                <w:szCs w:val="18"/>
              </w:rPr>
              <w:t>On-track</w:t>
            </w:r>
          </w:p>
        </w:tc>
      </w:tr>
      <w:tr w:rsidRPr="000B4D4D" w:rsidR="004814C6" w:rsidTr="00A448E9" w14:paraId="1E6BE0AF" w14:textId="77777777">
        <w:trPr>
          <w:trHeight w:val="300"/>
        </w:trPr>
        <w:tc>
          <w:tcPr>
            <w:tcW w:w="4300" w:type="pct"/>
            <w:gridSpan w:val="5"/>
          </w:tcPr>
          <w:p w:rsidRPr="000B4D4D" w:rsidR="004814C6" w:rsidP="00800A85" w:rsidRDefault="004814C6" w14:paraId="59C1CAB3" w14:textId="77777777">
            <w:pPr>
              <w:spacing w:line="276" w:lineRule="auto"/>
              <w:rPr>
                <w:b/>
                <w:bCs/>
                <w:szCs w:val="18"/>
              </w:rPr>
            </w:pPr>
            <w:r w:rsidRPr="000B4D4D">
              <w:rPr>
                <w:b/>
                <w:bCs/>
                <w:szCs w:val="18"/>
              </w:rPr>
              <w:t xml:space="preserve">Transitie naar hernieuwbare energie </w:t>
            </w:r>
          </w:p>
        </w:tc>
        <w:tc>
          <w:tcPr>
            <w:tcW w:w="700" w:type="pct"/>
          </w:tcPr>
          <w:p w:rsidRPr="000B4D4D" w:rsidR="004814C6" w:rsidP="002D5F54" w:rsidRDefault="004814C6" w14:paraId="7A8A159B" w14:textId="77777777">
            <w:pPr>
              <w:spacing w:line="276" w:lineRule="auto"/>
              <w:rPr>
                <w:b/>
                <w:bCs/>
                <w:szCs w:val="18"/>
              </w:rPr>
            </w:pPr>
          </w:p>
        </w:tc>
      </w:tr>
      <w:tr w:rsidRPr="000B4D4D" w:rsidR="00A448E9" w:rsidTr="00A448E9" w14:paraId="4FAB49DC" w14:textId="77777777">
        <w:trPr>
          <w:trHeight w:val="300"/>
        </w:trPr>
        <w:tc>
          <w:tcPr>
            <w:tcW w:w="310" w:type="pct"/>
          </w:tcPr>
          <w:p w:rsidRPr="000B4D4D" w:rsidR="004814C6" w:rsidP="1A5CB1CB" w:rsidRDefault="004814C6" w14:paraId="2B975957" w14:textId="77777777">
            <w:pPr>
              <w:spacing w:line="276" w:lineRule="auto"/>
              <w:rPr>
                <w:szCs w:val="18"/>
              </w:rPr>
            </w:pPr>
            <w:r w:rsidRPr="000B4D4D">
              <w:rPr>
                <w:szCs w:val="18"/>
              </w:rPr>
              <w:lastRenderedPageBreak/>
              <w:t>3</w:t>
            </w:r>
          </w:p>
        </w:tc>
        <w:tc>
          <w:tcPr>
            <w:tcW w:w="1408" w:type="pct"/>
          </w:tcPr>
          <w:p w:rsidRPr="000B4D4D" w:rsidR="004814C6" w:rsidP="1A5CB1CB" w:rsidRDefault="004814C6" w14:paraId="684B282F" w14:textId="56489F6F">
            <w:pPr>
              <w:spacing w:line="276" w:lineRule="auto"/>
              <w:rPr>
                <w:szCs w:val="18"/>
              </w:rPr>
            </w:pPr>
            <w:r w:rsidRPr="000B4D4D">
              <w:rPr>
                <w:rStyle w:val="normaltextrun"/>
                <w:rFonts w:cs="Segoe UI"/>
                <w:szCs w:val="18"/>
              </w:rPr>
              <w:t>Hervorming: Landelijke Actieprogramma Netcongestie</w:t>
            </w:r>
            <w:r w:rsidRPr="000B4D4D" w:rsidR="00F57EFE">
              <w:rPr>
                <w:rStyle w:val="normaltextrun"/>
                <w:rFonts w:cs="Segoe UI"/>
                <w:szCs w:val="18"/>
              </w:rPr>
              <w:t>*</w:t>
            </w:r>
            <w:r w:rsidRPr="000B4D4D">
              <w:rPr>
                <w:rStyle w:val="eop"/>
                <w:rFonts w:cs="Segoe UI"/>
                <w:szCs w:val="18"/>
              </w:rPr>
              <w:t> </w:t>
            </w:r>
          </w:p>
        </w:tc>
        <w:tc>
          <w:tcPr>
            <w:tcW w:w="626" w:type="pct"/>
          </w:tcPr>
          <w:p w:rsidRPr="000B4D4D" w:rsidR="004814C6" w:rsidP="00800A85" w:rsidRDefault="004814C6" w14:paraId="26517B27" w14:textId="77777777">
            <w:pPr>
              <w:spacing w:after="160" w:line="276" w:lineRule="auto"/>
              <w:rPr>
                <w:rFonts w:eastAsia="Verdana" w:cs="Verdana"/>
                <w:szCs w:val="18"/>
              </w:rPr>
            </w:pPr>
            <w:r w:rsidRPr="000B4D4D">
              <w:rPr>
                <w:rFonts w:eastAsia="Verdana" w:cs="Verdana"/>
                <w:szCs w:val="18"/>
              </w:rPr>
              <w:t>HVP (C8-R1)</w:t>
            </w:r>
          </w:p>
          <w:p w:rsidRPr="000B4D4D" w:rsidR="004814C6" w:rsidP="002D5F54" w:rsidRDefault="004814C6" w14:paraId="1EEE461C" w14:textId="77777777">
            <w:pPr>
              <w:spacing w:line="276" w:lineRule="auto"/>
              <w:rPr>
                <w:szCs w:val="18"/>
              </w:rPr>
            </w:pPr>
          </w:p>
        </w:tc>
        <w:tc>
          <w:tcPr>
            <w:tcW w:w="625" w:type="pct"/>
          </w:tcPr>
          <w:p w:rsidRPr="000B4D4D" w:rsidR="004814C6" w:rsidP="1A5CB1CB" w:rsidRDefault="004814C6" w14:paraId="360469D4" w14:textId="40878A79">
            <w:pPr>
              <w:spacing w:line="276" w:lineRule="auto"/>
              <w:rPr>
                <w:szCs w:val="18"/>
              </w:rPr>
            </w:pPr>
            <w:r w:rsidRPr="000B4D4D">
              <w:rPr>
                <w:rStyle w:val="normaltextrun"/>
                <w:rFonts w:cs="Segoe UI"/>
                <w:szCs w:val="18"/>
              </w:rPr>
              <w:t xml:space="preserve">2024.4.1 2023.4.2 2022.4.2 </w:t>
            </w:r>
          </w:p>
        </w:tc>
        <w:tc>
          <w:tcPr>
            <w:tcW w:w="1331" w:type="pct"/>
          </w:tcPr>
          <w:p w:rsidRPr="000B4D4D" w:rsidR="004814C6" w:rsidP="1A5CB1CB" w:rsidRDefault="004814C6" w14:paraId="625CB2B2"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Energiezekerheid</w:t>
            </w:r>
          </w:p>
        </w:tc>
        <w:tc>
          <w:tcPr>
            <w:tcW w:w="700" w:type="pct"/>
          </w:tcPr>
          <w:p w:rsidRPr="000B4D4D" w:rsidR="004814C6" w:rsidP="00800A85" w:rsidRDefault="004814C6" w14:paraId="194037D9" w14:textId="77777777">
            <w:pPr>
              <w:spacing w:line="276" w:lineRule="auto"/>
              <w:rPr>
                <w:rStyle w:val="normaltextrun"/>
                <w:rFonts w:cs="Segoe UI"/>
                <w:szCs w:val="18"/>
              </w:rPr>
            </w:pPr>
            <w:r w:rsidRPr="000B4D4D">
              <w:rPr>
                <w:rStyle w:val="normaltextrun"/>
                <w:rFonts w:cs="Segoe UI"/>
                <w:szCs w:val="18"/>
              </w:rPr>
              <w:t>On-track</w:t>
            </w:r>
          </w:p>
        </w:tc>
      </w:tr>
      <w:tr w:rsidRPr="000B4D4D" w:rsidR="00A448E9" w:rsidTr="00A448E9" w14:paraId="216B35A9" w14:textId="77777777">
        <w:trPr>
          <w:trHeight w:val="300"/>
        </w:trPr>
        <w:tc>
          <w:tcPr>
            <w:tcW w:w="310" w:type="pct"/>
          </w:tcPr>
          <w:p w:rsidRPr="000B4D4D" w:rsidR="004814C6" w:rsidP="1A5CB1CB" w:rsidRDefault="004814C6" w14:paraId="793D6871" w14:textId="77777777">
            <w:pPr>
              <w:spacing w:line="276" w:lineRule="auto"/>
              <w:rPr>
                <w:szCs w:val="18"/>
              </w:rPr>
            </w:pPr>
            <w:r w:rsidRPr="000B4D4D">
              <w:rPr>
                <w:szCs w:val="18"/>
              </w:rPr>
              <w:t>4</w:t>
            </w:r>
          </w:p>
        </w:tc>
        <w:tc>
          <w:tcPr>
            <w:tcW w:w="1408" w:type="pct"/>
          </w:tcPr>
          <w:p w:rsidRPr="000B4D4D" w:rsidR="004814C6" w:rsidP="1A5CB1CB" w:rsidRDefault="004814C6" w14:paraId="43DCA9FE" w14:textId="3B194FCC">
            <w:pPr>
              <w:spacing w:line="276" w:lineRule="auto"/>
              <w:rPr>
                <w:szCs w:val="18"/>
              </w:rPr>
            </w:pPr>
            <w:r w:rsidRPr="000B4D4D">
              <w:rPr>
                <w:rStyle w:val="normaltextrun"/>
                <w:rFonts w:cs="Segoe UI"/>
                <w:szCs w:val="18"/>
              </w:rPr>
              <w:t>Investering: Meerjarenprogramma Infrastructuur Energie en Klimaat</w:t>
            </w:r>
            <w:r w:rsidRPr="000B4D4D" w:rsidR="00F57EFE">
              <w:rPr>
                <w:rStyle w:val="normaltextrun"/>
                <w:rFonts w:cs="Segoe UI"/>
                <w:szCs w:val="18"/>
              </w:rPr>
              <w:t>*</w:t>
            </w:r>
            <w:r w:rsidRPr="000B4D4D">
              <w:rPr>
                <w:rStyle w:val="eop"/>
                <w:rFonts w:cs="Segoe UI"/>
                <w:szCs w:val="18"/>
              </w:rPr>
              <w:t> </w:t>
            </w:r>
          </w:p>
        </w:tc>
        <w:tc>
          <w:tcPr>
            <w:tcW w:w="626" w:type="pct"/>
          </w:tcPr>
          <w:p w:rsidRPr="000B4D4D" w:rsidR="004814C6" w:rsidP="00800A85" w:rsidRDefault="004814C6" w14:paraId="03724154" w14:textId="684C2CA6">
            <w:pPr>
              <w:spacing w:after="160" w:line="276" w:lineRule="auto"/>
              <w:rPr>
                <w:rFonts w:eastAsia="Verdana" w:cs="Verdana"/>
                <w:szCs w:val="18"/>
              </w:rPr>
            </w:pPr>
            <w:r w:rsidRPr="000B4D4D">
              <w:rPr>
                <w:rFonts w:eastAsia="Verdana" w:cs="Verdana"/>
                <w:szCs w:val="18"/>
              </w:rPr>
              <w:t>HVP (C8-R1)</w:t>
            </w:r>
          </w:p>
          <w:p w:rsidRPr="000B4D4D" w:rsidR="004814C6" w:rsidP="002D5F54" w:rsidRDefault="004814C6" w14:paraId="5140F501" w14:textId="77777777">
            <w:pPr>
              <w:spacing w:line="276" w:lineRule="auto"/>
              <w:rPr>
                <w:szCs w:val="18"/>
              </w:rPr>
            </w:pPr>
          </w:p>
        </w:tc>
        <w:tc>
          <w:tcPr>
            <w:tcW w:w="625" w:type="pct"/>
          </w:tcPr>
          <w:p w:rsidRPr="000B4D4D" w:rsidR="004814C6" w:rsidP="00800A85" w:rsidRDefault="004814C6" w14:paraId="4403F7C3" w14:textId="77777777">
            <w:pPr>
              <w:spacing w:line="276" w:lineRule="auto"/>
              <w:rPr>
                <w:rStyle w:val="normaltextrun"/>
                <w:rFonts w:cs="Segoe UI"/>
                <w:szCs w:val="18"/>
              </w:rPr>
            </w:pPr>
            <w:r w:rsidRPr="000B4D4D">
              <w:rPr>
                <w:rStyle w:val="normaltextrun"/>
                <w:rFonts w:cs="Segoe UI"/>
                <w:szCs w:val="18"/>
              </w:rPr>
              <w:t>2024.4.1</w:t>
            </w:r>
          </w:p>
          <w:p w:rsidRPr="000B4D4D" w:rsidR="004814C6" w:rsidP="1A5CB1CB" w:rsidRDefault="004814C6" w14:paraId="6744C9DB" w14:textId="77777777">
            <w:pPr>
              <w:spacing w:line="276" w:lineRule="auto"/>
              <w:rPr>
                <w:szCs w:val="18"/>
              </w:rPr>
            </w:pPr>
            <w:r w:rsidRPr="000B4D4D">
              <w:rPr>
                <w:rStyle w:val="normaltextrun"/>
                <w:rFonts w:cs="Segoe UI"/>
                <w:szCs w:val="18"/>
              </w:rPr>
              <w:t>2023.4.2 2022.4.2 2020.3.4</w:t>
            </w:r>
            <w:r w:rsidRPr="000B4D4D">
              <w:rPr>
                <w:rStyle w:val="eop"/>
                <w:rFonts w:cs="Segoe UI"/>
                <w:szCs w:val="18"/>
              </w:rPr>
              <w:t> </w:t>
            </w:r>
          </w:p>
        </w:tc>
        <w:tc>
          <w:tcPr>
            <w:tcW w:w="1331" w:type="pct"/>
          </w:tcPr>
          <w:p w:rsidRPr="000B4D4D" w:rsidR="004814C6" w:rsidP="1A5CB1CB" w:rsidRDefault="004814C6" w14:paraId="5500C47A"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4814C6" w14:paraId="197E6812" w14:textId="77777777">
            <w:pPr>
              <w:spacing w:line="276" w:lineRule="auto"/>
              <w:rPr>
                <w:rStyle w:val="normaltextrun"/>
                <w:rFonts w:cs="Segoe UI"/>
                <w:szCs w:val="18"/>
              </w:rPr>
            </w:pPr>
            <w:r w:rsidRPr="000B4D4D">
              <w:rPr>
                <w:rStyle w:val="normaltextrun"/>
                <w:rFonts w:cs="Segoe UI"/>
                <w:szCs w:val="18"/>
              </w:rPr>
              <w:t>On-track</w:t>
            </w:r>
          </w:p>
        </w:tc>
      </w:tr>
      <w:tr w:rsidRPr="000B4D4D" w:rsidR="00A448E9" w:rsidTr="00A448E9" w14:paraId="392D15E4" w14:textId="77777777">
        <w:trPr>
          <w:trHeight w:val="300"/>
        </w:trPr>
        <w:tc>
          <w:tcPr>
            <w:tcW w:w="310" w:type="pct"/>
          </w:tcPr>
          <w:p w:rsidRPr="000B4D4D" w:rsidR="004814C6" w:rsidP="00800A85" w:rsidRDefault="004814C6" w14:paraId="28F653EF" w14:textId="77777777">
            <w:pPr>
              <w:spacing w:line="276" w:lineRule="auto"/>
              <w:rPr>
                <w:rStyle w:val="normaltextrun"/>
                <w:rFonts w:cs="Segoe UI"/>
                <w:szCs w:val="18"/>
              </w:rPr>
            </w:pPr>
            <w:r w:rsidRPr="000B4D4D">
              <w:rPr>
                <w:szCs w:val="18"/>
              </w:rPr>
              <w:t>5</w:t>
            </w:r>
          </w:p>
        </w:tc>
        <w:tc>
          <w:tcPr>
            <w:tcW w:w="1408" w:type="pct"/>
          </w:tcPr>
          <w:p w:rsidRPr="000B4D4D" w:rsidR="004814C6" w:rsidP="1A5CB1CB" w:rsidRDefault="004814C6" w14:paraId="0CFED2DE" w14:textId="73AEFA93">
            <w:pPr>
              <w:spacing w:line="276" w:lineRule="auto"/>
              <w:rPr>
                <w:szCs w:val="18"/>
              </w:rPr>
            </w:pPr>
            <w:r w:rsidRPr="000B4D4D">
              <w:rPr>
                <w:rStyle w:val="normaltextrun"/>
                <w:rFonts w:cs="Segoe UI"/>
                <w:szCs w:val="18"/>
              </w:rPr>
              <w:t>Investering: Programma Energiehoofdstructuur</w:t>
            </w:r>
            <w:r w:rsidRPr="000B4D4D" w:rsidR="00F57EFE">
              <w:rPr>
                <w:rStyle w:val="normaltextrun"/>
                <w:rFonts w:cs="Segoe UI"/>
                <w:szCs w:val="18"/>
              </w:rPr>
              <w:t>*</w:t>
            </w:r>
          </w:p>
        </w:tc>
        <w:tc>
          <w:tcPr>
            <w:tcW w:w="626" w:type="pct"/>
          </w:tcPr>
          <w:p w:rsidRPr="000B4D4D" w:rsidR="004814C6" w:rsidP="1A5CB1CB" w:rsidRDefault="004814C6" w14:paraId="26EC365D" w14:textId="77777777">
            <w:pPr>
              <w:spacing w:line="276" w:lineRule="auto"/>
              <w:rPr>
                <w:szCs w:val="18"/>
              </w:rPr>
            </w:pPr>
            <w:r w:rsidRPr="000B4D4D">
              <w:rPr>
                <w:rStyle w:val="eop"/>
                <w:rFonts w:cs="Segoe UI"/>
                <w:szCs w:val="18"/>
              </w:rPr>
              <w:t>-</w:t>
            </w:r>
          </w:p>
        </w:tc>
        <w:tc>
          <w:tcPr>
            <w:tcW w:w="625" w:type="pct"/>
          </w:tcPr>
          <w:p w:rsidRPr="000B4D4D" w:rsidR="004814C6" w:rsidP="00800A85" w:rsidRDefault="004814C6" w14:paraId="4EEE4B9A" w14:textId="77777777">
            <w:pPr>
              <w:pStyle w:val="paragraph"/>
              <w:spacing w:before="0" w:beforeAutospacing="0" w:after="0" w:afterAutospacing="0"/>
              <w:textAlignment w:val="baseline"/>
              <w:rPr>
                <w:rFonts w:ascii="Verdana" w:hAnsi="Verdana"/>
                <w:sz w:val="18"/>
                <w:szCs w:val="18"/>
                <w:lang w:val="en-US"/>
              </w:rPr>
            </w:pPr>
            <w:r w:rsidRPr="000B4D4D">
              <w:rPr>
                <w:rStyle w:val="normaltextrun"/>
                <w:rFonts w:ascii="Verdana" w:hAnsi="Verdana" w:cs="Segoe UI"/>
                <w:sz w:val="18"/>
                <w:szCs w:val="18"/>
              </w:rPr>
              <w:t>2024.4.1 2023.4.2 2022.4.2 2020.3.4</w:t>
            </w:r>
            <w:r w:rsidRPr="00CD05BC">
              <w:rPr>
                <w:rStyle w:val="eop"/>
                <w:rFonts w:cs="Segoe UI"/>
                <w:sz w:val="18"/>
                <w:szCs w:val="18"/>
              </w:rPr>
              <w:t> </w:t>
            </w:r>
          </w:p>
        </w:tc>
        <w:tc>
          <w:tcPr>
            <w:tcW w:w="1331" w:type="pct"/>
          </w:tcPr>
          <w:p w:rsidRPr="000B4D4D" w:rsidR="004814C6" w:rsidP="1A5CB1CB" w:rsidRDefault="004814C6" w14:paraId="26D7272B"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4814C6" w14:paraId="27065665" w14:textId="77777777">
            <w:pPr>
              <w:spacing w:line="276" w:lineRule="auto"/>
              <w:rPr>
                <w:rStyle w:val="normaltextrun"/>
                <w:rFonts w:cs="Segoe UI"/>
                <w:szCs w:val="18"/>
              </w:rPr>
            </w:pPr>
            <w:r w:rsidRPr="000B4D4D">
              <w:rPr>
                <w:rStyle w:val="normaltextrun"/>
                <w:rFonts w:cs="Segoe UI"/>
                <w:szCs w:val="18"/>
              </w:rPr>
              <w:t>On-track</w:t>
            </w:r>
          </w:p>
        </w:tc>
      </w:tr>
      <w:tr w:rsidRPr="000B4D4D" w:rsidR="00A448E9" w:rsidTr="00A448E9" w14:paraId="2AC4A32B" w14:textId="77777777">
        <w:trPr>
          <w:trHeight w:val="300"/>
        </w:trPr>
        <w:tc>
          <w:tcPr>
            <w:tcW w:w="310" w:type="pct"/>
          </w:tcPr>
          <w:p w:rsidRPr="000B4D4D" w:rsidR="004814C6" w:rsidP="00800A85" w:rsidRDefault="004814C6" w14:paraId="11ADA452" w14:textId="77777777">
            <w:pPr>
              <w:spacing w:line="276" w:lineRule="auto"/>
              <w:rPr>
                <w:rStyle w:val="normaltextrun"/>
                <w:rFonts w:cs="Segoe UI"/>
                <w:szCs w:val="18"/>
              </w:rPr>
            </w:pPr>
            <w:r w:rsidRPr="000B4D4D">
              <w:rPr>
                <w:szCs w:val="18"/>
              </w:rPr>
              <w:t>6</w:t>
            </w:r>
          </w:p>
        </w:tc>
        <w:tc>
          <w:tcPr>
            <w:tcW w:w="1408" w:type="pct"/>
          </w:tcPr>
          <w:p w:rsidRPr="000B4D4D" w:rsidR="004814C6" w:rsidP="1A5CB1CB" w:rsidRDefault="004814C6" w14:paraId="4D85A51F" w14:textId="32158A0E">
            <w:pPr>
              <w:spacing w:line="276" w:lineRule="auto"/>
              <w:rPr>
                <w:szCs w:val="18"/>
              </w:rPr>
            </w:pPr>
            <w:r w:rsidRPr="000B4D4D">
              <w:rPr>
                <w:rStyle w:val="normaltextrun"/>
                <w:rFonts w:cs="Segoe UI"/>
                <w:szCs w:val="18"/>
                <w:lang w:val="en-US"/>
              </w:rPr>
              <w:t>Hervorming: Omgevingswet</w:t>
            </w:r>
            <w:r w:rsidRPr="000B4D4D" w:rsidR="00F57EFE">
              <w:rPr>
                <w:rStyle w:val="normaltextrun"/>
                <w:rFonts w:cs="Segoe UI"/>
                <w:szCs w:val="18"/>
                <w:lang w:val="en-US"/>
              </w:rPr>
              <w:t>*</w:t>
            </w:r>
          </w:p>
        </w:tc>
        <w:tc>
          <w:tcPr>
            <w:tcW w:w="626" w:type="pct"/>
          </w:tcPr>
          <w:p w:rsidRPr="000B4D4D" w:rsidR="004814C6" w:rsidP="1A5CB1CB" w:rsidRDefault="004814C6" w14:paraId="1B1C6D1B" w14:textId="77777777">
            <w:pPr>
              <w:spacing w:line="276" w:lineRule="auto"/>
              <w:rPr>
                <w:szCs w:val="18"/>
              </w:rPr>
            </w:pPr>
            <w:r w:rsidRPr="000B4D4D">
              <w:rPr>
                <w:rStyle w:val="eop"/>
                <w:rFonts w:cs="Segoe UI"/>
                <w:szCs w:val="18"/>
              </w:rPr>
              <w:t>-</w:t>
            </w:r>
          </w:p>
        </w:tc>
        <w:tc>
          <w:tcPr>
            <w:tcW w:w="625" w:type="pct"/>
          </w:tcPr>
          <w:p w:rsidRPr="000B4D4D" w:rsidR="004814C6" w:rsidP="00800A85" w:rsidRDefault="004814C6" w14:paraId="2C926C4B" w14:textId="77777777">
            <w:pPr>
              <w:spacing w:line="276" w:lineRule="auto"/>
              <w:rPr>
                <w:szCs w:val="18"/>
                <w:lang w:val="en-US"/>
              </w:rPr>
            </w:pPr>
            <w:r w:rsidRPr="000B4D4D">
              <w:rPr>
                <w:rStyle w:val="normaltextrun"/>
                <w:rFonts w:cs="Segoe UI"/>
                <w:szCs w:val="18"/>
              </w:rPr>
              <w:t>2022.4.2</w:t>
            </w:r>
            <w:r w:rsidRPr="000B4D4D">
              <w:rPr>
                <w:rStyle w:val="eop"/>
                <w:rFonts w:cs="Segoe UI"/>
                <w:szCs w:val="18"/>
              </w:rPr>
              <w:t> </w:t>
            </w:r>
          </w:p>
        </w:tc>
        <w:tc>
          <w:tcPr>
            <w:tcW w:w="1331" w:type="pct"/>
          </w:tcPr>
          <w:p w:rsidRPr="000B4D4D" w:rsidR="004814C6" w:rsidP="1A5CB1CB" w:rsidRDefault="004814C6" w14:paraId="085137AA"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4814C6" w14:paraId="2ED13400" w14:textId="77777777">
            <w:pPr>
              <w:spacing w:line="276" w:lineRule="auto"/>
              <w:rPr>
                <w:rStyle w:val="normaltextrun"/>
                <w:rFonts w:cs="Segoe UI"/>
                <w:szCs w:val="18"/>
              </w:rPr>
            </w:pPr>
            <w:r w:rsidRPr="000B4D4D">
              <w:rPr>
                <w:rStyle w:val="normaltextrun"/>
                <w:rFonts w:cs="Segoe UI"/>
                <w:szCs w:val="18"/>
              </w:rPr>
              <w:t>Completed</w:t>
            </w:r>
          </w:p>
        </w:tc>
      </w:tr>
      <w:tr w:rsidRPr="000B4D4D" w:rsidR="00A448E9" w:rsidTr="00A448E9" w14:paraId="7B83009C" w14:textId="77777777">
        <w:trPr>
          <w:trHeight w:val="300"/>
        </w:trPr>
        <w:tc>
          <w:tcPr>
            <w:tcW w:w="310" w:type="pct"/>
          </w:tcPr>
          <w:p w:rsidRPr="000B4D4D" w:rsidR="004814C6" w:rsidP="00800A85" w:rsidRDefault="004814C6" w14:paraId="54B460D1" w14:textId="77777777">
            <w:pPr>
              <w:spacing w:line="276" w:lineRule="auto"/>
              <w:rPr>
                <w:rStyle w:val="normaltextrun"/>
                <w:rFonts w:cs="Segoe UI"/>
                <w:szCs w:val="18"/>
              </w:rPr>
            </w:pPr>
            <w:r w:rsidRPr="000B4D4D">
              <w:rPr>
                <w:szCs w:val="18"/>
              </w:rPr>
              <w:t>7</w:t>
            </w:r>
          </w:p>
        </w:tc>
        <w:tc>
          <w:tcPr>
            <w:tcW w:w="1408" w:type="pct"/>
          </w:tcPr>
          <w:p w:rsidRPr="000B4D4D" w:rsidR="004814C6" w:rsidP="1A5CB1CB" w:rsidRDefault="004814C6" w14:paraId="26F3149C" w14:textId="55F9C96B">
            <w:pPr>
              <w:spacing w:line="276" w:lineRule="auto"/>
              <w:rPr>
                <w:szCs w:val="18"/>
              </w:rPr>
            </w:pPr>
            <w:r w:rsidRPr="000B4D4D">
              <w:rPr>
                <w:rStyle w:val="normaltextrun"/>
                <w:rFonts w:cs="Segoe UI"/>
                <w:szCs w:val="18"/>
              </w:rPr>
              <w:t>Hervorming: SDE ++</w:t>
            </w:r>
            <w:r w:rsidRPr="000B4D4D" w:rsidR="00F57EFE">
              <w:rPr>
                <w:rStyle w:val="normaltextrun"/>
                <w:rFonts w:cs="Segoe UI"/>
                <w:szCs w:val="18"/>
              </w:rPr>
              <w:t>*</w:t>
            </w:r>
          </w:p>
        </w:tc>
        <w:tc>
          <w:tcPr>
            <w:tcW w:w="626" w:type="pct"/>
          </w:tcPr>
          <w:p w:rsidRPr="000B4D4D" w:rsidR="004814C6" w:rsidP="00800A85" w:rsidRDefault="004814C6" w14:paraId="566A609D" w14:textId="77777777">
            <w:pPr>
              <w:spacing w:line="276" w:lineRule="auto"/>
              <w:rPr>
                <w:rStyle w:val="eop"/>
                <w:rFonts w:cs="Segoe UI"/>
                <w:szCs w:val="18"/>
              </w:rPr>
            </w:pPr>
            <w:r w:rsidRPr="000B4D4D">
              <w:rPr>
                <w:rStyle w:val="eop"/>
                <w:rFonts w:cs="Segoe UI"/>
                <w:szCs w:val="18"/>
              </w:rPr>
              <w:t>-</w:t>
            </w:r>
          </w:p>
        </w:tc>
        <w:tc>
          <w:tcPr>
            <w:tcW w:w="625" w:type="pct"/>
          </w:tcPr>
          <w:p w:rsidRPr="000B4D4D" w:rsidR="004814C6" w:rsidP="00800A85" w:rsidRDefault="004814C6" w14:paraId="4A094CDD"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2023.4.2 2022.4.2 2020.3.4</w:t>
            </w:r>
          </w:p>
          <w:p w:rsidRPr="000B4D4D" w:rsidR="004814C6" w:rsidP="1A5CB1CB" w:rsidRDefault="004814C6" w14:paraId="61D68E5A" w14:textId="77777777">
            <w:pPr>
              <w:spacing w:line="276" w:lineRule="auto"/>
              <w:rPr>
                <w:szCs w:val="18"/>
              </w:rPr>
            </w:pPr>
            <w:r w:rsidRPr="000B4D4D">
              <w:rPr>
                <w:rStyle w:val="normaltextrun"/>
                <w:rFonts w:cs="Segoe UI"/>
                <w:szCs w:val="18"/>
                <w:lang w:val="en-US"/>
              </w:rPr>
              <w:t>2019.3.3</w:t>
            </w:r>
            <w:r w:rsidRPr="000B4D4D">
              <w:rPr>
                <w:rStyle w:val="eop"/>
                <w:rFonts w:cs="Segoe UI"/>
                <w:szCs w:val="18"/>
              </w:rPr>
              <w:t> </w:t>
            </w:r>
          </w:p>
        </w:tc>
        <w:tc>
          <w:tcPr>
            <w:tcW w:w="1331" w:type="pct"/>
          </w:tcPr>
          <w:p w:rsidRPr="000B4D4D" w:rsidR="004814C6" w:rsidP="1A5CB1CB" w:rsidRDefault="004814C6" w14:paraId="7F200B40"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4814C6" w14:paraId="0B5CA06C" w14:textId="77777777">
            <w:pPr>
              <w:spacing w:line="276" w:lineRule="auto"/>
              <w:rPr>
                <w:rStyle w:val="normaltextrun"/>
                <w:rFonts w:cs="Segoe UI"/>
                <w:szCs w:val="18"/>
              </w:rPr>
            </w:pPr>
            <w:r w:rsidRPr="000B4D4D">
              <w:rPr>
                <w:rStyle w:val="normaltextrun"/>
                <w:rFonts w:cs="Segoe UI"/>
                <w:szCs w:val="18"/>
              </w:rPr>
              <w:t>On-track</w:t>
            </w:r>
          </w:p>
        </w:tc>
      </w:tr>
      <w:tr w:rsidRPr="000B4D4D" w:rsidR="00A448E9" w:rsidTr="00A448E9" w14:paraId="549E3EF1" w14:textId="77777777">
        <w:trPr>
          <w:trHeight w:val="300"/>
        </w:trPr>
        <w:tc>
          <w:tcPr>
            <w:tcW w:w="310" w:type="pct"/>
          </w:tcPr>
          <w:p w:rsidRPr="000B4D4D" w:rsidR="004814C6" w:rsidP="00800A85" w:rsidRDefault="004814C6" w14:paraId="6BBB5568" w14:textId="77777777">
            <w:pPr>
              <w:spacing w:line="276" w:lineRule="auto"/>
              <w:rPr>
                <w:rStyle w:val="normaltextrun"/>
                <w:rFonts w:cs="Segoe UI"/>
                <w:szCs w:val="18"/>
              </w:rPr>
            </w:pPr>
            <w:r w:rsidRPr="000B4D4D">
              <w:rPr>
                <w:szCs w:val="18"/>
              </w:rPr>
              <w:t>8</w:t>
            </w:r>
          </w:p>
        </w:tc>
        <w:tc>
          <w:tcPr>
            <w:tcW w:w="1408" w:type="pct"/>
          </w:tcPr>
          <w:p w:rsidRPr="000B4D4D" w:rsidR="004814C6" w:rsidP="1A5CB1CB" w:rsidRDefault="004814C6" w14:paraId="0CC876FD" w14:textId="1FA4C391">
            <w:pPr>
              <w:spacing w:line="276" w:lineRule="auto"/>
              <w:rPr>
                <w:szCs w:val="18"/>
              </w:rPr>
            </w:pPr>
            <w:r w:rsidRPr="000B4D4D">
              <w:rPr>
                <w:rStyle w:val="normaltextrun"/>
                <w:rFonts w:cs="Segoe UI"/>
                <w:szCs w:val="18"/>
              </w:rPr>
              <w:t>Investering : Klimaat- en Transitiefonds</w:t>
            </w:r>
            <w:r w:rsidRPr="000B4D4D" w:rsidR="00F57EFE">
              <w:rPr>
                <w:rStyle w:val="normaltextrun"/>
                <w:rFonts w:cs="Segoe UI"/>
                <w:szCs w:val="18"/>
              </w:rPr>
              <w:t>*</w:t>
            </w:r>
          </w:p>
        </w:tc>
        <w:tc>
          <w:tcPr>
            <w:tcW w:w="626" w:type="pct"/>
          </w:tcPr>
          <w:p w:rsidRPr="000B4D4D" w:rsidR="004814C6" w:rsidP="00800A85" w:rsidRDefault="004814C6" w14:paraId="0189734C" w14:textId="77777777">
            <w:pPr>
              <w:spacing w:line="276" w:lineRule="auto"/>
              <w:rPr>
                <w:rStyle w:val="eop"/>
                <w:rFonts w:cs="Segoe UI"/>
                <w:szCs w:val="18"/>
              </w:rPr>
            </w:pPr>
            <w:r w:rsidRPr="000B4D4D">
              <w:rPr>
                <w:rStyle w:val="eop"/>
                <w:rFonts w:cs="Segoe UI"/>
                <w:szCs w:val="18"/>
              </w:rPr>
              <w:t>-</w:t>
            </w:r>
          </w:p>
        </w:tc>
        <w:tc>
          <w:tcPr>
            <w:tcW w:w="625" w:type="pct"/>
          </w:tcPr>
          <w:p w:rsidRPr="000B4D4D" w:rsidR="004814C6" w:rsidP="00800A85" w:rsidRDefault="004814C6" w14:paraId="1118E49B"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2023.4.2 2022.4.2 2020.3.4 </w:t>
            </w:r>
            <w:r w:rsidRPr="00CD05BC">
              <w:rPr>
                <w:rStyle w:val="eop"/>
                <w:rFonts w:cs="Segoe UI"/>
                <w:sz w:val="18"/>
                <w:szCs w:val="18"/>
              </w:rPr>
              <w:t> </w:t>
            </w:r>
          </w:p>
          <w:p w:rsidRPr="000B4D4D" w:rsidR="004814C6" w:rsidP="1A5CB1CB" w:rsidRDefault="004814C6" w14:paraId="0306D86B" w14:textId="77777777">
            <w:pPr>
              <w:spacing w:line="276" w:lineRule="auto"/>
              <w:rPr>
                <w:szCs w:val="18"/>
              </w:rPr>
            </w:pPr>
            <w:r w:rsidRPr="000B4D4D">
              <w:rPr>
                <w:rStyle w:val="normaltextrun"/>
                <w:rFonts w:cs="Segoe UI"/>
                <w:szCs w:val="18"/>
                <w:lang w:val="en-US"/>
              </w:rPr>
              <w:t>2019.3.3</w:t>
            </w:r>
            <w:r w:rsidRPr="000B4D4D">
              <w:rPr>
                <w:rStyle w:val="eop"/>
                <w:rFonts w:cs="Segoe UI"/>
                <w:szCs w:val="18"/>
              </w:rPr>
              <w:t> </w:t>
            </w:r>
          </w:p>
        </w:tc>
        <w:tc>
          <w:tcPr>
            <w:tcW w:w="1331" w:type="pct"/>
          </w:tcPr>
          <w:p w:rsidRPr="000B4D4D" w:rsidR="004814C6" w:rsidP="1A5CB1CB" w:rsidRDefault="004814C6" w14:paraId="38A93223"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4814C6" w14:paraId="4DF53FD2" w14:textId="77777777">
            <w:pPr>
              <w:spacing w:line="276" w:lineRule="auto"/>
              <w:rPr>
                <w:rStyle w:val="normaltextrun"/>
                <w:rFonts w:cs="Segoe UI"/>
                <w:szCs w:val="18"/>
              </w:rPr>
            </w:pPr>
            <w:r w:rsidRPr="000B4D4D">
              <w:rPr>
                <w:rStyle w:val="normaltextrun"/>
                <w:rFonts w:cs="Segoe UI"/>
                <w:szCs w:val="18"/>
              </w:rPr>
              <w:t>On-track</w:t>
            </w:r>
          </w:p>
        </w:tc>
      </w:tr>
      <w:tr w:rsidRPr="000B4D4D" w:rsidR="004814C6" w:rsidTr="00A448E9" w14:paraId="0DCC2AFB" w14:textId="77777777">
        <w:trPr>
          <w:trHeight w:val="300"/>
        </w:trPr>
        <w:tc>
          <w:tcPr>
            <w:tcW w:w="4300" w:type="pct"/>
            <w:gridSpan w:val="5"/>
          </w:tcPr>
          <w:p w:rsidRPr="000B4D4D" w:rsidR="004814C6" w:rsidP="00800A85" w:rsidRDefault="004814C6" w14:paraId="55E193B8" w14:textId="77777777">
            <w:pPr>
              <w:spacing w:line="276" w:lineRule="auto"/>
              <w:rPr>
                <w:b/>
                <w:bCs/>
                <w:szCs w:val="18"/>
              </w:rPr>
            </w:pPr>
            <w:r w:rsidRPr="000B4D4D">
              <w:rPr>
                <w:b/>
                <w:bCs/>
                <w:szCs w:val="18"/>
              </w:rPr>
              <w:t xml:space="preserve">Energie-efficiëntie, met name in de </w:t>
            </w:r>
          </w:p>
          <w:p w:rsidRPr="000B4D4D" w:rsidR="004814C6" w:rsidP="1A5CB1CB" w:rsidRDefault="004814C6" w14:paraId="49ECD076" w14:textId="77777777">
            <w:pPr>
              <w:spacing w:line="276" w:lineRule="auto"/>
              <w:rPr>
                <w:szCs w:val="18"/>
              </w:rPr>
            </w:pPr>
            <w:r w:rsidRPr="000B4D4D">
              <w:rPr>
                <w:b/>
                <w:bCs/>
                <w:szCs w:val="18"/>
              </w:rPr>
              <w:t>gebouwde omgeving</w:t>
            </w:r>
            <w:r w:rsidRPr="000B4D4D">
              <w:rPr>
                <w:szCs w:val="18"/>
              </w:rPr>
              <w:t xml:space="preserve"> </w:t>
            </w:r>
          </w:p>
        </w:tc>
        <w:tc>
          <w:tcPr>
            <w:tcW w:w="700" w:type="pct"/>
          </w:tcPr>
          <w:p w:rsidRPr="000B4D4D" w:rsidR="004814C6" w:rsidP="002D5F54" w:rsidRDefault="004814C6" w14:paraId="1D0617CF" w14:textId="77777777">
            <w:pPr>
              <w:spacing w:line="276" w:lineRule="auto"/>
              <w:rPr>
                <w:b/>
                <w:bCs/>
                <w:szCs w:val="18"/>
              </w:rPr>
            </w:pPr>
          </w:p>
        </w:tc>
      </w:tr>
      <w:tr w:rsidRPr="000B4D4D" w:rsidR="00A448E9" w:rsidTr="00A448E9" w14:paraId="314B40AF" w14:textId="77777777">
        <w:trPr>
          <w:trHeight w:val="300"/>
        </w:trPr>
        <w:tc>
          <w:tcPr>
            <w:tcW w:w="310" w:type="pct"/>
          </w:tcPr>
          <w:p w:rsidRPr="000B4D4D" w:rsidR="004814C6" w:rsidP="00800A85" w:rsidRDefault="004814C6" w14:paraId="6C999D4C" w14:textId="77777777">
            <w:pPr>
              <w:spacing w:line="276" w:lineRule="auto"/>
              <w:rPr>
                <w:rStyle w:val="normaltextrun"/>
                <w:rFonts w:cs="Segoe UI"/>
                <w:szCs w:val="18"/>
              </w:rPr>
            </w:pPr>
            <w:r w:rsidRPr="000B4D4D">
              <w:rPr>
                <w:szCs w:val="18"/>
              </w:rPr>
              <w:t>9</w:t>
            </w:r>
          </w:p>
        </w:tc>
        <w:tc>
          <w:tcPr>
            <w:tcW w:w="1408" w:type="pct"/>
          </w:tcPr>
          <w:p w:rsidRPr="000B4D4D" w:rsidR="004814C6" w:rsidP="1A5CB1CB" w:rsidRDefault="004814C6" w14:paraId="5C345CB3" w14:textId="0FE010F1">
            <w:pPr>
              <w:spacing w:line="276" w:lineRule="auto"/>
              <w:rPr>
                <w:szCs w:val="18"/>
              </w:rPr>
            </w:pPr>
            <w:r w:rsidRPr="000B4D4D">
              <w:rPr>
                <w:rStyle w:val="normaltextrun"/>
                <w:rFonts w:cs="Segoe UI"/>
                <w:szCs w:val="18"/>
              </w:rPr>
              <w:t xml:space="preserve">Hervorming: </w:t>
            </w:r>
            <w:r w:rsidRPr="000B4D4D">
              <w:rPr>
                <w:rStyle w:val="scxw52732128"/>
                <w:rFonts w:cs="Segoe UI"/>
                <w:szCs w:val="18"/>
              </w:rPr>
              <w:t> </w:t>
            </w:r>
            <w:r w:rsidRPr="000B4D4D">
              <w:rPr>
                <w:szCs w:val="18"/>
              </w:rPr>
              <w:br/>
            </w:r>
            <w:r w:rsidRPr="000B4D4D">
              <w:rPr>
                <w:rStyle w:val="normaltextrun"/>
                <w:rFonts w:cs="Segoe UI"/>
                <w:szCs w:val="18"/>
              </w:rPr>
              <w:t>Programma Versnelling Verduurzaming Gebouwde Omgeving (PVGO)</w:t>
            </w:r>
            <w:r w:rsidRPr="000B4D4D" w:rsidR="00F57EFE">
              <w:rPr>
                <w:rStyle w:val="normaltextrun"/>
                <w:rFonts w:cs="Segoe UI"/>
                <w:szCs w:val="18"/>
              </w:rPr>
              <w:t>*</w:t>
            </w:r>
          </w:p>
        </w:tc>
        <w:tc>
          <w:tcPr>
            <w:tcW w:w="626" w:type="pct"/>
          </w:tcPr>
          <w:p w:rsidRPr="000B4D4D" w:rsidR="004814C6" w:rsidP="1A5CB1CB" w:rsidRDefault="004814C6" w14:paraId="5FD5350A" w14:textId="77777777">
            <w:pPr>
              <w:spacing w:line="276" w:lineRule="auto"/>
              <w:rPr>
                <w:szCs w:val="18"/>
              </w:rPr>
            </w:pPr>
            <w:r w:rsidRPr="000B4D4D">
              <w:rPr>
                <w:szCs w:val="18"/>
              </w:rPr>
              <w:t>-</w:t>
            </w:r>
          </w:p>
        </w:tc>
        <w:tc>
          <w:tcPr>
            <w:tcW w:w="625" w:type="pct"/>
          </w:tcPr>
          <w:p w:rsidRPr="000B4D4D" w:rsidR="004814C6" w:rsidP="1A5CB1CB" w:rsidRDefault="004814C6" w14:paraId="11609DB2" w14:textId="77777777">
            <w:pPr>
              <w:spacing w:line="276" w:lineRule="auto"/>
              <w:rPr>
                <w:szCs w:val="18"/>
              </w:rPr>
            </w:pPr>
            <w:r w:rsidRPr="000B4D4D">
              <w:rPr>
                <w:rStyle w:val="normaltextrun"/>
                <w:rFonts w:cs="Segoe UI"/>
                <w:szCs w:val="18"/>
                <w:lang w:val="en-US"/>
              </w:rPr>
              <w:t>2023.4.3</w:t>
            </w:r>
            <w:r w:rsidRPr="000B4D4D">
              <w:rPr>
                <w:rStyle w:val="eop"/>
                <w:rFonts w:cs="Segoe UI"/>
                <w:szCs w:val="18"/>
                <w:lang w:val="en-US"/>
              </w:rPr>
              <w:t xml:space="preserve"> </w:t>
            </w:r>
            <w:r w:rsidRPr="000B4D4D">
              <w:rPr>
                <w:rStyle w:val="normaltextrun"/>
                <w:rFonts w:cs="Segoe UI"/>
                <w:szCs w:val="18"/>
                <w:lang w:val="en-US"/>
              </w:rPr>
              <w:t xml:space="preserve">2022.4.3 </w:t>
            </w:r>
          </w:p>
        </w:tc>
        <w:tc>
          <w:tcPr>
            <w:tcW w:w="1331" w:type="pct"/>
          </w:tcPr>
          <w:p w:rsidRPr="000B4D4D" w:rsidR="004814C6" w:rsidP="1A5CB1CB" w:rsidRDefault="004814C6" w14:paraId="428E8011" w14:textId="77777777">
            <w:pPr>
              <w:spacing w:line="276" w:lineRule="auto"/>
              <w:rPr>
                <w:szCs w:val="18"/>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00800A85" w:rsidRDefault="00C46270" w14:paraId="6FD3F42C" w14:textId="708048DE">
            <w:pPr>
              <w:spacing w:line="276" w:lineRule="auto"/>
              <w:rPr>
                <w:rStyle w:val="normaltextrun"/>
                <w:rFonts w:cs="Segoe UI"/>
                <w:szCs w:val="18"/>
              </w:rPr>
            </w:pPr>
            <w:r w:rsidRPr="000B4D4D">
              <w:rPr>
                <w:rStyle w:val="normaltextrun"/>
                <w:rFonts w:cs="Segoe UI"/>
                <w:szCs w:val="18"/>
              </w:rPr>
              <w:t>On-track</w:t>
            </w:r>
          </w:p>
        </w:tc>
      </w:tr>
      <w:tr w:rsidRPr="000B4D4D" w:rsidR="00A448E9" w:rsidTr="00A448E9" w14:paraId="26A9A768" w14:textId="77777777">
        <w:trPr>
          <w:trHeight w:val="300"/>
        </w:trPr>
        <w:tc>
          <w:tcPr>
            <w:tcW w:w="310" w:type="pct"/>
          </w:tcPr>
          <w:p w:rsidRPr="000B4D4D" w:rsidR="004814C6" w:rsidP="00800A85" w:rsidRDefault="004814C6" w14:paraId="2EFD476D" w14:textId="5DFDB280">
            <w:pPr>
              <w:spacing w:line="276" w:lineRule="auto"/>
              <w:rPr>
                <w:rStyle w:val="normaltextrun"/>
                <w:rFonts w:cs="Segoe UI"/>
                <w:szCs w:val="18"/>
              </w:rPr>
            </w:pPr>
            <w:r w:rsidRPr="000B4D4D">
              <w:rPr>
                <w:szCs w:val="18"/>
              </w:rPr>
              <w:t>10</w:t>
            </w:r>
          </w:p>
        </w:tc>
        <w:tc>
          <w:tcPr>
            <w:tcW w:w="1408" w:type="pct"/>
          </w:tcPr>
          <w:p w:rsidRPr="000B4D4D" w:rsidR="004814C6" w:rsidP="1A5CB1CB" w:rsidRDefault="004814C6" w14:paraId="45A9EFDF" w14:textId="0E9A8F10">
            <w:pPr>
              <w:spacing w:line="276" w:lineRule="auto"/>
              <w:rPr>
                <w:szCs w:val="18"/>
              </w:rPr>
            </w:pPr>
            <w:r w:rsidRPr="000B4D4D">
              <w:rPr>
                <w:rStyle w:val="normaltextrun"/>
                <w:rFonts w:cs="Segoe UI"/>
                <w:szCs w:val="18"/>
              </w:rPr>
              <w:t xml:space="preserve">Hervorming: </w:t>
            </w:r>
            <w:r w:rsidRPr="000B4D4D">
              <w:rPr>
                <w:rStyle w:val="scxw52732128"/>
                <w:rFonts w:cs="Segoe UI"/>
                <w:szCs w:val="18"/>
              </w:rPr>
              <w:t> </w:t>
            </w:r>
            <w:r w:rsidRPr="000B4D4D">
              <w:rPr>
                <w:szCs w:val="18"/>
              </w:rPr>
              <w:br/>
            </w:r>
            <w:r w:rsidRPr="000B4D4D">
              <w:rPr>
                <w:rStyle w:val="normaltextrun"/>
                <w:rFonts w:cs="Segoe UI"/>
                <w:szCs w:val="18"/>
              </w:rPr>
              <w:t>Actualisering van de Energiebesparingsplicht</w:t>
            </w:r>
            <w:r w:rsidRPr="000B4D4D" w:rsidR="00F57EFE">
              <w:rPr>
                <w:rStyle w:val="normaltextrun"/>
                <w:rFonts w:cs="Segoe UI"/>
                <w:szCs w:val="18"/>
              </w:rPr>
              <w:t>*</w:t>
            </w:r>
          </w:p>
        </w:tc>
        <w:tc>
          <w:tcPr>
            <w:tcW w:w="626" w:type="pct"/>
          </w:tcPr>
          <w:p w:rsidRPr="000B4D4D" w:rsidR="004814C6" w:rsidP="1A5CB1CB" w:rsidRDefault="004814C6" w14:paraId="23641E99" w14:textId="77777777">
            <w:pPr>
              <w:spacing w:line="276" w:lineRule="auto"/>
              <w:rPr>
                <w:szCs w:val="18"/>
              </w:rPr>
            </w:pPr>
            <w:r w:rsidRPr="000B4D4D">
              <w:rPr>
                <w:szCs w:val="18"/>
              </w:rPr>
              <w:t>-</w:t>
            </w:r>
          </w:p>
        </w:tc>
        <w:tc>
          <w:tcPr>
            <w:tcW w:w="625" w:type="pct"/>
          </w:tcPr>
          <w:p w:rsidRPr="000B4D4D" w:rsidR="004814C6" w:rsidP="00800A85" w:rsidRDefault="004814C6" w14:paraId="52F68C3A" w14:textId="77777777">
            <w:pPr>
              <w:pStyle w:val="paragraph"/>
              <w:spacing w:before="0" w:beforeAutospacing="0" w:after="0" w:afterAutospacing="0"/>
              <w:textAlignment w:val="baseline"/>
              <w:rPr>
                <w:rFonts w:ascii="Verdana" w:hAnsi="Verdana" w:cs="Segoe UI"/>
                <w:sz w:val="18"/>
                <w:szCs w:val="18"/>
                <w:lang w:val="en-US"/>
              </w:rPr>
            </w:pPr>
            <w:r w:rsidRPr="000B4D4D">
              <w:rPr>
                <w:rStyle w:val="normaltextrun"/>
                <w:rFonts w:ascii="Verdana" w:hAnsi="Verdana" w:cs="Segoe UI"/>
                <w:sz w:val="18"/>
                <w:szCs w:val="18"/>
                <w:lang w:val="en-US"/>
              </w:rPr>
              <w:t>2023.4.3</w:t>
            </w:r>
            <w:r w:rsidRPr="000B4D4D">
              <w:rPr>
                <w:rStyle w:val="normaltextrun"/>
                <w:rFonts w:ascii="Verdana" w:hAnsi="Verdana"/>
                <w:sz w:val="18"/>
                <w:szCs w:val="18"/>
              </w:rPr>
              <w:t xml:space="preserve"> </w:t>
            </w:r>
          </w:p>
          <w:p w:rsidRPr="000B4D4D" w:rsidR="004814C6" w:rsidP="1A5CB1CB" w:rsidRDefault="004814C6" w14:paraId="576E7332" w14:textId="77777777">
            <w:pPr>
              <w:spacing w:line="276" w:lineRule="auto"/>
              <w:rPr>
                <w:szCs w:val="18"/>
              </w:rPr>
            </w:pPr>
            <w:r w:rsidRPr="000B4D4D">
              <w:rPr>
                <w:rStyle w:val="normaltextrun"/>
                <w:rFonts w:cs="Segoe UI"/>
                <w:szCs w:val="18"/>
                <w:lang w:val="en-US"/>
              </w:rPr>
              <w:t xml:space="preserve">2022.4.3 </w:t>
            </w:r>
          </w:p>
        </w:tc>
        <w:tc>
          <w:tcPr>
            <w:tcW w:w="1331" w:type="pct"/>
          </w:tcPr>
          <w:p w:rsidRPr="000B4D4D" w:rsidR="004814C6" w:rsidP="1A5CB1CB" w:rsidRDefault="004814C6" w14:paraId="4346351B" w14:textId="77777777">
            <w:pPr>
              <w:spacing w:line="276" w:lineRule="auto"/>
              <w:rPr>
                <w:szCs w:val="18"/>
              </w:rPr>
            </w:pPr>
            <w:r w:rsidRPr="000B4D4D">
              <w:rPr>
                <w:rStyle w:val="normaltextrun"/>
                <w:rFonts w:cs="Segoe UI"/>
                <w:szCs w:val="18"/>
                <w:lang w:val="en-US"/>
              </w:rPr>
              <w:t>Energiezekerheid</w:t>
            </w:r>
            <w:r w:rsidRPr="000B4D4D">
              <w:rPr>
                <w:rStyle w:val="eop"/>
                <w:rFonts w:cs="Segoe UI"/>
                <w:szCs w:val="18"/>
              </w:rPr>
              <w:t> </w:t>
            </w:r>
          </w:p>
        </w:tc>
        <w:tc>
          <w:tcPr>
            <w:tcW w:w="700" w:type="pct"/>
          </w:tcPr>
          <w:p w:rsidRPr="000B4D4D" w:rsidR="004814C6" w:rsidP="00800A85" w:rsidRDefault="004814C6" w14:paraId="777034E2" w14:textId="77777777">
            <w:pPr>
              <w:spacing w:line="276" w:lineRule="auto"/>
              <w:rPr>
                <w:rStyle w:val="normaltextrun"/>
                <w:rFonts w:cs="Segoe UI"/>
                <w:szCs w:val="18"/>
                <w:lang w:val="en-US"/>
              </w:rPr>
            </w:pPr>
            <w:r w:rsidRPr="000B4D4D">
              <w:rPr>
                <w:rStyle w:val="normaltextrun"/>
                <w:rFonts w:cs="Segoe UI"/>
                <w:szCs w:val="18"/>
                <w:lang w:val="en-US"/>
              </w:rPr>
              <w:t xml:space="preserve">Completed </w:t>
            </w:r>
          </w:p>
        </w:tc>
      </w:tr>
      <w:tr w:rsidRPr="000B4D4D" w:rsidR="004814C6" w:rsidTr="00A448E9" w14:paraId="734B4CE8" w14:textId="77777777">
        <w:trPr>
          <w:trHeight w:val="300"/>
        </w:trPr>
        <w:tc>
          <w:tcPr>
            <w:tcW w:w="4300" w:type="pct"/>
            <w:gridSpan w:val="5"/>
          </w:tcPr>
          <w:p w:rsidRPr="000B4D4D" w:rsidR="004814C6" w:rsidP="00800A85" w:rsidRDefault="004814C6" w14:paraId="55880A6F" w14:textId="77777777">
            <w:pPr>
              <w:spacing w:line="276" w:lineRule="auto"/>
              <w:rPr>
                <w:b/>
                <w:bCs/>
                <w:szCs w:val="18"/>
              </w:rPr>
            </w:pPr>
            <w:r w:rsidRPr="000B4D4D">
              <w:rPr>
                <w:b/>
                <w:bCs/>
                <w:szCs w:val="18"/>
              </w:rPr>
              <w:t>Vaardigheden t.b.v. de groene transitie</w:t>
            </w:r>
          </w:p>
          <w:p w:rsidRPr="000B4D4D" w:rsidR="004814C6" w:rsidP="002D5F54" w:rsidRDefault="004814C6" w14:paraId="5F05335E" w14:textId="77777777">
            <w:pPr>
              <w:spacing w:line="276" w:lineRule="auto"/>
              <w:rPr>
                <w:szCs w:val="18"/>
              </w:rPr>
            </w:pPr>
          </w:p>
        </w:tc>
        <w:tc>
          <w:tcPr>
            <w:tcW w:w="700" w:type="pct"/>
          </w:tcPr>
          <w:p w:rsidRPr="000B4D4D" w:rsidR="004814C6" w:rsidP="002D5F54" w:rsidRDefault="004814C6" w14:paraId="65907E54" w14:textId="77777777">
            <w:pPr>
              <w:spacing w:line="276" w:lineRule="auto"/>
              <w:rPr>
                <w:b/>
                <w:bCs/>
                <w:szCs w:val="18"/>
              </w:rPr>
            </w:pPr>
          </w:p>
        </w:tc>
      </w:tr>
      <w:tr w:rsidRPr="000B4D4D" w:rsidR="00A448E9" w:rsidTr="00A448E9" w14:paraId="4F364CA1" w14:textId="77777777">
        <w:trPr>
          <w:trHeight w:val="300"/>
        </w:trPr>
        <w:tc>
          <w:tcPr>
            <w:tcW w:w="310" w:type="pct"/>
          </w:tcPr>
          <w:p w:rsidRPr="000B4D4D" w:rsidR="004814C6" w:rsidP="00800A85" w:rsidRDefault="004814C6" w14:paraId="2AD24BCE" w14:textId="77777777">
            <w:pPr>
              <w:spacing w:line="276" w:lineRule="auto"/>
              <w:rPr>
                <w:rStyle w:val="normaltextrun"/>
                <w:rFonts w:cs="Segoe UI"/>
                <w:szCs w:val="18"/>
                <w:highlight w:val="green"/>
              </w:rPr>
            </w:pPr>
            <w:r w:rsidRPr="000B4D4D">
              <w:rPr>
                <w:szCs w:val="18"/>
              </w:rPr>
              <w:t>11</w:t>
            </w:r>
          </w:p>
        </w:tc>
        <w:tc>
          <w:tcPr>
            <w:tcW w:w="1408" w:type="pct"/>
          </w:tcPr>
          <w:p w:rsidRPr="000B4D4D" w:rsidR="004814C6" w:rsidP="1A5CB1CB" w:rsidRDefault="004814C6" w14:paraId="60B2EA7C" w14:textId="5A6F0817">
            <w:pPr>
              <w:spacing w:line="276" w:lineRule="auto"/>
              <w:rPr>
                <w:szCs w:val="18"/>
              </w:rPr>
            </w:pPr>
            <w:r w:rsidRPr="000B4D4D">
              <w:rPr>
                <w:szCs w:val="18"/>
              </w:rPr>
              <w:t>Hervorming: Actieplan Groene en Digitale Banen</w:t>
            </w:r>
            <w:r w:rsidRPr="000B4D4D" w:rsidR="00F57EFE">
              <w:rPr>
                <w:szCs w:val="18"/>
              </w:rPr>
              <w:t>*</w:t>
            </w:r>
          </w:p>
        </w:tc>
        <w:tc>
          <w:tcPr>
            <w:tcW w:w="626" w:type="pct"/>
          </w:tcPr>
          <w:p w:rsidRPr="000B4D4D" w:rsidR="004814C6" w:rsidP="002D5F54" w:rsidRDefault="004814C6" w14:paraId="4ADA9048" w14:textId="77777777">
            <w:pPr>
              <w:spacing w:line="276" w:lineRule="auto"/>
              <w:rPr>
                <w:szCs w:val="18"/>
              </w:rPr>
            </w:pPr>
          </w:p>
        </w:tc>
        <w:tc>
          <w:tcPr>
            <w:tcW w:w="625" w:type="pct"/>
          </w:tcPr>
          <w:p w:rsidRPr="000B4D4D" w:rsidR="004814C6" w:rsidP="1A5CB1CB" w:rsidRDefault="004814C6" w14:paraId="3DDDEFF3" w14:textId="77777777">
            <w:pPr>
              <w:spacing w:line="276" w:lineRule="auto"/>
              <w:rPr>
                <w:szCs w:val="18"/>
              </w:rPr>
            </w:pPr>
            <w:r w:rsidRPr="000B4D4D">
              <w:rPr>
                <w:szCs w:val="18"/>
                <w:lang w:val="en-US"/>
              </w:rPr>
              <w:t xml:space="preserve">2023.4.5 </w:t>
            </w:r>
          </w:p>
        </w:tc>
        <w:tc>
          <w:tcPr>
            <w:tcW w:w="1331" w:type="pct"/>
          </w:tcPr>
          <w:p w:rsidRPr="000B4D4D" w:rsidR="004814C6" w:rsidP="1A5CB1CB" w:rsidRDefault="004814C6" w14:paraId="064B164C" w14:textId="77777777">
            <w:pPr>
              <w:spacing w:line="276" w:lineRule="auto"/>
              <w:rPr>
                <w:szCs w:val="18"/>
              </w:rPr>
            </w:pPr>
            <w:r w:rsidRPr="000B4D4D">
              <w:rPr>
                <w:szCs w:val="18"/>
              </w:rPr>
              <w:t xml:space="preserve">Sociale en economische veerkracht, inclusief de Europese Pijler van Sociale Rechten; een eerlijke digitale transitie; </w:t>
            </w:r>
            <w:r w:rsidRPr="000B4D4D">
              <w:rPr>
                <w:rFonts w:cs="Segoe UI"/>
                <w:szCs w:val="18"/>
              </w:rPr>
              <w:t xml:space="preserve"> </w:t>
            </w: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1A5CB1CB" w:rsidRDefault="004814C6" w14:paraId="09A30CFF" w14:textId="77777777">
            <w:pPr>
              <w:spacing w:line="276" w:lineRule="auto"/>
              <w:rPr>
                <w:szCs w:val="18"/>
              </w:rPr>
            </w:pPr>
            <w:r w:rsidRPr="000B4D4D">
              <w:rPr>
                <w:szCs w:val="18"/>
              </w:rPr>
              <w:t>On-track</w:t>
            </w:r>
          </w:p>
        </w:tc>
      </w:tr>
      <w:tr w:rsidRPr="000B4D4D" w:rsidR="004814C6" w:rsidTr="00A448E9" w14:paraId="0DD983D0" w14:textId="77777777">
        <w:trPr>
          <w:trHeight w:val="300"/>
        </w:trPr>
        <w:tc>
          <w:tcPr>
            <w:tcW w:w="4300" w:type="pct"/>
            <w:gridSpan w:val="5"/>
          </w:tcPr>
          <w:p w:rsidRPr="000B4D4D" w:rsidR="004814C6" w:rsidP="00800A85" w:rsidRDefault="004814C6" w14:paraId="7126ACF4" w14:textId="77777777">
            <w:pPr>
              <w:spacing w:line="276" w:lineRule="auto"/>
              <w:rPr>
                <w:b/>
                <w:bCs/>
                <w:szCs w:val="18"/>
              </w:rPr>
            </w:pPr>
            <w:r w:rsidRPr="000B4D4D">
              <w:rPr>
                <w:b/>
                <w:bCs/>
                <w:szCs w:val="18"/>
              </w:rPr>
              <w:t>Onderzoek en ontwikkeling (R&amp;D)</w:t>
            </w:r>
          </w:p>
        </w:tc>
        <w:tc>
          <w:tcPr>
            <w:tcW w:w="700" w:type="pct"/>
          </w:tcPr>
          <w:p w:rsidRPr="000B4D4D" w:rsidR="004814C6" w:rsidP="002D5F54" w:rsidRDefault="004814C6" w14:paraId="73C5FF21" w14:textId="77777777">
            <w:pPr>
              <w:spacing w:line="276" w:lineRule="auto"/>
              <w:rPr>
                <w:b/>
                <w:bCs/>
                <w:szCs w:val="18"/>
              </w:rPr>
            </w:pPr>
          </w:p>
        </w:tc>
      </w:tr>
      <w:tr w:rsidRPr="000B4D4D" w:rsidR="00A448E9" w:rsidTr="00A448E9" w14:paraId="15754229" w14:textId="77777777">
        <w:trPr>
          <w:trHeight w:val="300"/>
        </w:trPr>
        <w:tc>
          <w:tcPr>
            <w:tcW w:w="310" w:type="pct"/>
          </w:tcPr>
          <w:p w:rsidRPr="000B4D4D" w:rsidR="004814C6" w:rsidP="00800A85" w:rsidRDefault="004814C6" w14:paraId="6CA2688C" w14:textId="77777777">
            <w:pPr>
              <w:spacing w:line="276" w:lineRule="auto"/>
              <w:rPr>
                <w:rStyle w:val="normaltextrun"/>
                <w:rFonts w:cs="Segoe UI"/>
                <w:szCs w:val="18"/>
              </w:rPr>
            </w:pPr>
            <w:r w:rsidRPr="000B4D4D">
              <w:rPr>
                <w:szCs w:val="18"/>
              </w:rPr>
              <w:lastRenderedPageBreak/>
              <w:t>12</w:t>
            </w:r>
          </w:p>
        </w:tc>
        <w:tc>
          <w:tcPr>
            <w:tcW w:w="1408" w:type="pct"/>
          </w:tcPr>
          <w:p w:rsidRPr="000B4D4D" w:rsidR="004814C6" w:rsidP="1A5CB1CB" w:rsidRDefault="004814C6" w14:paraId="2D91C696" w14:textId="3EA75462">
            <w:pPr>
              <w:spacing w:line="276" w:lineRule="auto"/>
              <w:rPr>
                <w:szCs w:val="18"/>
              </w:rPr>
            </w:pPr>
            <w:r w:rsidRPr="000B4D4D">
              <w:rPr>
                <w:szCs w:val="18"/>
              </w:rPr>
              <w:t>Investering: Investeringen in onderzoek en ontwikkeling vanuit het Nationaal Groeifonds (</w:t>
            </w:r>
            <w:r w:rsidR="008470E5">
              <w:rPr>
                <w:szCs w:val="18"/>
              </w:rPr>
              <w:t>NGF)</w:t>
            </w:r>
            <w:r w:rsidRPr="000B4D4D">
              <w:rPr>
                <w:szCs w:val="18"/>
              </w:rPr>
              <w:t xml:space="preserve"> (5,5 mld. EUR voorwaardelijk toegekend of gereserveerd per eind 2023)</w:t>
            </w:r>
          </w:p>
        </w:tc>
        <w:tc>
          <w:tcPr>
            <w:tcW w:w="626" w:type="pct"/>
          </w:tcPr>
          <w:p w:rsidRPr="000B4D4D" w:rsidR="004814C6" w:rsidP="1A5CB1CB" w:rsidRDefault="004814C6" w14:paraId="4C7C288E" w14:textId="77777777">
            <w:pPr>
              <w:spacing w:line="276" w:lineRule="auto"/>
              <w:rPr>
                <w:szCs w:val="18"/>
              </w:rPr>
            </w:pPr>
            <w:r w:rsidRPr="000B4D4D">
              <w:rPr>
                <w:szCs w:val="18"/>
              </w:rPr>
              <w:t>-</w:t>
            </w:r>
          </w:p>
        </w:tc>
        <w:tc>
          <w:tcPr>
            <w:tcW w:w="625" w:type="pct"/>
          </w:tcPr>
          <w:p w:rsidRPr="000B4D4D" w:rsidR="004814C6" w:rsidP="1A5CB1CB" w:rsidRDefault="004814C6" w14:paraId="522CB50A" w14:textId="77777777">
            <w:pPr>
              <w:spacing w:line="276" w:lineRule="auto"/>
              <w:rPr>
                <w:szCs w:val="18"/>
              </w:rPr>
            </w:pPr>
            <w:r w:rsidRPr="000B4D4D">
              <w:rPr>
                <w:rFonts w:eastAsia="Times New Roman" w:cs="Calibri"/>
                <w:kern w:val="0"/>
                <w:szCs w:val="18"/>
                <w:lang w:val="en-US" w:eastAsia="nl-NL"/>
              </w:rPr>
              <w:t xml:space="preserve">2019.3.2 </w:t>
            </w:r>
          </w:p>
        </w:tc>
        <w:tc>
          <w:tcPr>
            <w:tcW w:w="1331" w:type="pct"/>
          </w:tcPr>
          <w:p w:rsidRPr="000B4D4D" w:rsidR="004814C6" w:rsidP="1A5CB1CB" w:rsidRDefault="004814C6" w14:paraId="182A183A" w14:textId="77777777">
            <w:pPr>
              <w:spacing w:line="276" w:lineRule="auto"/>
              <w:rPr>
                <w:szCs w:val="18"/>
              </w:rPr>
            </w:pPr>
            <w:r w:rsidRPr="000B4D4D">
              <w:rPr>
                <w:szCs w:val="18"/>
              </w:rPr>
              <w:t>Een eerlijke groene en digitale transitie, inclusief consistentie met de Europese Klimaatwet</w:t>
            </w:r>
          </w:p>
        </w:tc>
        <w:tc>
          <w:tcPr>
            <w:tcW w:w="700" w:type="pct"/>
          </w:tcPr>
          <w:p w:rsidRPr="000B4D4D" w:rsidR="004814C6" w:rsidP="1A5CB1CB" w:rsidRDefault="004814C6" w14:paraId="21F02983" w14:textId="77777777">
            <w:pPr>
              <w:spacing w:line="276" w:lineRule="auto"/>
              <w:rPr>
                <w:szCs w:val="18"/>
              </w:rPr>
            </w:pPr>
            <w:r w:rsidRPr="000B4D4D">
              <w:rPr>
                <w:szCs w:val="18"/>
              </w:rPr>
              <w:t>On-track</w:t>
            </w:r>
          </w:p>
        </w:tc>
      </w:tr>
      <w:tr w:rsidRPr="000B4D4D" w:rsidR="00A448E9" w:rsidTr="00A448E9" w14:paraId="27D97A36" w14:textId="77777777">
        <w:trPr>
          <w:trHeight w:val="300"/>
        </w:trPr>
        <w:tc>
          <w:tcPr>
            <w:tcW w:w="310" w:type="pct"/>
          </w:tcPr>
          <w:p w:rsidRPr="000B4D4D" w:rsidR="004814C6" w:rsidP="00800A85" w:rsidRDefault="004814C6" w14:paraId="4E77E1E1" w14:textId="77777777">
            <w:pPr>
              <w:spacing w:line="276" w:lineRule="auto"/>
              <w:rPr>
                <w:rStyle w:val="normaltextrun"/>
                <w:rFonts w:cs="Segoe UI"/>
                <w:szCs w:val="18"/>
              </w:rPr>
            </w:pPr>
            <w:r w:rsidRPr="000B4D4D">
              <w:rPr>
                <w:szCs w:val="18"/>
              </w:rPr>
              <w:t>13</w:t>
            </w:r>
          </w:p>
        </w:tc>
        <w:tc>
          <w:tcPr>
            <w:tcW w:w="1408" w:type="pct"/>
          </w:tcPr>
          <w:p w:rsidRPr="000B4D4D" w:rsidR="004814C6" w:rsidP="1A5CB1CB" w:rsidRDefault="004814C6" w14:paraId="68215D69" w14:textId="77777777">
            <w:pPr>
              <w:spacing w:line="276" w:lineRule="auto"/>
              <w:rPr>
                <w:szCs w:val="18"/>
              </w:rPr>
            </w:pPr>
            <w:r w:rsidRPr="000B4D4D">
              <w:rPr>
                <w:szCs w:val="18"/>
                <w:lang w:val="de-DE"/>
              </w:rPr>
              <w:t xml:space="preserve">Investering: Quantum Delta NL (277,9 mln. </w:t>
            </w:r>
            <w:r w:rsidRPr="000B4D4D">
              <w:rPr>
                <w:szCs w:val="18"/>
              </w:rPr>
              <w:t>EUR)</w:t>
            </w:r>
          </w:p>
        </w:tc>
        <w:tc>
          <w:tcPr>
            <w:tcW w:w="626" w:type="pct"/>
          </w:tcPr>
          <w:p w:rsidRPr="000B4D4D" w:rsidR="004814C6" w:rsidP="1A5CB1CB" w:rsidRDefault="004814C6" w14:paraId="63097BD4" w14:textId="77777777">
            <w:pPr>
              <w:spacing w:line="276" w:lineRule="auto"/>
              <w:rPr>
                <w:szCs w:val="18"/>
              </w:rPr>
            </w:pPr>
            <w:r w:rsidRPr="000B4D4D">
              <w:rPr>
                <w:rFonts w:eastAsia="Verdana" w:cs="Verdana"/>
                <w:szCs w:val="18"/>
              </w:rPr>
              <w:t>HVP (C2.1 I1)</w:t>
            </w:r>
          </w:p>
        </w:tc>
        <w:tc>
          <w:tcPr>
            <w:tcW w:w="625" w:type="pct"/>
          </w:tcPr>
          <w:p w:rsidRPr="000B4D4D" w:rsidR="004814C6" w:rsidP="1A5CB1CB" w:rsidRDefault="004814C6" w14:paraId="7DE0696D" w14:textId="77777777">
            <w:pPr>
              <w:spacing w:line="276" w:lineRule="auto"/>
              <w:rPr>
                <w:szCs w:val="18"/>
              </w:rPr>
            </w:pPr>
            <w:r w:rsidRPr="000B4D4D">
              <w:rPr>
                <w:rFonts w:eastAsia="Times New Roman" w:cs="Calibri"/>
                <w:kern w:val="0"/>
                <w:szCs w:val="18"/>
                <w:lang w:val="en-US" w:eastAsia="nl-NL"/>
              </w:rPr>
              <w:t>2020.3.3</w:t>
            </w:r>
          </w:p>
          <w:p w:rsidRPr="000B4D4D" w:rsidR="004814C6" w:rsidP="1A5CB1CB" w:rsidRDefault="004814C6" w14:paraId="25396CA4" w14:textId="77777777">
            <w:pPr>
              <w:spacing w:line="276" w:lineRule="auto"/>
              <w:rPr>
                <w:szCs w:val="18"/>
              </w:rPr>
            </w:pPr>
            <w:r w:rsidRPr="000B4D4D">
              <w:rPr>
                <w:rFonts w:eastAsia="Times New Roman" w:cs="Calibri"/>
                <w:kern w:val="0"/>
                <w:szCs w:val="18"/>
                <w:lang w:val="en-US" w:eastAsia="nl-NL"/>
              </w:rPr>
              <w:t>2020.3.5</w:t>
            </w:r>
          </w:p>
          <w:p w:rsidRPr="000B4D4D" w:rsidR="004814C6" w:rsidP="1A5CB1CB" w:rsidRDefault="004814C6" w14:paraId="270994BD" w14:textId="77777777">
            <w:pPr>
              <w:spacing w:line="276" w:lineRule="auto"/>
              <w:rPr>
                <w:szCs w:val="18"/>
              </w:rPr>
            </w:pPr>
            <w:r w:rsidRPr="000B4D4D">
              <w:rPr>
                <w:rFonts w:eastAsia="Times New Roman" w:cs="Calibri"/>
                <w:kern w:val="0"/>
                <w:szCs w:val="18"/>
                <w:lang w:val="en-US" w:eastAsia="nl-NL"/>
              </w:rPr>
              <w:t xml:space="preserve">2019.3.2 </w:t>
            </w:r>
          </w:p>
        </w:tc>
        <w:tc>
          <w:tcPr>
            <w:tcW w:w="1331" w:type="pct"/>
          </w:tcPr>
          <w:p w:rsidRPr="000B4D4D" w:rsidR="004814C6" w:rsidP="1A5CB1CB" w:rsidRDefault="004814C6" w14:paraId="359BE33D" w14:textId="77777777">
            <w:pPr>
              <w:spacing w:line="276" w:lineRule="auto"/>
              <w:rPr>
                <w:szCs w:val="18"/>
              </w:rPr>
            </w:pPr>
            <w:r w:rsidRPr="000B4D4D">
              <w:rPr>
                <w:szCs w:val="18"/>
              </w:rPr>
              <w:t>Een eerlijke groene en digitale transitie, inclusief consistentie met de Europese Klimaatwet</w:t>
            </w:r>
          </w:p>
          <w:p w:rsidRPr="000B4D4D" w:rsidR="004814C6" w:rsidP="002D5F54" w:rsidRDefault="004814C6" w14:paraId="38696710" w14:textId="77777777">
            <w:pPr>
              <w:spacing w:line="276" w:lineRule="auto"/>
              <w:rPr>
                <w:szCs w:val="18"/>
              </w:rPr>
            </w:pPr>
          </w:p>
        </w:tc>
        <w:tc>
          <w:tcPr>
            <w:tcW w:w="700" w:type="pct"/>
          </w:tcPr>
          <w:p w:rsidRPr="000B4D4D" w:rsidR="004814C6" w:rsidP="1A5CB1CB" w:rsidRDefault="004814C6" w14:paraId="3EA3AABA" w14:textId="77777777">
            <w:pPr>
              <w:spacing w:line="276" w:lineRule="auto"/>
              <w:rPr>
                <w:szCs w:val="18"/>
              </w:rPr>
            </w:pPr>
            <w:r w:rsidRPr="000B4D4D">
              <w:rPr>
                <w:szCs w:val="18"/>
              </w:rPr>
              <w:t>Completed</w:t>
            </w:r>
          </w:p>
        </w:tc>
      </w:tr>
      <w:tr w:rsidRPr="000B4D4D" w:rsidR="004814C6" w:rsidTr="00A448E9" w14:paraId="749CA967" w14:textId="77777777">
        <w:trPr>
          <w:trHeight w:val="300"/>
        </w:trPr>
        <w:tc>
          <w:tcPr>
            <w:tcW w:w="4300" w:type="pct"/>
            <w:gridSpan w:val="5"/>
          </w:tcPr>
          <w:p w:rsidRPr="000B4D4D" w:rsidR="004814C6" w:rsidP="00800A85" w:rsidRDefault="004814C6" w14:paraId="5D323EE2" w14:textId="77777777">
            <w:pPr>
              <w:spacing w:line="276" w:lineRule="auto"/>
              <w:rPr>
                <w:b/>
                <w:bCs/>
                <w:szCs w:val="18"/>
              </w:rPr>
            </w:pPr>
            <w:r w:rsidRPr="000B4D4D">
              <w:rPr>
                <w:b/>
                <w:bCs/>
                <w:szCs w:val="18"/>
              </w:rPr>
              <w:t>Overige maatregelen</w:t>
            </w:r>
          </w:p>
        </w:tc>
        <w:tc>
          <w:tcPr>
            <w:tcW w:w="700" w:type="pct"/>
          </w:tcPr>
          <w:p w:rsidRPr="000B4D4D" w:rsidR="004814C6" w:rsidP="002D5F54" w:rsidRDefault="004814C6" w14:paraId="6BA35910" w14:textId="77777777">
            <w:pPr>
              <w:spacing w:line="276" w:lineRule="auto"/>
              <w:rPr>
                <w:b/>
                <w:bCs/>
                <w:szCs w:val="18"/>
              </w:rPr>
            </w:pPr>
          </w:p>
        </w:tc>
      </w:tr>
      <w:tr w:rsidRPr="000B4D4D" w:rsidR="00A448E9" w:rsidTr="00A448E9" w14:paraId="5622A6DB" w14:textId="77777777">
        <w:trPr>
          <w:trHeight w:val="300"/>
        </w:trPr>
        <w:tc>
          <w:tcPr>
            <w:tcW w:w="310" w:type="pct"/>
          </w:tcPr>
          <w:p w:rsidRPr="000B4D4D" w:rsidR="004814C6" w:rsidP="00800A85" w:rsidRDefault="004814C6" w14:paraId="391BD884" w14:textId="77777777">
            <w:pPr>
              <w:spacing w:line="276" w:lineRule="auto"/>
              <w:rPr>
                <w:rStyle w:val="normaltextrun"/>
                <w:rFonts w:cs="Segoe UI"/>
                <w:szCs w:val="18"/>
              </w:rPr>
            </w:pPr>
            <w:r w:rsidRPr="000B4D4D">
              <w:rPr>
                <w:szCs w:val="18"/>
              </w:rPr>
              <w:t>14</w:t>
            </w:r>
          </w:p>
        </w:tc>
        <w:tc>
          <w:tcPr>
            <w:tcW w:w="1408" w:type="pct"/>
          </w:tcPr>
          <w:p w:rsidRPr="000B4D4D" w:rsidR="004814C6" w:rsidP="1A5CB1CB" w:rsidRDefault="004814C6" w14:paraId="7C4E22C8" w14:textId="77777777">
            <w:pPr>
              <w:spacing w:line="276" w:lineRule="auto"/>
              <w:rPr>
                <w:szCs w:val="18"/>
              </w:rPr>
            </w:pPr>
            <w:r w:rsidRPr="000B4D4D">
              <w:rPr>
                <w:szCs w:val="18"/>
              </w:rPr>
              <w:t>Investering: Strategie Digitale Economie: Generieke Instrumenten</w:t>
            </w:r>
          </w:p>
        </w:tc>
        <w:tc>
          <w:tcPr>
            <w:tcW w:w="626" w:type="pct"/>
          </w:tcPr>
          <w:p w:rsidRPr="000B4D4D" w:rsidR="004814C6" w:rsidP="1A5CB1CB" w:rsidRDefault="004814C6" w14:paraId="5C9942E6" w14:textId="77777777">
            <w:pPr>
              <w:spacing w:line="276" w:lineRule="auto"/>
              <w:rPr>
                <w:szCs w:val="18"/>
              </w:rPr>
            </w:pPr>
            <w:r w:rsidRPr="000B4D4D">
              <w:rPr>
                <w:szCs w:val="18"/>
              </w:rPr>
              <w:t>-</w:t>
            </w:r>
          </w:p>
        </w:tc>
        <w:tc>
          <w:tcPr>
            <w:tcW w:w="625" w:type="pct"/>
          </w:tcPr>
          <w:p w:rsidRPr="000B4D4D" w:rsidR="004814C6" w:rsidP="002D5F54" w:rsidRDefault="004814C6" w14:paraId="7EA84F49" w14:textId="77777777">
            <w:pPr>
              <w:spacing w:line="276" w:lineRule="auto"/>
              <w:rPr>
                <w:szCs w:val="18"/>
              </w:rPr>
            </w:pPr>
          </w:p>
        </w:tc>
        <w:tc>
          <w:tcPr>
            <w:tcW w:w="1331" w:type="pct"/>
          </w:tcPr>
          <w:p w:rsidRPr="000B4D4D" w:rsidR="004814C6" w:rsidP="1A5CB1CB" w:rsidRDefault="004814C6" w14:paraId="19F6ACA4" w14:textId="77777777">
            <w:pPr>
              <w:spacing w:line="276" w:lineRule="auto"/>
              <w:rPr>
                <w:szCs w:val="18"/>
              </w:rPr>
            </w:pPr>
            <w:r w:rsidRPr="000B4D4D">
              <w:rPr>
                <w:szCs w:val="18"/>
              </w:rPr>
              <w:t>Een eerlijke groene en digitale transitie, inclusief consistentie met de Europese Klimaatwet</w:t>
            </w:r>
          </w:p>
        </w:tc>
        <w:tc>
          <w:tcPr>
            <w:tcW w:w="700" w:type="pct"/>
          </w:tcPr>
          <w:p w:rsidRPr="000B4D4D" w:rsidR="004814C6" w:rsidP="1A5CB1CB" w:rsidRDefault="004814C6" w14:paraId="2749D2A4" w14:textId="77777777">
            <w:pPr>
              <w:spacing w:line="276" w:lineRule="auto"/>
              <w:rPr>
                <w:szCs w:val="18"/>
              </w:rPr>
            </w:pPr>
            <w:r w:rsidRPr="000B4D4D">
              <w:rPr>
                <w:szCs w:val="18"/>
              </w:rPr>
              <w:t>On-track</w:t>
            </w:r>
          </w:p>
        </w:tc>
      </w:tr>
      <w:tr w:rsidRPr="000B4D4D" w:rsidR="00A448E9" w:rsidTr="00A448E9" w14:paraId="09E7CA1D" w14:textId="77777777">
        <w:trPr>
          <w:trHeight w:val="300"/>
        </w:trPr>
        <w:tc>
          <w:tcPr>
            <w:tcW w:w="310" w:type="pct"/>
          </w:tcPr>
          <w:p w:rsidRPr="000B4D4D" w:rsidR="004814C6" w:rsidP="00800A85" w:rsidRDefault="004814C6" w14:paraId="0A681221" w14:textId="77777777">
            <w:pPr>
              <w:spacing w:line="276" w:lineRule="auto"/>
              <w:rPr>
                <w:rStyle w:val="normaltextrun"/>
                <w:rFonts w:cs="Segoe UI"/>
                <w:szCs w:val="18"/>
              </w:rPr>
            </w:pPr>
            <w:r w:rsidRPr="000B4D4D">
              <w:rPr>
                <w:szCs w:val="18"/>
              </w:rPr>
              <w:t>15</w:t>
            </w:r>
          </w:p>
        </w:tc>
        <w:tc>
          <w:tcPr>
            <w:tcW w:w="1408" w:type="pct"/>
          </w:tcPr>
          <w:p w:rsidRPr="000B4D4D" w:rsidR="004814C6" w:rsidP="1A5CB1CB" w:rsidRDefault="004814C6" w14:paraId="558C250C" w14:textId="77777777">
            <w:pPr>
              <w:spacing w:line="276" w:lineRule="auto"/>
              <w:rPr>
                <w:szCs w:val="18"/>
              </w:rPr>
            </w:pPr>
            <w:r w:rsidRPr="000B4D4D">
              <w:rPr>
                <w:szCs w:val="18"/>
              </w:rPr>
              <w:t>Investering: Strategie Digitale Economie: Specifieke Instrumenten</w:t>
            </w:r>
          </w:p>
        </w:tc>
        <w:tc>
          <w:tcPr>
            <w:tcW w:w="626" w:type="pct"/>
          </w:tcPr>
          <w:p w:rsidRPr="000B4D4D" w:rsidR="004814C6" w:rsidP="00800A85" w:rsidRDefault="004814C6" w14:paraId="7C762BE0" w14:textId="77777777">
            <w:pPr>
              <w:spacing w:after="160" w:line="276" w:lineRule="auto"/>
              <w:rPr>
                <w:rFonts w:eastAsia="Verdana" w:cs="Verdana"/>
                <w:szCs w:val="18"/>
              </w:rPr>
            </w:pPr>
            <w:r w:rsidRPr="000B4D4D">
              <w:rPr>
                <w:szCs w:val="18"/>
              </w:rPr>
              <w:t>-</w:t>
            </w:r>
          </w:p>
        </w:tc>
        <w:tc>
          <w:tcPr>
            <w:tcW w:w="625" w:type="pct"/>
          </w:tcPr>
          <w:p w:rsidRPr="000B4D4D" w:rsidR="004814C6" w:rsidP="002D5F54" w:rsidRDefault="004814C6" w14:paraId="5C7E2D81" w14:textId="77777777">
            <w:pPr>
              <w:spacing w:line="276" w:lineRule="auto"/>
              <w:rPr>
                <w:szCs w:val="18"/>
              </w:rPr>
            </w:pPr>
          </w:p>
        </w:tc>
        <w:tc>
          <w:tcPr>
            <w:tcW w:w="1331" w:type="pct"/>
          </w:tcPr>
          <w:p w:rsidRPr="000B4D4D" w:rsidR="004814C6" w:rsidP="1A5CB1CB" w:rsidRDefault="004814C6" w14:paraId="6FA494E3" w14:textId="77777777">
            <w:pPr>
              <w:spacing w:line="276" w:lineRule="auto"/>
              <w:rPr>
                <w:szCs w:val="18"/>
              </w:rPr>
            </w:pPr>
            <w:r w:rsidRPr="000B4D4D">
              <w:rPr>
                <w:szCs w:val="18"/>
              </w:rPr>
              <w:t>Een eerlijke groene en digitale transitie, inclusief consistentie met de Europese Klimaatwet</w:t>
            </w:r>
          </w:p>
        </w:tc>
        <w:tc>
          <w:tcPr>
            <w:tcW w:w="700" w:type="pct"/>
          </w:tcPr>
          <w:p w:rsidRPr="000B4D4D" w:rsidR="004814C6" w:rsidP="1A5CB1CB" w:rsidRDefault="004814C6" w14:paraId="17F0BF4E" w14:textId="77777777">
            <w:pPr>
              <w:spacing w:line="276" w:lineRule="auto"/>
              <w:rPr>
                <w:szCs w:val="18"/>
              </w:rPr>
            </w:pPr>
            <w:r w:rsidRPr="000B4D4D">
              <w:rPr>
                <w:szCs w:val="18"/>
              </w:rPr>
              <w:t>On-track</w:t>
            </w:r>
          </w:p>
        </w:tc>
      </w:tr>
      <w:tr w:rsidRPr="000B4D4D" w:rsidR="00A448E9" w:rsidTr="00A448E9" w14:paraId="4EFF6516" w14:textId="77777777">
        <w:trPr>
          <w:trHeight w:val="300"/>
        </w:trPr>
        <w:tc>
          <w:tcPr>
            <w:tcW w:w="310" w:type="pct"/>
          </w:tcPr>
          <w:p w:rsidRPr="000B4D4D" w:rsidR="004814C6" w:rsidP="1A5CB1CB" w:rsidRDefault="004814C6" w14:paraId="1C41658C" w14:textId="77777777">
            <w:pPr>
              <w:spacing w:line="276" w:lineRule="auto"/>
              <w:rPr>
                <w:szCs w:val="18"/>
              </w:rPr>
            </w:pPr>
            <w:r w:rsidRPr="000B4D4D">
              <w:rPr>
                <w:szCs w:val="18"/>
              </w:rPr>
              <w:t>16</w:t>
            </w:r>
          </w:p>
        </w:tc>
        <w:tc>
          <w:tcPr>
            <w:tcW w:w="1408" w:type="pct"/>
            <w:shd w:val="clear" w:color="auto" w:fill="auto"/>
          </w:tcPr>
          <w:p w:rsidRPr="000B4D4D" w:rsidR="004814C6" w:rsidP="1A5CB1CB" w:rsidRDefault="004814C6" w14:paraId="13E16961" w14:textId="77777777">
            <w:pPr>
              <w:spacing w:line="276" w:lineRule="auto"/>
              <w:rPr>
                <w:szCs w:val="18"/>
              </w:rPr>
            </w:pPr>
            <w:r w:rsidRPr="000B4D4D">
              <w:rPr>
                <w:szCs w:val="18"/>
              </w:rPr>
              <w:t xml:space="preserve">Investering: Strategie Digitale Economie: Nationale Groeifonds </w:t>
            </w:r>
          </w:p>
        </w:tc>
        <w:tc>
          <w:tcPr>
            <w:tcW w:w="626" w:type="pct"/>
          </w:tcPr>
          <w:p w:rsidRPr="000B4D4D" w:rsidR="004814C6" w:rsidP="1A5CB1CB" w:rsidRDefault="004814C6" w14:paraId="49946696" w14:textId="77777777">
            <w:pPr>
              <w:spacing w:line="276" w:lineRule="auto"/>
              <w:rPr>
                <w:szCs w:val="18"/>
              </w:rPr>
            </w:pPr>
            <w:r w:rsidRPr="000B4D4D">
              <w:rPr>
                <w:szCs w:val="18"/>
              </w:rPr>
              <w:t>-</w:t>
            </w:r>
          </w:p>
        </w:tc>
        <w:tc>
          <w:tcPr>
            <w:tcW w:w="625" w:type="pct"/>
          </w:tcPr>
          <w:p w:rsidRPr="000B4D4D" w:rsidR="004814C6" w:rsidP="002D5F54" w:rsidRDefault="004814C6" w14:paraId="5D3052BF" w14:textId="77777777">
            <w:pPr>
              <w:spacing w:line="276" w:lineRule="auto"/>
              <w:rPr>
                <w:szCs w:val="18"/>
              </w:rPr>
            </w:pPr>
          </w:p>
        </w:tc>
        <w:tc>
          <w:tcPr>
            <w:tcW w:w="1331" w:type="pct"/>
          </w:tcPr>
          <w:p w:rsidRPr="000B4D4D" w:rsidR="004814C6" w:rsidP="1A5CB1CB" w:rsidRDefault="004814C6" w14:paraId="21E34374" w14:textId="77777777">
            <w:pPr>
              <w:spacing w:line="276" w:lineRule="auto"/>
              <w:rPr>
                <w:szCs w:val="18"/>
              </w:rPr>
            </w:pPr>
            <w:r w:rsidRPr="000B4D4D">
              <w:rPr>
                <w:szCs w:val="18"/>
              </w:rPr>
              <w:t>Een eerlijke groene en digitale transitie, inclusief consistentie met de Europese Klimaatwet</w:t>
            </w:r>
          </w:p>
        </w:tc>
        <w:tc>
          <w:tcPr>
            <w:tcW w:w="700" w:type="pct"/>
          </w:tcPr>
          <w:p w:rsidRPr="000B4D4D" w:rsidR="004814C6" w:rsidP="1A5CB1CB" w:rsidRDefault="004814C6" w14:paraId="269F795B" w14:textId="77777777">
            <w:pPr>
              <w:spacing w:line="276" w:lineRule="auto"/>
              <w:rPr>
                <w:szCs w:val="18"/>
              </w:rPr>
            </w:pPr>
            <w:r w:rsidRPr="000B4D4D">
              <w:rPr>
                <w:szCs w:val="18"/>
              </w:rPr>
              <w:t>On-track</w:t>
            </w:r>
          </w:p>
        </w:tc>
      </w:tr>
      <w:tr w:rsidRPr="000B4D4D" w:rsidR="00A448E9" w:rsidTr="00A448E9" w14:paraId="51B3F6A5" w14:textId="77777777">
        <w:trPr>
          <w:trHeight w:val="300"/>
        </w:trPr>
        <w:tc>
          <w:tcPr>
            <w:tcW w:w="310" w:type="pct"/>
          </w:tcPr>
          <w:p w:rsidRPr="000B4D4D" w:rsidR="004814C6" w:rsidP="1A5CB1CB" w:rsidRDefault="004814C6" w14:paraId="36D5CC58" w14:textId="77777777">
            <w:pPr>
              <w:spacing w:line="276" w:lineRule="auto"/>
              <w:rPr>
                <w:szCs w:val="18"/>
              </w:rPr>
            </w:pPr>
            <w:r w:rsidRPr="000B4D4D">
              <w:rPr>
                <w:szCs w:val="18"/>
              </w:rPr>
              <w:t>17</w:t>
            </w:r>
          </w:p>
        </w:tc>
        <w:tc>
          <w:tcPr>
            <w:tcW w:w="1408" w:type="pct"/>
            <w:shd w:val="clear" w:color="auto" w:fill="auto"/>
          </w:tcPr>
          <w:p w:rsidRPr="000B4D4D" w:rsidR="004814C6" w:rsidP="1A5CB1CB" w:rsidRDefault="004814C6" w14:paraId="430D0D28" w14:textId="4E02E051">
            <w:pPr>
              <w:spacing w:line="276" w:lineRule="auto"/>
              <w:rPr>
                <w:szCs w:val="18"/>
              </w:rPr>
            </w:pPr>
            <w:r w:rsidRPr="000B4D4D">
              <w:rPr>
                <w:szCs w:val="18"/>
              </w:rPr>
              <w:t>Aanpassing nationale klimaatwet</w:t>
            </w:r>
            <w:r w:rsidRPr="000B4D4D" w:rsidR="00F57EFE">
              <w:rPr>
                <w:szCs w:val="18"/>
              </w:rPr>
              <w:t>*</w:t>
            </w:r>
          </w:p>
        </w:tc>
        <w:tc>
          <w:tcPr>
            <w:tcW w:w="626" w:type="pct"/>
          </w:tcPr>
          <w:p w:rsidRPr="000B4D4D" w:rsidR="004814C6" w:rsidP="002D5F54" w:rsidRDefault="004814C6" w14:paraId="66BE926B" w14:textId="77777777">
            <w:pPr>
              <w:spacing w:line="276" w:lineRule="auto"/>
              <w:rPr>
                <w:szCs w:val="18"/>
              </w:rPr>
            </w:pPr>
          </w:p>
        </w:tc>
        <w:tc>
          <w:tcPr>
            <w:tcW w:w="625" w:type="pct"/>
          </w:tcPr>
          <w:p w:rsidRPr="000B4D4D" w:rsidR="004814C6" w:rsidP="002D5F54" w:rsidRDefault="004814C6" w14:paraId="3803F960" w14:textId="77777777">
            <w:pPr>
              <w:spacing w:line="276" w:lineRule="auto"/>
              <w:rPr>
                <w:szCs w:val="18"/>
              </w:rPr>
            </w:pPr>
          </w:p>
        </w:tc>
        <w:tc>
          <w:tcPr>
            <w:tcW w:w="1331" w:type="pct"/>
          </w:tcPr>
          <w:p w:rsidRPr="000B4D4D" w:rsidR="004814C6" w:rsidP="1A5CB1CB" w:rsidRDefault="004814C6" w14:paraId="0B829DF0" w14:textId="77777777">
            <w:pPr>
              <w:spacing w:line="276" w:lineRule="auto"/>
              <w:rPr>
                <w:szCs w:val="18"/>
              </w:rPr>
            </w:pPr>
            <w:r w:rsidRPr="000B4D4D">
              <w:rPr>
                <w:szCs w:val="18"/>
              </w:rPr>
              <w:t>Een eerlijke groene en digitale transitie, inclusief consistentie met de Europese Klimaatwet</w:t>
            </w:r>
          </w:p>
          <w:p w:rsidRPr="000B4D4D" w:rsidR="004814C6" w:rsidP="002D5F54" w:rsidRDefault="004814C6" w14:paraId="2CF1AD4C" w14:textId="77777777">
            <w:pPr>
              <w:spacing w:line="276" w:lineRule="auto"/>
              <w:rPr>
                <w:szCs w:val="18"/>
              </w:rPr>
            </w:pPr>
          </w:p>
        </w:tc>
        <w:tc>
          <w:tcPr>
            <w:tcW w:w="700" w:type="pct"/>
          </w:tcPr>
          <w:p w:rsidRPr="000B4D4D" w:rsidR="004814C6" w:rsidP="1A5CB1CB" w:rsidRDefault="004814C6" w14:paraId="4E91FD6C" w14:textId="77777777">
            <w:pPr>
              <w:spacing w:line="276" w:lineRule="auto"/>
              <w:rPr>
                <w:szCs w:val="18"/>
              </w:rPr>
            </w:pPr>
            <w:r w:rsidRPr="000B4D4D">
              <w:rPr>
                <w:szCs w:val="18"/>
              </w:rPr>
              <w:t>On-track</w:t>
            </w:r>
          </w:p>
        </w:tc>
      </w:tr>
      <w:tr w:rsidRPr="000B4D4D" w:rsidR="00A448E9" w:rsidTr="00A448E9" w14:paraId="3F620AFD" w14:textId="77777777">
        <w:trPr>
          <w:trHeight w:val="300"/>
        </w:trPr>
        <w:tc>
          <w:tcPr>
            <w:tcW w:w="310" w:type="pct"/>
          </w:tcPr>
          <w:p w:rsidRPr="000B4D4D" w:rsidR="004814C6" w:rsidP="1A5CB1CB" w:rsidRDefault="004814C6" w14:paraId="0009ECB1" w14:textId="77777777">
            <w:pPr>
              <w:spacing w:line="276" w:lineRule="auto"/>
              <w:rPr>
                <w:szCs w:val="18"/>
              </w:rPr>
            </w:pPr>
            <w:r w:rsidRPr="000B4D4D">
              <w:rPr>
                <w:szCs w:val="18"/>
              </w:rPr>
              <w:t>18</w:t>
            </w:r>
          </w:p>
        </w:tc>
        <w:tc>
          <w:tcPr>
            <w:tcW w:w="1408" w:type="pct"/>
            <w:shd w:val="clear" w:color="auto" w:fill="auto"/>
          </w:tcPr>
          <w:p w:rsidRPr="000B4D4D" w:rsidR="004814C6" w:rsidP="1A5CB1CB" w:rsidRDefault="004814C6" w14:paraId="17C9E020" w14:textId="5F6474A4">
            <w:pPr>
              <w:spacing w:line="276" w:lineRule="auto"/>
              <w:rPr>
                <w:szCs w:val="18"/>
              </w:rPr>
            </w:pPr>
            <w:r w:rsidRPr="000B4D4D">
              <w:rPr>
                <w:szCs w:val="18"/>
              </w:rPr>
              <w:t>Instelling Klimaatfonds</w:t>
            </w:r>
            <w:r w:rsidRPr="000B4D4D" w:rsidR="00F57EFE">
              <w:rPr>
                <w:szCs w:val="18"/>
              </w:rPr>
              <w:t>*</w:t>
            </w:r>
          </w:p>
        </w:tc>
        <w:tc>
          <w:tcPr>
            <w:tcW w:w="626" w:type="pct"/>
          </w:tcPr>
          <w:p w:rsidRPr="000B4D4D" w:rsidR="004814C6" w:rsidP="002D5F54" w:rsidRDefault="004814C6" w14:paraId="36A7EA58" w14:textId="77777777">
            <w:pPr>
              <w:spacing w:line="276" w:lineRule="auto"/>
              <w:rPr>
                <w:szCs w:val="18"/>
              </w:rPr>
            </w:pPr>
          </w:p>
        </w:tc>
        <w:tc>
          <w:tcPr>
            <w:tcW w:w="625" w:type="pct"/>
          </w:tcPr>
          <w:p w:rsidRPr="000B4D4D" w:rsidR="004814C6" w:rsidP="002D5F54" w:rsidRDefault="004814C6" w14:paraId="62D5F45F" w14:textId="77777777">
            <w:pPr>
              <w:spacing w:line="276" w:lineRule="auto"/>
              <w:rPr>
                <w:szCs w:val="18"/>
              </w:rPr>
            </w:pPr>
          </w:p>
        </w:tc>
        <w:tc>
          <w:tcPr>
            <w:tcW w:w="1331" w:type="pct"/>
          </w:tcPr>
          <w:p w:rsidRPr="000B4D4D" w:rsidR="004814C6" w:rsidP="1A5CB1CB" w:rsidRDefault="004814C6" w14:paraId="450CD64D" w14:textId="77777777">
            <w:pPr>
              <w:spacing w:line="276" w:lineRule="auto"/>
              <w:rPr>
                <w:szCs w:val="18"/>
              </w:rPr>
            </w:pPr>
            <w:r w:rsidRPr="000B4D4D">
              <w:rPr>
                <w:szCs w:val="18"/>
              </w:rPr>
              <w:t>Een eerlijke groene en digitale transitie, inclusief consistentie met de Europese Klimaatwet</w:t>
            </w:r>
          </w:p>
          <w:p w:rsidRPr="000B4D4D" w:rsidR="004814C6" w:rsidP="002D5F54" w:rsidRDefault="004814C6" w14:paraId="18861022" w14:textId="77777777">
            <w:pPr>
              <w:spacing w:line="276" w:lineRule="auto"/>
              <w:rPr>
                <w:szCs w:val="18"/>
              </w:rPr>
            </w:pPr>
          </w:p>
        </w:tc>
        <w:tc>
          <w:tcPr>
            <w:tcW w:w="700" w:type="pct"/>
          </w:tcPr>
          <w:p w:rsidRPr="000B4D4D" w:rsidR="004814C6" w:rsidP="1A5CB1CB" w:rsidRDefault="004814C6" w14:paraId="6A2598C1" w14:textId="77777777">
            <w:pPr>
              <w:spacing w:line="276" w:lineRule="auto"/>
              <w:rPr>
                <w:szCs w:val="18"/>
              </w:rPr>
            </w:pPr>
            <w:r w:rsidRPr="000B4D4D">
              <w:rPr>
                <w:szCs w:val="18"/>
              </w:rPr>
              <w:t>On-track</w:t>
            </w:r>
          </w:p>
        </w:tc>
      </w:tr>
      <w:tr w:rsidRPr="000B4D4D" w:rsidR="00A448E9" w:rsidTr="00A448E9" w14:paraId="5CFFD70A" w14:textId="77777777">
        <w:trPr>
          <w:trHeight w:val="300"/>
        </w:trPr>
        <w:tc>
          <w:tcPr>
            <w:tcW w:w="310" w:type="pct"/>
          </w:tcPr>
          <w:p w:rsidRPr="000B4D4D" w:rsidR="004814C6" w:rsidP="1A5CB1CB" w:rsidRDefault="004814C6" w14:paraId="2F4C74D0" w14:textId="77777777">
            <w:pPr>
              <w:spacing w:line="276" w:lineRule="auto"/>
              <w:rPr>
                <w:szCs w:val="18"/>
              </w:rPr>
            </w:pPr>
            <w:r w:rsidRPr="000B4D4D">
              <w:rPr>
                <w:szCs w:val="18"/>
              </w:rPr>
              <w:t>19</w:t>
            </w:r>
          </w:p>
        </w:tc>
        <w:tc>
          <w:tcPr>
            <w:tcW w:w="1408" w:type="pct"/>
            <w:shd w:val="clear" w:color="auto" w:fill="auto"/>
          </w:tcPr>
          <w:p w:rsidRPr="000B4D4D" w:rsidR="004814C6" w:rsidP="1A5CB1CB" w:rsidRDefault="004814C6" w14:paraId="232A0E6E" w14:textId="4EAF84E4">
            <w:pPr>
              <w:spacing w:line="276" w:lineRule="auto"/>
              <w:rPr>
                <w:szCs w:val="18"/>
              </w:rPr>
            </w:pPr>
            <w:r w:rsidRPr="000B4D4D">
              <w:rPr>
                <w:szCs w:val="18"/>
              </w:rPr>
              <w:t>Investering 1: Subsidieregeling Publieke Laadinfrastructuur zwaar vervoer (SPULA)</w:t>
            </w:r>
          </w:p>
        </w:tc>
        <w:tc>
          <w:tcPr>
            <w:tcW w:w="626" w:type="pct"/>
          </w:tcPr>
          <w:p w:rsidRPr="000B4D4D" w:rsidR="004814C6" w:rsidP="002D5F54" w:rsidRDefault="004814C6" w14:paraId="1F7854A6" w14:textId="77777777">
            <w:pPr>
              <w:spacing w:line="276" w:lineRule="auto"/>
              <w:rPr>
                <w:szCs w:val="18"/>
              </w:rPr>
            </w:pPr>
          </w:p>
        </w:tc>
        <w:tc>
          <w:tcPr>
            <w:tcW w:w="625" w:type="pct"/>
          </w:tcPr>
          <w:p w:rsidRPr="000B4D4D" w:rsidR="004814C6" w:rsidP="1A5CB1CB" w:rsidRDefault="004814C6" w14:paraId="6654311B" w14:textId="77777777">
            <w:pPr>
              <w:spacing w:line="276" w:lineRule="auto"/>
              <w:rPr>
                <w:szCs w:val="18"/>
              </w:rPr>
            </w:pPr>
            <w:r w:rsidRPr="000B4D4D">
              <w:rPr>
                <w:szCs w:val="18"/>
                <w:lang w:val="en-US"/>
              </w:rPr>
              <w:t xml:space="preserve">2022.4.4 </w:t>
            </w:r>
          </w:p>
        </w:tc>
        <w:tc>
          <w:tcPr>
            <w:tcW w:w="1331" w:type="pct"/>
          </w:tcPr>
          <w:p w:rsidRPr="000B4D4D" w:rsidR="004814C6" w:rsidP="1A5CB1CB" w:rsidRDefault="004814C6" w14:paraId="46ECB99E" w14:textId="77777777">
            <w:pPr>
              <w:spacing w:line="276" w:lineRule="auto"/>
              <w:rPr>
                <w:szCs w:val="18"/>
              </w:rPr>
            </w:pPr>
            <w:r w:rsidRPr="000B4D4D">
              <w:rPr>
                <w:szCs w:val="18"/>
              </w:rPr>
              <w:t>Een eerlijke groene en digitale transitie, inclusief consistentie met de Europese Klimaatwet</w:t>
            </w:r>
          </w:p>
        </w:tc>
        <w:tc>
          <w:tcPr>
            <w:tcW w:w="700" w:type="pct"/>
          </w:tcPr>
          <w:p w:rsidRPr="000B4D4D" w:rsidR="004814C6" w:rsidP="1A5CB1CB" w:rsidRDefault="004814C6" w14:paraId="0299AFF4" w14:textId="77777777">
            <w:pPr>
              <w:spacing w:line="276" w:lineRule="auto"/>
              <w:rPr>
                <w:szCs w:val="18"/>
              </w:rPr>
            </w:pPr>
            <w:r w:rsidRPr="000B4D4D">
              <w:rPr>
                <w:szCs w:val="18"/>
              </w:rPr>
              <w:t>On-track</w:t>
            </w:r>
          </w:p>
        </w:tc>
      </w:tr>
      <w:tr w:rsidRPr="000B4D4D" w:rsidR="00A448E9" w:rsidTr="00A448E9" w14:paraId="52E1A438" w14:textId="77777777">
        <w:trPr>
          <w:trHeight w:val="300"/>
        </w:trPr>
        <w:tc>
          <w:tcPr>
            <w:tcW w:w="310" w:type="pct"/>
          </w:tcPr>
          <w:p w:rsidRPr="000B4D4D" w:rsidR="004814C6" w:rsidP="1A5CB1CB" w:rsidRDefault="004814C6" w14:paraId="5DE98BB3" w14:textId="77777777">
            <w:pPr>
              <w:spacing w:line="276" w:lineRule="auto"/>
              <w:rPr>
                <w:szCs w:val="18"/>
              </w:rPr>
            </w:pPr>
            <w:r w:rsidRPr="000B4D4D">
              <w:rPr>
                <w:szCs w:val="18"/>
              </w:rPr>
              <w:t>76</w:t>
            </w:r>
          </w:p>
        </w:tc>
        <w:tc>
          <w:tcPr>
            <w:tcW w:w="1408" w:type="pct"/>
            <w:shd w:val="clear" w:color="auto" w:fill="auto"/>
          </w:tcPr>
          <w:p w:rsidRPr="000B4D4D" w:rsidR="004814C6" w:rsidP="1A5CB1CB" w:rsidRDefault="004814C6" w14:paraId="63A1468A" w14:textId="77777777">
            <w:pPr>
              <w:spacing w:line="276" w:lineRule="auto"/>
              <w:rPr>
                <w:szCs w:val="18"/>
              </w:rPr>
            </w:pPr>
            <w:r w:rsidRPr="000B4D4D">
              <w:rPr>
                <w:szCs w:val="18"/>
              </w:rPr>
              <w:t>Oprichting centraal contactpunt NZIA en CRMA</w:t>
            </w:r>
          </w:p>
        </w:tc>
        <w:tc>
          <w:tcPr>
            <w:tcW w:w="626" w:type="pct"/>
          </w:tcPr>
          <w:p w:rsidRPr="000B4D4D" w:rsidR="004814C6" w:rsidP="002D5F54" w:rsidRDefault="004814C6" w14:paraId="3D1C0748" w14:textId="77777777">
            <w:pPr>
              <w:spacing w:line="276" w:lineRule="auto"/>
              <w:rPr>
                <w:szCs w:val="18"/>
              </w:rPr>
            </w:pPr>
          </w:p>
        </w:tc>
        <w:tc>
          <w:tcPr>
            <w:tcW w:w="625" w:type="pct"/>
          </w:tcPr>
          <w:p w:rsidRPr="000B4D4D" w:rsidR="004814C6" w:rsidP="002D5F54" w:rsidRDefault="004814C6" w14:paraId="77502540" w14:textId="77777777">
            <w:pPr>
              <w:spacing w:line="276" w:lineRule="auto"/>
              <w:rPr>
                <w:szCs w:val="18"/>
              </w:rPr>
            </w:pPr>
          </w:p>
        </w:tc>
        <w:tc>
          <w:tcPr>
            <w:tcW w:w="1331" w:type="pct"/>
          </w:tcPr>
          <w:p w:rsidRPr="000B4D4D" w:rsidR="004814C6" w:rsidP="1A5CB1CB" w:rsidRDefault="004814C6" w14:paraId="58B20F1F" w14:textId="77777777">
            <w:pPr>
              <w:spacing w:line="276" w:lineRule="auto"/>
              <w:rPr>
                <w:szCs w:val="18"/>
              </w:rPr>
            </w:pPr>
            <w:r w:rsidRPr="000B4D4D">
              <w:rPr>
                <w:szCs w:val="18"/>
              </w:rPr>
              <w:t>Een eerlijke groene en digitale transitie, inclusief consistentie met de Europese Klimaatwet</w:t>
            </w:r>
          </w:p>
        </w:tc>
        <w:tc>
          <w:tcPr>
            <w:tcW w:w="700" w:type="pct"/>
          </w:tcPr>
          <w:p w:rsidRPr="000B4D4D" w:rsidR="004814C6" w:rsidP="1A5CB1CB" w:rsidRDefault="004814C6" w14:paraId="41FAF04D" w14:textId="77777777">
            <w:pPr>
              <w:spacing w:line="276" w:lineRule="auto"/>
              <w:rPr>
                <w:szCs w:val="18"/>
              </w:rPr>
            </w:pPr>
            <w:r w:rsidRPr="000B4D4D">
              <w:rPr>
                <w:rStyle w:val="normaltextrun"/>
                <w:rFonts w:cs="Segoe UI"/>
                <w:szCs w:val="18"/>
              </w:rPr>
              <w:t>Delayed</w:t>
            </w:r>
          </w:p>
        </w:tc>
      </w:tr>
      <w:tr w:rsidRPr="000B4D4D" w:rsidR="00A448E9" w:rsidTr="00A448E9" w14:paraId="31776BA1" w14:textId="77777777">
        <w:trPr>
          <w:trHeight w:val="300"/>
        </w:trPr>
        <w:tc>
          <w:tcPr>
            <w:tcW w:w="310" w:type="pct"/>
          </w:tcPr>
          <w:p w:rsidRPr="000B4D4D" w:rsidR="004814C6" w:rsidP="1A5CB1CB" w:rsidRDefault="004814C6" w14:paraId="3565E7EA" w14:textId="77777777">
            <w:pPr>
              <w:spacing w:line="276" w:lineRule="auto"/>
              <w:rPr>
                <w:szCs w:val="18"/>
              </w:rPr>
            </w:pPr>
            <w:r w:rsidRPr="000B4D4D">
              <w:rPr>
                <w:szCs w:val="18"/>
              </w:rPr>
              <w:lastRenderedPageBreak/>
              <w:t>77</w:t>
            </w:r>
          </w:p>
        </w:tc>
        <w:tc>
          <w:tcPr>
            <w:tcW w:w="1408" w:type="pct"/>
            <w:shd w:val="clear" w:color="auto" w:fill="auto"/>
          </w:tcPr>
          <w:p w:rsidRPr="000B4D4D" w:rsidR="004814C6" w:rsidP="1A5CB1CB" w:rsidRDefault="004814C6" w14:paraId="217EC13E" w14:textId="77777777">
            <w:pPr>
              <w:spacing w:line="276" w:lineRule="auto"/>
              <w:rPr>
                <w:szCs w:val="18"/>
              </w:rPr>
            </w:pPr>
            <w:r w:rsidRPr="000B4D4D">
              <w:rPr>
                <w:szCs w:val="18"/>
              </w:rPr>
              <w:t>Rapport groeimarkten voor Nederland</w:t>
            </w:r>
          </w:p>
        </w:tc>
        <w:tc>
          <w:tcPr>
            <w:tcW w:w="626" w:type="pct"/>
          </w:tcPr>
          <w:p w:rsidRPr="000B4D4D" w:rsidR="004814C6" w:rsidP="002D5F54" w:rsidRDefault="004814C6" w14:paraId="16C83B12" w14:textId="77777777">
            <w:pPr>
              <w:spacing w:line="276" w:lineRule="auto"/>
              <w:rPr>
                <w:szCs w:val="18"/>
              </w:rPr>
            </w:pPr>
          </w:p>
        </w:tc>
        <w:tc>
          <w:tcPr>
            <w:tcW w:w="625" w:type="pct"/>
          </w:tcPr>
          <w:p w:rsidRPr="000B4D4D" w:rsidR="004814C6" w:rsidP="002D5F54" w:rsidRDefault="004814C6" w14:paraId="1A8EE953" w14:textId="77777777">
            <w:pPr>
              <w:spacing w:line="276" w:lineRule="auto"/>
              <w:rPr>
                <w:szCs w:val="18"/>
                <w:lang w:val="en-US"/>
              </w:rPr>
            </w:pPr>
          </w:p>
        </w:tc>
        <w:tc>
          <w:tcPr>
            <w:tcW w:w="1331" w:type="pct"/>
          </w:tcPr>
          <w:p w:rsidRPr="000B4D4D" w:rsidR="004814C6" w:rsidP="1A5CB1CB" w:rsidRDefault="004814C6" w14:paraId="7799C913" w14:textId="77777777">
            <w:pPr>
              <w:spacing w:line="276" w:lineRule="auto"/>
              <w:rPr>
                <w:szCs w:val="18"/>
              </w:rPr>
            </w:pPr>
            <w:r w:rsidRPr="000B4D4D">
              <w:rPr>
                <w:szCs w:val="18"/>
              </w:rPr>
              <w:t>Een eerlijke groene en digitale transitie, inclusief consistentie met de Europese Klimaatwet</w:t>
            </w:r>
          </w:p>
        </w:tc>
        <w:tc>
          <w:tcPr>
            <w:tcW w:w="700" w:type="pct"/>
          </w:tcPr>
          <w:p w:rsidRPr="000B4D4D" w:rsidR="004814C6" w:rsidP="1A5CB1CB" w:rsidRDefault="004814C6" w14:paraId="61C3D962" w14:textId="77777777">
            <w:pPr>
              <w:spacing w:line="276" w:lineRule="auto"/>
              <w:rPr>
                <w:szCs w:val="18"/>
              </w:rPr>
            </w:pPr>
            <w:r w:rsidRPr="000B4D4D">
              <w:rPr>
                <w:szCs w:val="18"/>
              </w:rPr>
              <w:t>Completed</w:t>
            </w:r>
          </w:p>
        </w:tc>
      </w:tr>
      <w:tr w:rsidRPr="000B4D4D" w:rsidR="004814C6" w:rsidTr="007A1844" w14:paraId="76E47F7E" w14:textId="77777777">
        <w:trPr>
          <w:trHeight w:val="300"/>
        </w:trPr>
        <w:tc>
          <w:tcPr>
            <w:tcW w:w="4300" w:type="pct"/>
            <w:gridSpan w:val="5"/>
            <w:shd w:val="clear" w:color="auto" w:fill="DDEFF8"/>
          </w:tcPr>
          <w:p w:rsidRPr="000B4D4D" w:rsidR="004814C6" w:rsidP="00800A85" w:rsidRDefault="004814C6" w14:paraId="4D68CFF6" w14:textId="77777777">
            <w:pPr>
              <w:spacing w:line="276" w:lineRule="auto"/>
              <w:rPr>
                <w:b/>
                <w:bCs/>
                <w:szCs w:val="18"/>
              </w:rPr>
            </w:pPr>
            <w:r w:rsidRPr="000B4D4D">
              <w:rPr>
                <w:szCs w:val="18"/>
              </w:rPr>
              <w:t>Sociale en economische veerkracht, inclusief de Europese Pijler van Sociale Rechten</w:t>
            </w:r>
          </w:p>
        </w:tc>
        <w:tc>
          <w:tcPr>
            <w:tcW w:w="700" w:type="pct"/>
            <w:shd w:val="clear" w:color="auto" w:fill="DDEFF8"/>
          </w:tcPr>
          <w:p w:rsidRPr="000B4D4D" w:rsidR="004814C6" w:rsidP="002D5F54" w:rsidRDefault="004814C6" w14:paraId="48FEED5A" w14:textId="77777777">
            <w:pPr>
              <w:spacing w:line="276" w:lineRule="auto"/>
              <w:rPr>
                <w:szCs w:val="18"/>
              </w:rPr>
            </w:pPr>
          </w:p>
        </w:tc>
      </w:tr>
      <w:tr w:rsidRPr="000B4D4D" w:rsidR="004814C6" w:rsidTr="00A448E9" w14:paraId="38330C56" w14:textId="77777777">
        <w:trPr>
          <w:trHeight w:val="300"/>
        </w:trPr>
        <w:tc>
          <w:tcPr>
            <w:tcW w:w="4300" w:type="pct"/>
            <w:gridSpan w:val="5"/>
          </w:tcPr>
          <w:p w:rsidRPr="000B4D4D" w:rsidR="004814C6" w:rsidP="00800A85" w:rsidRDefault="004814C6" w14:paraId="36FBF0E5" w14:textId="77777777">
            <w:pPr>
              <w:spacing w:line="276" w:lineRule="auto"/>
              <w:rPr>
                <w:b/>
                <w:bCs/>
                <w:szCs w:val="18"/>
              </w:rPr>
            </w:pPr>
            <w:r w:rsidRPr="000B4D4D">
              <w:rPr>
                <w:b/>
                <w:bCs/>
                <w:szCs w:val="18"/>
              </w:rPr>
              <w:t>Belastingsysteem</w:t>
            </w:r>
          </w:p>
        </w:tc>
        <w:tc>
          <w:tcPr>
            <w:tcW w:w="700" w:type="pct"/>
          </w:tcPr>
          <w:p w:rsidRPr="000B4D4D" w:rsidR="004814C6" w:rsidP="002D5F54" w:rsidRDefault="004814C6" w14:paraId="7A555F39" w14:textId="77777777">
            <w:pPr>
              <w:spacing w:line="276" w:lineRule="auto"/>
              <w:rPr>
                <w:b/>
                <w:bCs/>
                <w:szCs w:val="18"/>
              </w:rPr>
            </w:pPr>
          </w:p>
        </w:tc>
      </w:tr>
      <w:tr w:rsidRPr="000B4D4D" w:rsidR="00A448E9" w:rsidTr="00A448E9" w14:paraId="4ACB8971" w14:textId="77777777">
        <w:trPr>
          <w:trHeight w:val="300"/>
        </w:trPr>
        <w:tc>
          <w:tcPr>
            <w:tcW w:w="310" w:type="pct"/>
          </w:tcPr>
          <w:p w:rsidRPr="000B4D4D" w:rsidR="004814C6" w:rsidP="1A5CB1CB" w:rsidRDefault="004814C6" w14:paraId="196D182F" w14:textId="77777777">
            <w:pPr>
              <w:spacing w:line="276" w:lineRule="auto"/>
              <w:rPr>
                <w:szCs w:val="18"/>
              </w:rPr>
            </w:pPr>
            <w:r w:rsidRPr="000B4D4D">
              <w:rPr>
                <w:szCs w:val="18"/>
              </w:rPr>
              <w:t>20</w:t>
            </w:r>
          </w:p>
        </w:tc>
        <w:tc>
          <w:tcPr>
            <w:tcW w:w="1408" w:type="pct"/>
            <w:shd w:val="clear" w:color="auto" w:fill="auto"/>
          </w:tcPr>
          <w:p w:rsidRPr="000B4D4D" w:rsidR="004814C6" w:rsidP="1A5CB1CB" w:rsidRDefault="004814C6" w14:paraId="09458DDB" w14:textId="77777777">
            <w:pPr>
              <w:spacing w:line="276" w:lineRule="auto"/>
              <w:rPr>
                <w:szCs w:val="18"/>
              </w:rPr>
            </w:pPr>
            <w:r w:rsidRPr="000B4D4D">
              <w:rPr>
                <w:szCs w:val="18"/>
              </w:rPr>
              <w:t>Hervorming: belasten van inkomen uit vermogen</w:t>
            </w:r>
          </w:p>
        </w:tc>
        <w:tc>
          <w:tcPr>
            <w:tcW w:w="626" w:type="pct"/>
          </w:tcPr>
          <w:p w:rsidRPr="000B4D4D" w:rsidR="004814C6" w:rsidP="1A5CB1CB" w:rsidRDefault="004814C6" w14:paraId="4C5FC8AC" w14:textId="77777777">
            <w:pPr>
              <w:spacing w:line="276" w:lineRule="auto"/>
              <w:rPr>
                <w:szCs w:val="18"/>
              </w:rPr>
            </w:pPr>
            <w:r w:rsidRPr="000B4D4D">
              <w:rPr>
                <w:szCs w:val="18"/>
              </w:rPr>
              <w:t>-</w:t>
            </w:r>
          </w:p>
        </w:tc>
        <w:tc>
          <w:tcPr>
            <w:tcW w:w="625" w:type="pct"/>
          </w:tcPr>
          <w:p w:rsidRPr="000B4D4D" w:rsidR="004814C6" w:rsidP="1A5CB1CB" w:rsidRDefault="004814C6" w14:paraId="11A25E95" w14:textId="77777777">
            <w:pPr>
              <w:spacing w:line="276" w:lineRule="auto"/>
              <w:rPr>
                <w:szCs w:val="18"/>
              </w:rPr>
            </w:pPr>
            <w:r w:rsidRPr="000B4D4D">
              <w:rPr>
                <w:szCs w:val="18"/>
              </w:rPr>
              <w:t>2024.1.3 2023.1.5 2022.1.4 2019.1.1</w:t>
            </w:r>
          </w:p>
        </w:tc>
        <w:tc>
          <w:tcPr>
            <w:tcW w:w="1331" w:type="pct"/>
          </w:tcPr>
          <w:p w:rsidRPr="000B4D4D" w:rsidR="004814C6" w:rsidP="1A5CB1CB" w:rsidRDefault="004814C6" w14:paraId="1D13236B"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02427693" w14:textId="77777777">
            <w:pPr>
              <w:spacing w:line="276" w:lineRule="auto"/>
              <w:rPr>
                <w:szCs w:val="18"/>
              </w:rPr>
            </w:pPr>
            <w:r w:rsidRPr="000B4D4D">
              <w:rPr>
                <w:szCs w:val="18"/>
              </w:rPr>
              <w:t>On-track</w:t>
            </w:r>
          </w:p>
        </w:tc>
      </w:tr>
      <w:tr w:rsidRPr="000B4D4D" w:rsidR="004814C6" w:rsidTr="00A448E9" w14:paraId="4513EEAC" w14:textId="77777777">
        <w:trPr>
          <w:trHeight w:val="300"/>
        </w:trPr>
        <w:tc>
          <w:tcPr>
            <w:tcW w:w="4300" w:type="pct"/>
            <w:gridSpan w:val="5"/>
          </w:tcPr>
          <w:p w:rsidRPr="000B4D4D" w:rsidR="004814C6" w:rsidP="00800A85" w:rsidRDefault="004814C6" w14:paraId="7D649C0D" w14:textId="77777777">
            <w:pPr>
              <w:spacing w:line="276" w:lineRule="auto"/>
              <w:rPr>
                <w:b/>
                <w:bCs/>
                <w:szCs w:val="18"/>
              </w:rPr>
            </w:pPr>
            <w:r w:rsidRPr="000B4D4D">
              <w:rPr>
                <w:b/>
                <w:bCs/>
                <w:szCs w:val="18"/>
              </w:rPr>
              <w:t>Woningmarkt</w:t>
            </w:r>
          </w:p>
        </w:tc>
        <w:tc>
          <w:tcPr>
            <w:tcW w:w="700" w:type="pct"/>
          </w:tcPr>
          <w:p w:rsidRPr="000B4D4D" w:rsidR="004814C6" w:rsidP="002D5F54" w:rsidRDefault="004814C6" w14:paraId="17C39410" w14:textId="77777777">
            <w:pPr>
              <w:spacing w:line="276" w:lineRule="auto"/>
              <w:rPr>
                <w:b/>
                <w:bCs/>
                <w:szCs w:val="18"/>
              </w:rPr>
            </w:pPr>
          </w:p>
        </w:tc>
      </w:tr>
      <w:tr w:rsidRPr="000B4D4D" w:rsidR="00A448E9" w:rsidTr="00A448E9" w14:paraId="2B0FE0A3" w14:textId="77777777">
        <w:trPr>
          <w:trHeight w:val="300"/>
        </w:trPr>
        <w:tc>
          <w:tcPr>
            <w:tcW w:w="310" w:type="pct"/>
          </w:tcPr>
          <w:p w:rsidRPr="000B4D4D" w:rsidR="004814C6" w:rsidP="00800A85" w:rsidRDefault="004814C6" w14:paraId="28B8138E" w14:textId="77777777">
            <w:pPr>
              <w:spacing w:line="276" w:lineRule="auto"/>
              <w:rPr>
                <w:rStyle w:val="normaltextrun"/>
                <w:rFonts w:cs="Segoe UI"/>
                <w:szCs w:val="18"/>
              </w:rPr>
            </w:pPr>
            <w:r w:rsidRPr="000B4D4D">
              <w:rPr>
                <w:szCs w:val="18"/>
              </w:rPr>
              <w:t>21</w:t>
            </w:r>
          </w:p>
        </w:tc>
        <w:tc>
          <w:tcPr>
            <w:tcW w:w="1408" w:type="pct"/>
          </w:tcPr>
          <w:p w:rsidRPr="000B4D4D" w:rsidR="004814C6" w:rsidP="1A5CB1CB" w:rsidRDefault="004814C6" w14:paraId="38D2E49C" w14:textId="77777777">
            <w:pPr>
              <w:spacing w:line="276" w:lineRule="auto"/>
              <w:rPr>
                <w:szCs w:val="18"/>
              </w:rPr>
            </w:pPr>
            <w:r w:rsidRPr="000B4D4D">
              <w:rPr>
                <w:szCs w:val="18"/>
              </w:rPr>
              <w:t>Hervorming: Aanwijzing grootschalige woningbouwlocaties en NOVEX gebieden</w:t>
            </w:r>
          </w:p>
        </w:tc>
        <w:tc>
          <w:tcPr>
            <w:tcW w:w="626" w:type="pct"/>
          </w:tcPr>
          <w:p w:rsidRPr="000B4D4D" w:rsidR="004814C6" w:rsidP="1A5CB1CB" w:rsidRDefault="004814C6" w14:paraId="0D990D17" w14:textId="77777777">
            <w:pPr>
              <w:spacing w:line="276" w:lineRule="auto"/>
              <w:rPr>
                <w:szCs w:val="18"/>
              </w:rPr>
            </w:pPr>
            <w:r w:rsidRPr="000B4D4D">
              <w:rPr>
                <w:szCs w:val="18"/>
              </w:rPr>
              <w:t>-</w:t>
            </w:r>
          </w:p>
        </w:tc>
        <w:tc>
          <w:tcPr>
            <w:tcW w:w="625" w:type="pct"/>
          </w:tcPr>
          <w:p w:rsidRPr="000B4D4D" w:rsidR="004814C6" w:rsidP="1A5CB1CB" w:rsidRDefault="004814C6" w14:paraId="4397EBB8" w14:textId="77777777">
            <w:pPr>
              <w:spacing w:line="276" w:lineRule="auto"/>
              <w:rPr>
                <w:szCs w:val="18"/>
              </w:rPr>
            </w:pPr>
            <w:r w:rsidRPr="000B4D4D">
              <w:rPr>
                <w:szCs w:val="18"/>
              </w:rPr>
              <w:t xml:space="preserve">2024.1.4 2023.1.6  </w:t>
            </w:r>
          </w:p>
        </w:tc>
        <w:tc>
          <w:tcPr>
            <w:tcW w:w="1331" w:type="pct"/>
          </w:tcPr>
          <w:p w:rsidRPr="000B4D4D" w:rsidR="004814C6" w:rsidP="1A5CB1CB" w:rsidRDefault="004814C6" w14:paraId="363ACCCF" w14:textId="77777777">
            <w:pPr>
              <w:spacing w:line="276" w:lineRule="auto"/>
              <w:rPr>
                <w:szCs w:val="18"/>
              </w:rPr>
            </w:pPr>
            <w:r w:rsidRPr="000B4D4D">
              <w:rPr>
                <w:szCs w:val="18"/>
              </w:rPr>
              <w:t>-</w:t>
            </w:r>
          </w:p>
        </w:tc>
        <w:tc>
          <w:tcPr>
            <w:tcW w:w="700" w:type="pct"/>
          </w:tcPr>
          <w:p w:rsidRPr="000B4D4D" w:rsidR="004814C6" w:rsidP="1A5CB1CB" w:rsidRDefault="004814C6" w14:paraId="08CFE84F" w14:textId="77777777">
            <w:pPr>
              <w:spacing w:line="276" w:lineRule="auto"/>
              <w:rPr>
                <w:szCs w:val="18"/>
              </w:rPr>
            </w:pPr>
            <w:r w:rsidRPr="000B4D4D">
              <w:rPr>
                <w:szCs w:val="18"/>
              </w:rPr>
              <w:t>Completed</w:t>
            </w:r>
          </w:p>
        </w:tc>
      </w:tr>
      <w:tr w:rsidRPr="000B4D4D" w:rsidR="00A448E9" w:rsidTr="00A448E9" w14:paraId="0E0F507B" w14:textId="77777777">
        <w:trPr>
          <w:trHeight w:val="300"/>
        </w:trPr>
        <w:tc>
          <w:tcPr>
            <w:tcW w:w="310" w:type="pct"/>
          </w:tcPr>
          <w:p w:rsidRPr="000B4D4D" w:rsidR="004814C6" w:rsidP="00800A85" w:rsidRDefault="004814C6" w14:paraId="1B29A110" w14:textId="77777777">
            <w:pPr>
              <w:spacing w:line="276" w:lineRule="auto"/>
              <w:rPr>
                <w:rStyle w:val="normaltextrun"/>
                <w:rFonts w:cs="Segoe UI"/>
                <w:szCs w:val="18"/>
              </w:rPr>
            </w:pPr>
            <w:r w:rsidRPr="000B4D4D">
              <w:rPr>
                <w:szCs w:val="18"/>
              </w:rPr>
              <w:t>22</w:t>
            </w:r>
          </w:p>
        </w:tc>
        <w:tc>
          <w:tcPr>
            <w:tcW w:w="1408" w:type="pct"/>
          </w:tcPr>
          <w:p w:rsidRPr="000B4D4D" w:rsidR="004814C6" w:rsidP="1A5CB1CB" w:rsidRDefault="004814C6" w14:paraId="2714A01B" w14:textId="77777777">
            <w:pPr>
              <w:spacing w:line="276" w:lineRule="auto"/>
              <w:rPr>
                <w:szCs w:val="18"/>
              </w:rPr>
            </w:pPr>
            <w:r w:rsidRPr="000B4D4D">
              <w:rPr>
                <w:szCs w:val="18"/>
              </w:rPr>
              <w:t xml:space="preserve">Investering: Financiële ondersteuning om sneller en betaalbaarder te kunnen bouwen </w:t>
            </w:r>
          </w:p>
          <w:p w:rsidRPr="000B4D4D" w:rsidR="004814C6" w:rsidP="002D5F54" w:rsidRDefault="004814C6" w14:paraId="5D4EF59D" w14:textId="77777777">
            <w:pPr>
              <w:spacing w:line="276" w:lineRule="auto"/>
              <w:rPr>
                <w:szCs w:val="18"/>
              </w:rPr>
            </w:pPr>
          </w:p>
        </w:tc>
        <w:tc>
          <w:tcPr>
            <w:tcW w:w="626" w:type="pct"/>
          </w:tcPr>
          <w:p w:rsidRPr="000B4D4D" w:rsidR="004814C6" w:rsidP="00800A85" w:rsidRDefault="004814C6" w14:paraId="39315EA7" w14:textId="77777777">
            <w:pPr>
              <w:spacing w:after="160" w:line="276" w:lineRule="auto"/>
              <w:rPr>
                <w:rFonts w:eastAsia="Verdana" w:cs="Verdana"/>
                <w:szCs w:val="18"/>
              </w:rPr>
            </w:pPr>
            <w:r w:rsidRPr="000B4D4D">
              <w:rPr>
                <w:szCs w:val="18"/>
              </w:rPr>
              <w:t>H</w:t>
            </w:r>
            <w:r w:rsidRPr="000B4D4D">
              <w:rPr>
                <w:rFonts w:eastAsia="Verdana" w:cs="Verdana"/>
                <w:szCs w:val="18"/>
              </w:rPr>
              <w:t>VP (C3.1 R3-1, C3.1 R3-2)</w:t>
            </w:r>
          </w:p>
          <w:p w:rsidRPr="000B4D4D" w:rsidR="004814C6" w:rsidP="002D5F54" w:rsidRDefault="004814C6" w14:paraId="3609059C" w14:textId="77777777">
            <w:pPr>
              <w:spacing w:line="276" w:lineRule="auto"/>
              <w:rPr>
                <w:szCs w:val="18"/>
              </w:rPr>
            </w:pPr>
          </w:p>
          <w:p w:rsidRPr="000B4D4D" w:rsidR="004814C6" w:rsidP="002D5F54" w:rsidRDefault="004814C6" w14:paraId="1328FC74" w14:textId="77777777">
            <w:pPr>
              <w:spacing w:line="276" w:lineRule="auto"/>
              <w:rPr>
                <w:szCs w:val="18"/>
              </w:rPr>
            </w:pPr>
          </w:p>
        </w:tc>
        <w:tc>
          <w:tcPr>
            <w:tcW w:w="625" w:type="pct"/>
          </w:tcPr>
          <w:p w:rsidRPr="000B4D4D" w:rsidR="004814C6" w:rsidP="1A5CB1CB" w:rsidRDefault="004814C6" w14:paraId="2669AC42" w14:textId="77777777">
            <w:pPr>
              <w:spacing w:line="276" w:lineRule="auto"/>
              <w:rPr>
                <w:szCs w:val="18"/>
              </w:rPr>
            </w:pPr>
            <w:r w:rsidRPr="000B4D4D">
              <w:rPr>
                <w:szCs w:val="18"/>
              </w:rPr>
              <w:t xml:space="preserve">2024.1.4 2023.1.6  </w:t>
            </w:r>
          </w:p>
        </w:tc>
        <w:tc>
          <w:tcPr>
            <w:tcW w:w="1331" w:type="pct"/>
          </w:tcPr>
          <w:p w:rsidRPr="000B4D4D" w:rsidR="004814C6" w:rsidP="1A5CB1CB" w:rsidRDefault="004814C6" w14:paraId="3F0229B5" w14:textId="77777777">
            <w:pPr>
              <w:spacing w:line="276" w:lineRule="auto"/>
              <w:rPr>
                <w:szCs w:val="18"/>
              </w:rPr>
            </w:pPr>
            <w:r w:rsidRPr="000B4D4D">
              <w:rPr>
                <w:szCs w:val="18"/>
              </w:rPr>
              <w:t>-</w:t>
            </w:r>
          </w:p>
        </w:tc>
        <w:tc>
          <w:tcPr>
            <w:tcW w:w="700" w:type="pct"/>
          </w:tcPr>
          <w:p w:rsidRPr="000B4D4D" w:rsidR="004814C6" w:rsidP="1A5CB1CB" w:rsidRDefault="004814C6" w14:paraId="5106D467" w14:textId="77777777">
            <w:pPr>
              <w:spacing w:line="276" w:lineRule="auto"/>
              <w:rPr>
                <w:szCs w:val="18"/>
              </w:rPr>
            </w:pPr>
            <w:r w:rsidRPr="000B4D4D">
              <w:rPr>
                <w:szCs w:val="18"/>
              </w:rPr>
              <w:t>On-track</w:t>
            </w:r>
          </w:p>
        </w:tc>
      </w:tr>
      <w:tr w:rsidRPr="000B4D4D" w:rsidR="00A448E9" w:rsidTr="00A448E9" w14:paraId="1CB79659" w14:textId="77777777">
        <w:trPr>
          <w:trHeight w:val="300"/>
        </w:trPr>
        <w:tc>
          <w:tcPr>
            <w:tcW w:w="310" w:type="pct"/>
          </w:tcPr>
          <w:p w:rsidRPr="000B4D4D" w:rsidR="004814C6" w:rsidP="1A5CB1CB" w:rsidRDefault="004814C6" w14:paraId="7C8F4916" w14:textId="77777777">
            <w:pPr>
              <w:spacing w:line="276" w:lineRule="auto"/>
              <w:rPr>
                <w:szCs w:val="18"/>
              </w:rPr>
            </w:pPr>
            <w:r w:rsidRPr="000B4D4D">
              <w:rPr>
                <w:szCs w:val="18"/>
              </w:rPr>
              <w:t>23</w:t>
            </w:r>
          </w:p>
        </w:tc>
        <w:tc>
          <w:tcPr>
            <w:tcW w:w="1408" w:type="pct"/>
          </w:tcPr>
          <w:p w:rsidRPr="000B4D4D" w:rsidR="004814C6" w:rsidP="1A5CB1CB" w:rsidRDefault="004814C6" w14:paraId="1FF3B8FF" w14:textId="77777777">
            <w:pPr>
              <w:spacing w:line="276" w:lineRule="auto"/>
              <w:rPr>
                <w:szCs w:val="18"/>
              </w:rPr>
            </w:pPr>
            <w:r w:rsidRPr="000B4D4D">
              <w:rPr>
                <w:szCs w:val="18"/>
              </w:rPr>
              <w:t>Hervorming: Wet Versterking regie Volkshuisvesting Versnellen en verkorten beroepsprocedures</w:t>
            </w:r>
          </w:p>
          <w:p w:rsidRPr="000B4D4D" w:rsidR="004814C6" w:rsidP="002D5F54" w:rsidRDefault="004814C6" w14:paraId="640CC69B" w14:textId="77777777">
            <w:pPr>
              <w:spacing w:line="276" w:lineRule="auto"/>
              <w:rPr>
                <w:szCs w:val="18"/>
              </w:rPr>
            </w:pPr>
          </w:p>
        </w:tc>
        <w:tc>
          <w:tcPr>
            <w:tcW w:w="626" w:type="pct"/>
          </w:tcPr>
          <w:p w:rsidRPr="000B4D4D" w:rsidR="004814C6" w:rsidP="1A5CB1CB" w:rsidRDefault="004814C6" w14:paraId="592C1C72" w14:textId="77777777">
            <w:pPr>
              <w:spacing w:line="276" w:lineRule="auto"/>
              <w:rPr>
                <w:szCs w:val="18"/>
              </w:rPr>
            </w:pPr>
            <w:r w:rsidRPr="000B4D4D">
              <w:rPr>
                <w:szCs w:val="18"/>
              </w:rPr>
              <w:t>HVP (</w:t>
            </w:r>
            <w:r w:rsidRPr="000B4D4D">
              <w:rPr>
                <w:rFonts w:eastAsia="Verdana" w:cs="Verdana"/>
                <w:szCs w:val="18"/>
              </w:rPr>
              <w:t>C3.1 R3-4)</w:t>
            </w:r>
          </w:p>
          <w:p w:rsidRPr="000B4D4D" w:rsidR="004814C6" w:rsidP="002D5F54" w:rsidRDefault="004814C6" w14:paraId="0C4C3016" w14:textId="77777777">
            <w:pPr>
              <w:spacing w:line="276" w:lineRule="auto"/>
              <w:rPr>
                <w:szCs w:val="18"/>
              </w:rPr>
            </w:pPr>
          </w:p>
        </w:tc>
        <w:tc>
          <w:tcPr>
            <w:tcW w:w="625" w:type="pct"/>
          </w:tcPr>
          <w:p w:rsidRPr="000B4D4D" w:rsidR="004814C6" w:rsidP="1A5CB1CB" w:rsidRDefault="004814C6" w14:paraId="61DD7A55" w14:textId="77777777">
            <w:pPr>
              <w:spacing w:line="276" w:lineRule="auto"/>
              <w:rPr>
                <w:szCs w:val="18"/>
              </w:rPr>
            </w:pPr>
            <w:r w:rsidRPr="000B4D4D">
              <w:rPr>
                <w:szCs w:val="18"/>
              </w:rPr>
              <w:t xml:space="preserve">2024.1.4 2023.1.6  </w:t>
            </w:r>
          </w:p>
        </w:tc>
        <w:tc>
          <w:tcPr>
            <w:tcW w:w="1331" w:type="pct"/>
          </w:tcPr>
          <w:p w:rsidRPr="000B4D4D" w:rsidR="004814C6" w:rsidP="1A5CB1CB" w:rsidRDefault="004814C6" w14:paraId="08AAED84" w14:textId="77777777">
            <w:pPr>
              <w:spacing w:line="276" w:lineRule="auto"/>
              <w:rPr>
                <w:szCs w:val="18"/>
              </w:rPr>
            </w:pPr>
            <w:r w:rsidRPr="000B4D4D">
              <w:rPr>
                <w:szCs w:val="18"/>
              </w:rPr>
              <w:t>-</w:t>
            </w:r>
          </w:p>
        </w:tc>
        <w:tc>
          <w:tcPr>
            <w:tcW w:w="700" w:type="pct"/>
          </w:tcPr>
          <w:p w:rsidRPr="000B4D4D" w:rsidR="004814C6" w:rsidP="1A5CB1CB" w:rsidRDefault="004814C6" w14:paraId="2066A43E" w14:textId="77777777">
            <w:pPr>
              <w:spacing w:line="276" w:lineRule="auto"/>
              <w:rPr>
                <w:szCs w:val="18"/>
              </w:rPr>
            </w:pPr>
            <w:r w:rsidRPr="000B4D4D">
              <w:rPr>
                <w:szCs w:val="18"/>
              </w:rPr>
              <w:t>Delayed</w:t>
            </w:r>
          </w:p>
        </w:tc>
      </w:tr>
      <w:tr w:rsidRPr="000B4D4D" w:rsidR="00A448E9" w:rsidTr="00A448E9" w14:paraId="183CF241" w14:textId="77777777">
        <w:trPr>
          <w:trHeight w:val="300"/>
        </w:trPr>
        <w:tc>
          <w:tcPr>
            <w:tcW w:w="310" w:type="pct"/>
          </w:tcPr>
          <w:p w:rsidRPr="000B4D4D" w:rsidR="004814C6" w:rsidP="00800A85" w:rsidRDefault="004814C6" w14:paraId="4A0F942C"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24</w:t>
            </w:r>
          </w:p>
        </w:tc>
        <w:tc>
          <w:tcPr>
            <w:tcW w:w="1408" w:type="pct"/>
          </w:tcPr>
          <w:p w:rsidRPr="000B4D4D" w:rsidR="004814C6" w:rsidP="1A5CB1CB" w:rsidRDefault="004814C6" w14:paraId="52B42C88" w14:textId="77777777">
            <w:pPr>
              <w:spacing w:line="276" w:lineRule="auto"/>
              <w:rPr>
                <w:szCs w:val="18"/>
              </w:rPr>
            </w:pPr>
            <w:r w:rsidRPr="000B4D4D">
              <w:rPr>
                <w:szCs w:val="18"/>
              </w:rPr>
              <w:t>Hervorming: Wet betaalbare huur: modernisering WWS, nieuwbouwopslag, afspraken met IVBN en corporatiesector over nieuwbouw middenhuur (100.000 woningen in totaal)</w:t>
            </w:r>
          </w:p>
          <w:p w:rsidRPr="000B4D4D" w:rsidR="004814C6" w:rsidP="002D5F54" w:rsidRDefault="004814C6" w14:paraId="651D415C" w14:textId="77777777">
            <w:pPr>
              <w:spacing w:line="276" w:lineRule="auto"/>
              <w:rPr>
                <w:szCs w:val="18"/>
              </w:rPr>
            </w:pPr>
          </w:p>
        </w:tc>
        <w:tc>
          <w:tcPr>
            <w:tcW w:w="626" w:type="pct"/>
          </w:tcPr>
          <w:p w:rsidRPr="000B4D4D" w:rsidR="004814C6" w:rsidP="1A5CB1CB" w:rsidRDefault="004814C6" w14:paraId="2E614C1A" w14:textId="77777777">
            <w:pPr>
              <w:spacing w:line="276" w:lineRule="auto"/>
              <w:rPr>
                <w:szCs w:val="18"/>
              </w:rPr>
            </w:pPr>
            <w:r w:rsidRPr="000B4D4D">
              <w:rPr>
                <w:szCs w:val="18"/>
              </w:rPr>
              <w:t>-</w:t>
            </w:r>
          </w:p>
          <w:p w:rsidRPr="000B4D4D" w:rsidR="004814C6" w:rsidP="002D5F54" w:rsidRDefault="004814C6" w14:paraId="65B14794" w14:textId="77777777">
            <w:pPr>
              <w:spacing w:line="276" w:lineRule="auto"/>
              <w:rPr>
                <w:szCs w:val="18"/>
              </w:rPr>
            </w:pPr>
          </w:p>
        </w:tc>
        <w:tc>
          <w:tcPr>
            <w:tcW w:w="625" w:type="pct"/>
          </w:tcPr>
          <w:p w:rsidRPr="000B4D4D" w:rsidR="004814C6" w:rsidP="1A5CB1CB" w:rsidRDefault="004814C6" w14:paraId="5D13D334" w14:textId="77777777">
            <w:pPr>
              <w:spacing w:line="276" w:lineRule="auto"/>
              <w:rPr>
                <w:szCs w:val="18"/>
              </w:rPr>
            </w:pPr>
            <w:r w:rsidRPr="000B4D4D">
              <w:rPr>
                <w:szCs w:val="18"/>
              </w:rPr>
              <w:t xml:space="preserve">2024.1.4 2023.1.6  </w:t>
            </w:r>
          </w:p>
        </w:tc>
        <w:tc>
          <w:tcPr>
            <w:tcW w:w="1331" w:type="pct"/>
          </w:tcPr>
          <w:p w:rsidRPr="000B4D4D" w:rsidR="004814C6" w:rsidP="1A5CB1CB" w:rsidRDefault="004814C6" w14:paraId="5C9A54F2" w14:textId="77777777">
            <w:pPr>
              <w:spacing w:line="276" w:lineRule="auto"/>
              <w:rPr>
                <w:szCs w:val="18"/>
              </w:rPr>
            </w:pPr>
            <w:r w:rsidRPr="000B4D4D">
              <w:rPr>
                <w:szCs w:val="18"/>
              </w:rPr>
              <w:t>-</w:t>
            </w:r>
          </w:p>
        </w:tc>
        <w:tc>
          <w:tcPr>
            <w:tcW w:w="700" w:type="pct"/>
          </w:tcPr>
          <w:p w:rsidRPr="000B4D4D" w:rsidR="004814C6" w:rsidP="1A5CB1CB" w:rsidRDefault="004814C6" w14:paraId="27B9A6B3" w14:textId="77777777">
            <w:pPr>
              <w:spacing w:line="276" w:lineRule="auto"/>
              <w:rPr>
                <w:szCs w:val="18"/>
              </w:rPr>
            </w:pPr>
            <w:r w:rsidRPr="000B4D4D">
              <w:rPr>
                <w:szCs w:val="18"/>
              </w:rPr>
              <w:t>Completed</w:t>
            </w:r>
          </w:p>
        </w:tc>
      </w:tr>
      <w:tr w:rsidRPr="000B4D4D" w:rsidR="00A448E9" w:rsidTr="00A448E9" w14:paraId="584F251A" w14:textId="77777777">
        <w:trPr>
          <w:trHeight w:val="300"/>
        </w:trPr>
        <w:tc>
          <w:tcPr>
            <w:tcW w:w="310" w:type="pct"/>
          </w:tcPr>
          <w:p w:rsidRPr="000B4D4D" w:rsidR="004814C6" w:rsidP="00800A85" w:rsidRDefault="004814C6" w14:paraId="75265731"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25</w:t>
            </w:r>
          </w:p>
        </w:tc>
        <w:tc>
          <w:tcPr>
            <w:tcW w:w="1408" w:type="pct"/>
          </w:tcPr>
          <w:p w:rsidRPr="000B4D4D" w:rsidR="004814C6" w:rsidP="1A5CB1CB" w:rsidRDefault="004814C6" w14:paraId="5AEBD9C0" w14:textId="77777777">
            <w:pPr>
              <w:spacing w:line="276" w:lineRule="auto"/>
              <w:rPr>
                <w:szCs w:val="18"/>
              </w:rPr>
            </w:pPr>
            <w:r w:rsidRPr="000B4D4D">
              <w:rPr>
                <w:szCs w:val="18"/>
              </w:rPr>
              <w:t>Hervorming: Wetsvoorstel Hervorming Huurtoeslag ter ondersteuning betaalbaarheid in midden- en vrije huursector.</w:t>
            </w:r>
          </w:p>
        </w:tc>
        <w:tc>
          <w:tcPr>
            <w:tcW w:w="626" w:type="pct"/>
          </w:tcPr>
          <w:p w:rsidRPr="000B4D4D" w:rsidR="004814C6" w:rsidP="1A5CB1CB" w:rsidRDefault="004814C6" w14:paraId="250D8AC5" w14:textId="77777777">
            <w:pPr>
              <w:spacing w:line="276" w:lineRule="auto"/>
              <w:rPr>
                <w:szCs w:val="18"/>
              </w:rPr>
            </w:pPr>
            <w:r w:rsidRPr="000B4D4D">
              <w:rPr>
                <w:szCs w:val="18"/>
              </w:rPr>
              <w:t>-</w:t>
            </w:r>
          </w:p>
          <w:p w:rsidRPr="000B4D4D" w:rsidR="004814C6" w:rsidP="002D5F54" w:rsidRDefault="004814C6" w14:paraId="13917040" w14:textId="77777777">
            <w:pPr>
              <w:spacing w:line="276" w:lineRule="auto"/>
              <w:rPr>
                <w:szCs w:val="18"/>
              </w:rPr>
            </w:pPr>
          </w:p>
        </w:tc>
        <w:tc>
          <w:tcPr>
            <w:tcW w:w="625" w:type="pct"/>
          </w:tcPr>
          <w:p w:rsidRPr="000B4D4D" w:rsidR="004814C6" w:rsidP="1A5CB1CB" w:rsidRDefault="004814C6" w14:paraId="4D8C0211" w14:textId="77777777">
            <w:pPr>
              <w:spacing w:line="276" w:lineRule="auto"/>
              <w:rPr>
                <w:szCs w:val="18"/>
              </w:rPr>
            </w:pPr>
            <w:r w:rsidRPr="000B4D4D">
              <w:rPr>
                <w:szCs w:val="18"/>
              </w:rPr>
              <w:t xml:space="preserve">2024.1.4 2023.1.6  </w:t>
            </w:r>
          </w:p>
        </w:tc>
        <w:tc>
          <w:tcPr>
            <w:tcW w:w="1331" w:type="pct"/>
          </w:tcPr>
          <w:p w:rsidRPr="000B4D4D" w:rsidR="004814C6" w:rsidP="1A5CB1CB" w:rsidRDefault="004814C6" w14:paraId="0F383692" w14:textId="77777777">
            <w:pPr>
              <w:spacing w:line="276" w:lineRule="auto"/>
              <w:rPr>
                <w:szCs w:val="18"/>
              </w:rPr>
            </w:pPr>
            <w:r w:rsidRPr="000B4D4D">
              <w:rPr>
                <w:szCs w:val="18"/>
              </w:rPr>
              <w:t>-</w:t>
            </w:r>
          </w:p>
        </w:tc>
        <w:tc>
          <w:tcPr>
            <w:tcW w:w="700" w:type="pct"/>
          </w:tcPr>
          <w:p w:rsidRPr="000B4D4D" w:rsidR="004814C6" w:rsidP="1A5CB1CB" w:rsidRDefault="004814C6" w14:paraId="7A924432" w14:textId="77777777">
            <w:pPr>
              <w:spacing w:line="276" w:lineRule="auto"/>
              <w:rPr>
                <w:szCs w:val="18"/>
              </w:rPr>
            </w:pPr>
            <w:r w:rsidRPr="000B4D4D">
              <w:rPr>
                <w:szCs w:val="18"/>
              </w:rPr>
              <w:t>Completed</w:t>
            </w:r>
          </w:p>
        </w:tc>
      </w:tr>
      <w:tr w:rsidRPr="000B4D4D" w:rsidR="004814C6" w:rsidTr="00A448E9" w14:paraId="6F56077A" w14:textId="77777777">
        <w:trPr>
          <w:trHeight w:val="206"/>
        </w:trPr>
        <w:tc>
          <w:tcPr>
            <w:tcW w:w="4300" w:type="pct"/>
            <w:gridSpan w:val="5"/>
          </w:tcPr>
          <w:p w:rsidRPr="000B4D4D" w:rsidR="004814C6" w:rsidP="00800A85" w:rsidRDefault="004814C6" w14:paraId="6F4F48DC" w14:textId="77777777">
            <w:pPr>
              <w:spacing w:line="276" w:lineRule="auto"/>
              <w:rPr>
                <w:b/>
                <w:bCs/>
                <w:szCs w:val="18"/>
              </w:rPr>
            </w:pPr>
            <w:r w:rsidRPr="000B4D4D">
              <w:rPr>
                <w:b/>
                <w:bCs/>
                <w:szCs w:val="18"/>
              </w:rPr>
              <w:t>Zorg</w:t>
            </w:r>
          </w:p>
        </w:tc>
        <w:tc>
          <w:tcPr>
            <w:tcW w:w="700" w:type="pct"/>
          </w:tcPr>
          <w:p w:rsidRPr="000B4D4D" w:rsidR="004814C6" w:rsidP="002D5F54" w:rsidRDefault="004814C6" w14:paraId="4FAB07C6" w14:textId="77777777">
            <w:pPr>
              <w:spacing w:line="276" w:lineRule="auto"/>
              <w:rPr>
                <w:b/>
                <w:bCs/>
                <w:szCs w:val="18"/>
              </w:rPr>
            </w:pPr>
          </w:p>
        </w:tc>
      </w:tr>
      <w:tr w:rsidRPr="000B4D4D" w:rsidR="00A448E9" w:rsidTr="00A448E9" w14:paraId="34ADD979" w14:textId="77777777">
        <w:trPr>
          <w:trHeight w:val="300"/>
        </w:trPr>
        <w:tc>
          <w:tcPr>
            <w:tcW w:w="310" w:type="pct"/>
          </w:tcPr>
          <w:p w:rsidRPr="000B4D4D" w:rsidR="004814C6" w:rsidP="00800A85" w:rsidRDefault="004814C6" w14:paraId="5269B746"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26</w:t>
            </w:r>
          </w:p>
        </w:tc>
        <w:tc>
          <w:tcPr>
            <w:tcW w:w="1408" w:type="pct"/>
          </w:tcPr>
          <w:p w:rsidRPr="000B4D4D" w:rsidR="004814C6" w:rsidP="1A5CB1CB" w:rsidRDefault="004814C6" w14:paraId="3CA8DE42" w14:textId="77777777">
            <w:pPr>
              <w:spacing w:line="276" w:lineRule="auto"/>
              <w:rPr>
                <w:szCs w:val="18"/>
              </w:rPr>
            </w:pPr>
            <w:r w:rsidRPr="000B4D4D">
              <w:rPr>
                <w:szCs w:val="18"/>
              </w:rPr>
              <w:t>Hervorming: Tijdelijk extra personele capaciteit voor de zorg in crisistijd (Nationale Zorgreserve en Sector Plan plus)</w:t>
            </w:r>
            <w:r w:rsidRPr="000B4D4D">
              <w:rPr>
                <w:szCs w:val="18"/>
              </w:rPr>
              <w:br/>
            </w:r>
          </w:p>
        </w:tc>
        <w:tc>
          <w:tcPr>
            <w:tcW w:w="626" w:type="pct"/>
          </w:tcPr>
          <w:p w:rsidRPr="000B4D4D" w:rsidR="004814C6" w:rsidP="00800A85" w:rsidRDefault="004814C6" w14:paraId="35635E0C" w14:textId="77777777">
            <w:pPr>
              <w:spacing w:after="160" w:line="276" w:lineRule="auto"/>
              <w:rPr>
                <w:rFonts w:eastAsia="Verdana" w:cs="Verdana"/>
                <w:szCs w:val="18"/>
              </w:rPr>
            </w:pPr>
            <w:r w:rsidRPr="000B4D4D">
              <w:rPr>
                <w:rFonts w:eastAsia="Verdana" w:cs="Verdana"/>
                <w:szCs w:val="18"/>
              </w:rPr>
              <w:t xml:space="preserve">HVP (C5.1 I1-3) </w:t>
            </w:r>
          </w:p>
          <w:p w:rsidRPr="000B4D4D" w:rsidR="004814C6" w:rsidP="002D5F54" w:rsidRDefault="004814C6" w14:paraId="401BC48E" w14:textId="77777777">
            <w:pPr>
              <w:spacing w:line="276" w:lineRule="auto"/>
              <w:rPr>
                <w:szCs w:val="18"/>
              </w:rPr>
            </w:pPr>
          </w:p>
        </w:tc>
        <w:tc>
          <w:tcPr>
            <w:tcW w:w="625" w:type="pct"/>
          </w:tcPr>
          <w:p w:rsidRPr="000B4D4D" w:rsidR="003F2DD5" w:rsidP="1A5CB1CB" w:rsidRDefault="003F2DD5" w14:paraId="1291DF56" w14:textId="523657C3">
            <w:pPr>
              <w:autoSpaceDE w:val="0"/>
              <w:autoSpaceDN w:val="0"/>
              <w:adjustRightInd w:val="0"/>
              <w:rPr>
                <w:szCs w:val="18"/>
              </w:rPr>
            </w:pPr>
            <w:r w:rsidRPr="000B4D4D">
              <w:rPr>
                <w:szCs w:val="18"/>
              </w:rPr>
              <w:t>2020.2.1</w:t>
            </w:r>
          </w:p>
          <w:p w:rsidRPr="000B4D4D" w:rsidR="004814C6" w:rsidP="1A5CB1CB" w:rsidRDefault="004814C6" w14:paraId="04505F65" w14:textId="48B4AE28">
            <w:pPr>
              <w:autoSpaceDE w:val="0"/>
              <w:autoSpaceDN w:val="0"/>
              <w:adjustRightInd w:val="0"/>
              <w:rPr>
                <w:szCs w:val="18"/>
              </w:rPr>
            </w:pPr>
            <w:r w:rsidRPr="000B4D4D">
              <w:rPr>
                <w:szCs w:val="18"/>
              </w:rPr>
              <w:t>2020.1.2</w:t>
            </w:r>
          </w:p>
          <w:p w:rsidRPr="000B4D4D" w:rsidR="004814C6" w:rsidRDefault="004814C6" w14:paraId="1A685712" w14:textId="77777777">
            <w:pPr>
              <w:autoSpaceDE w:val="0"/>
              <w:autoSpaceDN w:val="0"/>
              <w:adjustRightInd w:val="0"/>
              <w:rPr>
                <w:szCs w:val="18"/>
              </w:rPr>
            </w:pPr>
            <w:r w:rsidRPr="000B4D4D">
              <w:rPr>
                <w:szCs w:val="18"/>
              </w:rPr>
              <w:t>2022.3 2023.3</w:t>
            </w:r>
          </w:p>
          <w:p w:rsidRPr="000B4D4D" w:rsidR="003F2DD5" w:rsidRDefault="003F2DD5" w14:paraId="2F7191FD" w14:textId="7F648B76">
            <w:pPr>
              <w:autoSpaceDE w:val="0"/>
              <w:autoSpaceDN w:val="0"/>
              <w:adjustRightInd w:val="0"/>
              <w:rPr>
                <w:rFonts w:cs="RijksoverheidSansText-Regular"/>
                <w:szCs w:val="18"/>
              </w:rPr>
            </w:pPr>
            <w:r w:rsidRPr="000B4D4D">
              <w:rPr>
                <w:rFonts w:cs="RijksoverheidSansText-Regular"/>
                <w:szCs w:val="18"/>
              </w:rPr>
              <w:t>2024.3.3</w:t>
            </w:r>
          </w:p>
          <w:p w:rsidRPr="000B4D4D" w:rsidR="004814C6" w:rsidP="002D5F54" w:rsidRDefault="004814C6" w14:paraId="2FE11BEA" w14:textId="77777777">
            <w:pPr>
              <w:spacing w:line="276" w:lineRule="auto"/>
              <w:rPr>
                <w:szCs w:val="18"/>
              </w:rPr>
            </w:pPr>
          </w:p>
        </w:tc>
        <w:tc>
          <w:tcPr>
            <w:tcW w:w="1331" w:type="pct"/>
          </w:tcPr>
          <w:p w:rsidRPr="000B4D4D" w:rsidR="004814C6" w:rsidP="1A5CB1CB" w:rsidRDefault="004814C6" w14:paraId="69F8B9B2"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0E6020" w14:paraId="05F8CBC4" w14:textId="45AEBAE3">
            <w:pPr>
              <w:spacing w:line="276" w:lineRule="auto"/>
              <w:rPr>
                <w:szCs w:val="18"/>
              </w:rPr>
            </w:pPr>
            <w:r w:rsidRPr="000B4D4D">
              <w:rPr>
                <w:szCs w:val="18"/>
              </w:rPr>
              <w:t>On-track</w:t>
            </w:r>
          </w:p>
        </w:tc>
      </w:tr>
      <w:tr w:rsidRPr="000B4D4D" w:rsidR="00A448E9" w:rsidTr="00A448E9" w14:paraId="3662EF73" w14:textId="77777777">
        <w:trPr>
          <w:trHeight w:val="300"/>
        </w:trPr>
        <w:tc>
          <w:tcPr>
            <w:tcW w:w="310" w:type="pct"/>
          </w:tcPr>
          <w:p w:rsidRPr="000B4D4D" w:rsidR="004814C6" w:rsidP="00800A85" w:rsidRDefault="004814C6" w14:paraId="0C7CC470"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lastRenderedPageBreak/>
              <w:t>27</w:t>
            </w:r>
          </w:p>
        </w:tc>
        <w:tc>
          <w:tcPr>
            <w:tcW w:w="1408" w:type="pct"/>
          </w:tcPr>
          <w:p w:rsidRPr="000B4D4D" w:rsidR="004814C6" w:rsidP="1A5CB1CB" w:rsidRDefault="004814C6" w14:paraId="2988A91F" w14:textId="77777777">
            <w:pPr>
              <w:spacing w:after="240"/>
              <w:rPr>
                <w:szCs w:val="18"/>
              </w:rPr>
            </w:pPr>
            <w:r w:rsidRPr="000B4D4D">
              <w:rPr>
                <w:szCs w:val="18"/>
              </w:rPr>
              <w:t>Hervorming: SET-COVID-19</w:t>
            </w:r>
          </w:p>
          <w:p w:rsidRPr="000B4D4D" w:rsidR="004814C6" w:rsidP="002D5F54" w:rsidRDefault="004814C6" w14:paraId="7ACCD915" w14:textId="77777777">
            <w:pPr>
              <w:spacing w:line="276" w:lineRule="auto"/>
              <w:rPr>
                <w:szCs w:val="18"/>
              </w:rPr>
            </w:pPr>
          </w:p>
        </w:tc>
        <w:tc>
          <w:tcPr>
            <w:tcW w:w="626" w:type="pct"/>
          </w:tcPr>
          <w:p w:rsidRPr="000B4D4D" w:rsidR="004814C6" w:rsidP="00800A85" w:rsidRDefault="004814C6" w14:paraId="1FB0FE21" w14:textId="77777777">
            <w:pPr>
              <w:spacing w:after="160" w:line="276" w:lineRule="auto"/>
              <w:rPr>
                <w:rFonts w:eastAsia="Verdana" w:cs="Verdana"/>
                <w:szCs w:val="18"/>
              </w:rPr>
            </w:pPr>
            <w:r w:rsidRPr="000B4D4D">
              <w:rPr>
                <w:rFonts w:eastAsia="Verdana" w:cs="Verdana"/>
                <w:szCs w:val="18"/>
              </w:rPr>
              <w:t xml:space="preserve">HVP (C5.1 I3) </w:t>
            </w:r>
          </w:p>
          <w:p w:rsidRPr="000B4D4D" w:rsidR="004814C6" w:rsidP="002D5F54" w:rsidRDefault="004814C6" w14:paraId="6412096F" w14:textId="77777777">
            <w:pPr>
              <w:spacing w:line="276" w:lineRule="auto"/>
              <w:rPr>
                <w:szCs w:val="18"/>
              </w:rPr>
            </w:pPr>
          </w:p>
        </w:tc>
        <w:tc>
          <w:tcPr>
            <w:tcW w:w="625" w:type="pct"/>
          </w:tcPr>
          <w:p w:rsidRPr="000B4D4D" w:rsidR="004814C6" w:rsidP="1A5CB1CB" w:rsidRDefault="004814C6" w14:paraId="2300D22D" w14:textId="77777777">
            <w:pPr>
              <w:spacing w:line="276" w:lineRule="auto"/>
              <w:rPr>
                <w:szCs w:val="18"/>
              </w:rPr>
            </w:pPr>
            <w:r w:rsidRPr="000B4D4D">
              <w:rPr>
                <w:szCs w:val="18"/>
                <w:lang w:eastAsia="nl-NL"/>
              </w:rPr>
              <w:t>2020.1.2</w:t>
            </w:r>
          </w:p>
        </w:tc>
        <w:tc>
          <w:tcPr>
            <w:tcW w:w="1331" w:type="pct"/>
          </w:tcPr>
          <w:p w:rsidRPr="000B4D4D" w:rsidR="004814C6" w:rsidP="1A5CB1CB" w:rsidRDefault="004814C6" w14:paraId="718BBC92"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18CE1E09" w14:textId="77777777">
            <w:pPr>
              <w:spacing w:line="276" w:lineRule="auto"/>
              <w:rPr>
                <w:szCs w:val="18"/>
              </w:rPr>
            </w:pPr>
            <w:r w:rsidRPr="000B4D4D">
              <w:rPr>
                <w:szCs w:val="18"/>
              </w:rPr>
              <w:t>Completed</w:t>
            </w:r>
          </w:p>
        </w:tc>
      </w:tr>
      <w:tr w:rsidRPr="000B4D4D" w:rsidR="00A448E9" w:rsidTr="00A448E9" w14:paraId="08852C30" w14:textId="77777777">
        <w:trPr>
          <w:trHeight w:val="300"/>
        </w:trPr>
        <w:tc>
          <w:tcPr>
            <w:tcW w:w="310" w:type="pct"/>
          </w:tcPr>
          <w:p w:rsidRPr="000B4D4D" w:rsidR="004814C6" w:rsidP="00800A85" w:rsidRDefault="004814C6" w14:paraId="0C88E0C1"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28</w:t>
            </w:r>
          </w:p>
        </w:tc>
        <w:tc>
          <w:tcPr>
            <w:tcW w:w="1408" w:type="pct"/>
          </w:tcPr>
          <w:p w:rsidRPr="000B4D4D" w:rsidR="004814C6" w:rsidP="1A5CB1CB" w:rsidRDefault="004814C6" w14:paraId="7A22F4A5" w14:textId="77777777">
            <w:pPr>
              <w:spacing w:after="240"/>
              <w:rPr>
                <w:szCs w:val="18"/>
              </w:rPr>
            </w:pPr>
            <w:r w:rsidRPr="000B4D4D">
              <w:rPr>
                <w:szCs w:val="18"/>
              </w:rPr>
              <w:t>Hervorming:  IC-opschaling</w:t>
            </w:r>
          </w:p>
          <w:p w:rsidRPr="000B4D4D" w:rsidR="004814C6" w:rsidP="002D5F54" w:rsidRDefault="004814C6" w14:paraId="2A106869" w14:textId="77777777">
            <w:pPr>
              <w:spacing w:line="276" w:lineRule="auto"/>
              <w:rPr>
                <w:szCs w:val="18"/>
              </w:rPr>
            </w:pPr>
          </w:p>
        </w:tc>
        <w:tc>
          <w:tcPr>
            <w:tcW w:w="626" w:type="pct"/>
          </w:tcPr>
          <w:p w:rsidRPr="000B4D4D" w:rsidR="004814C6" w:rsidP="00800A85" w:rsidRDefault="004814C6" w14:paraId="52825165" w14:textId="77777777">
            <w:pPr>
              <w:spacing w:after="160" w:line="276" w:lineRule="auto"/>
              <w:rPr>
                <w:rFonts w:eastAsia="Verdana" w:cs="Verdana"/>
                <w:szCs w:val="18"/>
              </w:rPr>
            </w:pPr>
            <w:r w:rsidRPr="000B4D4D">
              <w:rPr>
                <w:rFonts w:eastAsia="Verdana" w:cs="Verdana"/>
                <w:szCs w:val="18"/>
              </w:rPr>
              <w:t xml:space="preserve">HVP (C5.1 I2) </w:t>
            </w:r>
          </w:p>
          <w:p w:rsidRPr="000B4D4D" w:rsidR="004814C6" w:rsidP="002D5F54" w:rsidRDefault="004814C6" w14:paraId="6C7973F1" w14:textId="77777777">
            <w:pPr>
              <w:spacing w:line="276" w:lineRule="auto"/>
              <w:rPr>
                <w:szCs w:val="18"/>
              </w:rPr>
            </w:pPr>
          </w:p>
        </w:tc>
        <w:tc>
          <w:tcPr>
            <w:tcW w:w="625" w:type="pct"/>
          </w:tcPr>
          <w:p w:rsidRPr="000B4D4D" w:rsidR="003F2DD5" w:rsidP="1A5CB1CB" w:rsidRDefault="003F2DD5" w14:paraId="083090D3" w14:textId="57EB11DA">
            <w:pPr>
              <w:spacing w:line="276" w:lineRule="auto"/>
              <w:rPr>
                <w:szCs w:val="18"/>
              </w:rPr>
            </w:pPr>
            <w:r w:rsidRPr="000B4D4D">
              <w:rPr>
                <w:szCs w:val="18"/>
              </w:rPr>
              <w:t>2020.3.3</w:t>
            </w:r>
          </w:p>
          <w:p w:rsidRPr="000B4D4D" w:rsidR="003F2DD5" w:rsidP="1A5CB1CB" w:rsidRDefault="003F2DD5" w14:paraId="607E2C82" w14:textId="3746643E">
            <w:pPr>
              <w:spacing w:line="276" w:lineRule="auto"/>
              <w:rPr>
                <w:szCs w:val="18"/>
              </w:rPr>
            </w:pPr>
            <w:r w:rsidRPr="000B4D4D">
              <w:rPr>
                <w:szCs w:val="18"/>
              </w:rPr>
              <w:t>2022.3.4</w:t>
            </w:r>
          </w:p>
          <w:p w:rsidRPr="000B4D4D" w:rsidR="003F2DD5" w:rsidP="1A5CB1CB" w:rsidRDefault="003F2DD5" w14:paraId="20E8EB83" w14:textId="0DE47C7B">
            <w:pPr>
              <w:spacing w:line="276" w:lineRule="auto"/>
              <w:rPr>
                <w:szCs w:val="18"/>
              </w:rPr>
            </w:pPr>
            <w:r w:rsidRPr="000B4D4D">
              <w:rPr>
                <w:szCs w:val="18"/>
              </w:rPr>
              <w:t>2023.3.2</w:t>
            </w:r>
          </w:p>
          <w:p w:rsidRPr="000B4D4D" w:rsidR="003F2DD5" w:rsidP="1A5CB1CB" w:rsidRDefault="003F2DD5" w14:paraId="2D43499C" w14:textId="0EDE9944">
            <w:pPr>
              <w:spacing w:line="276" w:lineRule="auto"/>
              <w:rPr>
                <w:szCs w:val="18"/>
              </w:rPr>
            </w:pPr>
            <w:r w:rsidRPr="000B4D4D">
              <w:rPr>
                <w:szCs w:val="18"/>
              </w:rPr>
              <w:t>2024.3.2</w:t>
            </w:r>
          </w:p>
          <w:p w:rsidRPr="000B4D4D" w:rsidR="004814C6" w:rsidP="1A5CB1CB" w:rsidRDefault="004814C6" w14:paraId="0A61E61B" w14:textId="41E4F8FB">
            <w:pPr>
              <w:spacing w:line="276" w:lineRule="auto"/>
              <w:rPr>
                <w:szCs w:val="18"/>
              </w:rPr>
            </w:pPr>
            <w:r w:rsidRPr="000B4D4D">
              <w:rPr>
                <w:szCs w:val="18"/>
              </w:rPr>
              <w:t>2020.1.2</w:t>
            </w:r>
          </w:p>
          <w:p w:rsidRPr="000B4D4D" w:rsidR="004814C6" w:rsidP="1A5CB1CB" w:rsidRDefault="004814C6" w14:paraId="68C54F88" w14:textId="77777777">
            <w:pPr>
              <w:spacing w:line="276" w:lineRule="auto"/>
              <w:rPr>
                <w:szCs w:val="18"/>
              </w:rPr>
            </w:pPr>
            <w:r w:rsidRPr="000B4D4D">
              <w:rPr>
                <w:szCs w:val="18"/>
              </w:rPr>
              <w:t>2022.3 2023.3</w:t>
            </w:r>
          </w:p>
        </w:tc>
        <w:tc>
          <w:tcPr>
            <w:tcW w:w="1331" w:type="pct"/>
          </w:tcPr>
          <w:p w:rsidRPr="000B4D4D" w:rsidR="004814C6" w:rsidP="1A5CB1CB" w:rsidRDefault="004814C6" w14:paraId="7488F74F"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0E6020" w14:paraId="458488E9" w14:textId="318E8DDD">
            <w:pPr>
              <w:spacing w:line="276" w:lineRule="auto"/>
              <w:rPr>
                <w:szCs w:val="18"/>
              </w:rPr>
            </w:pPr>
            <w:r w:rsidRPr="000B4D4D">
              <w:rPr>
                <w:szCs w:val="18"/>
              </w:rPr>
              <w:t>On-track</w:t>
            </w:r>
          </w:p>
        </w:tc>
      </w:tr>
      <w:tr w:rsidRPr="000B4D4D" w:rsidR="00A448E9" w:rsidTr="00A448E9" w14:paraId="77A97403" w14:textId="77777777">
        <w:trPr>
          <w:trHeight w:val="300"/>
        </w:trPr>
        <w:tc>
          <w:tcPr>
            <w:tcW w:w="310" w:type="pct"/>
          </w:tcPr>
          <w:p w:rsidRPr="000B4D4D" w:rsidR="004814C6" w:rsidP="00800A85" w:rsidRDefault="004814C6" w14:paraId="77FCE33C"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29</w:t>
            </w:r>
          </w:p>
        </w:tc>
        <w:tc>
          <w:tcPr>
            <w:tcW w:w="1408" w:type="pct"/>
          </w:tcPr>
          <w:p w:rsidRPr="000B4D4D" w:rsidR="004814C6" w:rsidP="1A5CB1CB" w:rsidRDefault="004814C6" w14:paraId="3BA65EAC" w14:textId="77777777">
            <w:pPr>
              <w:spacing w:line="276" w:lineRule="auto"/>
              <w:rPr>
                <w:szCs w:val="18"/>
              </w:rPr>
            </w:pPr>
            <w:r w:rsidRPr="000B4D4D">
              <w:rPr>
                <w:szCs w:val="18"/>
              </w:rPr>
              <w:t>Hervorming: STOZ-regeling</w:t>
            </w:r>
            <w:r w:rsidRPr="000B4D4D">
              <w:rPr>
                <w:szCs w:val="18"/>
              </w:rPr>
              <w:br/>
            </w:r>
          </w:p>
        </w:tc>
        <w:tc>
          <w:tcPr>
            <w:tcW w:w="626" w:type="pct"/>
          </w:tcPr>
          <w:p w:rsidRPr="000B4D4D" w:rsidR="004814C6" w:rsidP="1A5CB1CB" w:rsidRDefault="004814C6" w14:paraId="788AB948" w14:textId="77777777">
            <w:pPr>
              <w:spacing w:line="276" w:lineRule="auto"/>
              <w:rPr>
                <w:szCs w:val="18"/>
              </w:rPr>
            </w:pPr>
            <w:r w:rsidRPr="000B4D4D">
              <w:rPr>
                <w:szCs w:val="18"/>
              </w:rPr>
              <w:t xml:space="preserve">- </w:t>
            </w:r>
          </w:p>
        </w:tc>
        <w:tc>
          <w:tcPr>
            <w:tcW w:w="625" w:type="pct"/>
          </w:tcPr>
          <w:p w:rsidRPr="000B4D4D" w:rsidR="004814C6" w:rsidRDefault="004814C6" w14:paraId="7CF30653" w14:textId="77777777">
            <w:pPr>
              <w:autoSpaceDE w:val="0"/>
              <w:autoSpaceDN w:val="0"/>
              <w:adjustRightInd w:val="0"/>
              <w:rPr>
                <w:rFonts w:cs="RijksoverheidSansText-Regular"/>
                <w:szCs w:val="18"/>
              </w:rPr>
            </w:pPr>
            <w:r w:rsidRPr="000B4D4D">
              <w:rPr>
                <w:szCs w:val="18"/>
              </w:rPr>
              <w:t>2020.1.2</w:t>
            </w:r>
          </w:p>
          <w:p w:rsidRPr="000B4D4D" w:rsidR="004814C6" w:rsidP="002D5F54" w:rsidRDefault="004814C6" w14:paraId="12469212" w14:textId="77777777">
            <w:pPr>
              <w:spacing w:line="276" w:lineRule="auto"/>
              <w:rPr>
                <w:szCs w:val="18"/>
              </w:rPr>
            </w:pPr>
          </w:p>
        </w:tc>
        <w:tc>
          <w:tcPr>
            <w:tcW w:w="1331" w:type="pct"/>
          </w:tcPr>
          <w:p w:rsidRPr="000B4D4D" w:rsidR="004814C6" w:rsidP="1A5CB1CB" w:rsidRDefault="004814C6" w14:paraId="385E7004"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19FC1B21" w14:textId="77777777">
            <w:pPr>
              <w:spacing w:line="276" w:lineRule="auto"/>
              <w:rPr>
                <w:szCs w:val="18"/>
              </w:rPr>
            </w:pPr>
            <w:r w:rsidRPr="000B4D4D">
              <w:rPr>
                <w:szCs w:val="18"/>
              </w:rPr>
              <w:t>On-track</w:t>
            </w:r>
          </w:p>
        </w:tc>
      </w:tr>
      <w:tr w:rsidRPr="000B4D4D" w:rsidR="00A448E9" w:rsidTr="00A448E9" w14:paraId="7DE966A0" w14:textId="77777777">
        <w:trPr>
          <w:trHeight w:val="300"/>
        </w:trPr>
        <w:tc>
          <w:tcPr>
            <w:tcW w:w="310" w:type="pct"/>
          </w:tcPr>
          <w:p w:rsidRPr="000B4D4D" w:rsidR="004814C6" w:rsidP="00800A85" w:rsidRDefault="004814C6" w14:paraId="3AD48BAE" w14:textId="77777777">
            <w:pPr>
              <w:spacing w:line="276" w:lineRule="auto"/>
              <w:rPr>
                <w:rStyle w:val="normaltextrun"/>
                <w:rFonts w:cs="Segoe UI"/>
                <w:szCs w:val="18"/>
              </w:rPr>
            </w:pPr>
            <w:r w:rsidRPr="000B4D4D">
              <w:rPr>
                <w:szCs w:val="18"/>
              </w:rPr>
              <w:t>30</w:t>
            </w:r>
          </w:p>
        </w:tc>
        <w:tc>
          <w:tcPr>
            <w:tcW w:w="1408" w:type="pct"/>
            <w:vAlign w:val="bottom"/>
          </w:tcPr>
          <w:p w:rsidRPr="000B4D4D" w:rsidR="004814C6" w:rsidP="1A5CB1CB" w:rsidRDefault="004814C6" w14:paraId="06FF5DF8" w14:textId="77777777">
            <w:pPr>
              <w:spacing w:line="276" w:lineRule="auto"/>
              <w:rPr>
                <w:szCs w:val="18"/>
              </w:rPr>
            </w:pPr>
            <w:r w:rsidRPr="000B4D4D">
              <w:rPr>
                <w:szCs w:val="18"/>
              </w:rPr>
              <w:t>Hervorming: Programma Wonen, Ondersteuning en Zorg voor Ouderen (WOZO)</w:t>
            </w:r>
          </w:p>
        </w:tc>
        <w:tc>
          <w:tcPr>
            <w:tcW w:w="626" w:type="pct"/>
            <w:vAlign w:val="bottom"/>
          </w:tcPr>
          <w:p w:rsidRPr="000B4D4D" w:rsidR="004814C6" w:rsidP="1A5CB1CB" w:rsidRDefault="004814C6" w14:paraId="0DC498B6" w14:textId="77777777">
            <w:pPr>
              <w:spacing w:line="276" w:lineRule="auto"/>
              <w:rPr>
                <w:szCs w:val="18"/>
              </w:rPr>
            </w:pPr>
            <w:r w:rsidRPr="000B4D4D">
              <w:rPr>
                <w:szCs w:val="18"/>
                <w:lang w:val="en-US" w:eastAsia="nl-NL"/>
              </w:rPr>
              <w:t>-</w:t>
            </w:r>
          </w:p>
        </w:tc>
        <w:tc>
          <w:tcPr>
            <w:tcW w:w="625" w:type="pct"/>
            <w:vAlign w:val="bottom"/>
          </w:tcPr>
          <w:p w:rsidRPr="000B4D4D" w:rsidR="004814C6" w:rsidP="1A5CB1CB" w:rsidRDefault="004814C6" w14:paraId="4A2338A3" w14:textId="77777777">
            <w:pPr>
              <w:spacing w:line="276" w:lineRule="auto"/>
              <w:rPr>
                <w:szCs w:val="18"/>
              </w:rPr>
            </w:pPr>
            <w:r w:rsidRPr="000B4D4D">
              <w:rPr>
                <w:szCs w:val="18"/>
                <w:lang w:eastAsia="nl-NL"/>
              </w:rPr>
              <w:t>2024.1.5</w:t>
            </w:r>
          </w:p>
        </w:tc>
        <w:tc>
          <w:tcPr>
            <w:tcW w:w="1331" w:type="pct"/>
            <w:vAlign w:val="bottom"/>
          </w:tcPr>
          <w:p w:rsidRPr="000B4D4D" w:rsidR="004814C6" w:rsidP="1A5CB1CB" w:rsidRDefault="004814C6" w14:paraId="444099BC" w14:textId="77777777">
            <w:pPr>
              <w:spacing w:line="276" w:lineRule="auto"/>
              <w:rPr>
                <w:szCs w:val="18"/>
              </w:rPr>
            </w:pPr>
            <w:r w:rsidRPr="000B4D4D">
              <w:rPr>
                <w:szCs w:val="18"/>
                <w:lang w:val="en-US" w:eastAsia="nl-NL"/>
              </w:rPr>
              <w:t>-</w:t>
            </w:r>
          </w:p>
        </w:tc>
        <w:tc>
          <w:tcPr>
            <w:tcW w:w="700" w:type="pct"/>
          </w:tcPr>
          <w:p w:rsidRPr="000B4D4D" w:rsidR="004814C6" w:rsidP="00800A85" w:rsidRDefault="004814C6" w14:paraId="7D5696F0" w14:textId="77777777">
            <w:pPr>
              <w:spacing w:line="276" w:lineRule="auto"/>
              <w:rPr>
                <w:szCs w:val="18"/>
                <w:lang w:val="en-US" w:eastAsia="nl-NL"/>
              </w:rPr>
            </w:pPr>
            <w:r w:rsidRPr="000B4D4D">
              <w:rPr>
                <w:szCs w:val="18"/>
                <w:lang w:val="en-US" w:eastAsia="nl-NL"/>
              </w:rPr>
              <w:t>On-track</w:t>
            </w:r>
          </w:p>
        </w:tc>
      </w:tr>
      <w:tr w:rsidRPr="000B4D4D" w:rsidR="00A448E9" w:rsidTr="00A448E9" w14:paraId="4E00E6FE" w14:textId="77777777">
        <w:trPr>
          <w:trHeight w:val="300"/>
        </w:trPr>
        <w:tc>
          <w:tcPr>
            <w:tcW w:w="310" w:type="pct"/>
          </w:tcPr>
          <w:p w:rsidRPr="000B4D4D" w:rsidR="004814C6" w:rsidP="00800A85" w:rsidRDefault="004814C6" w14:paraId="7E1308A0"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31</w:t>
            </w:r>
          </w:p>
        </w:tc>
        <w:tc>
          <w:tcPr>
            <w:tcW w:w="1408" w:type="pct"/>
            <w:vAlign w:val="bottom"/>
          </w:tcPr>
          <w:p w:rsidRPr="000B4D4D" w:rsidR="004814C6" w:rsidP="1A5CB1CB" w:rsidRDefault="004814C6" w14:paraId="3B3ECFBF" w14:textId="77777777">
            <w:pPr>
              <w:spacing w:line="276" w:lineRule="auto"/>
              <w:rPr>
                <w:szCs w:val="18"/>
              </w:rPr>
            </w:pPr>
            <w:r w:rsidRPr="000B4D4D">
              <w:rPr>
                <w:szCs w:val="18"/>
              </w:rPr>
              <w:t xml:space="preserve">Hervorming: Toekomstagenda zorg en ondersteuning voor mensen met een beperking </w:t>
            </w:r>
          </w:p>
        </w:tc>
        <w:tc>
          <w:tcPr>
            <w:tcW w:w="626" w:type="pct"/>
            <w:vAlign w:val="bottom"/>
          </w:tcPr>
          <w:p w:rsidRPr="000B4D4D" w:rsidR="004814C6" w:rsidP="1A5CB1CB" w:rsidRDefault="004814C6" w14:paraId="73B4A255" w14:textId="77777777">
            <w:pPr>
              <w:spacing w:line="276" w:lineRule="auto"/>
              <w:rPr>
                <w:szCs w:val="18"/>
              </w:rPr>
            </w:pPr>
            <w:r w:rsidRPr="000B4D4D">
              <w:rPr>
                <w:szCs w:val="18"/>
                <w:lang w:eastAsia="nl-NL"/>
              </w:rPr>
              <w:t>-</w:t>
            </w:r>
          </w:p>
        </w:tc>
        <w:tc>
          <w:tcPr>
            <w:tcW w:w="625" w:type="pct"/>
            <w:vAlign w:val="bottom"/>
          </w:tcPr>
          <w:p w:rsidRPr="000B4D4D" w:rsidR="004814C6" w:rsidP="1A5CB1CB" w:rsidRDefault="004814C6" w14:paraId="73C48FCF" w14:textId="77777777">
            <w:pPr>
              <w:spacing w:line="276" w:lineRule="auto"/>
              <w:rPr>
                <w:szCs w:val="18"/>
              </w:rPr>
            </w:pPr>
            <w:r w:rsidRPr="000B4D4D">
              <w:rPr>
                <w:szCs w:val="18"/>
                <w:lang w:eastAsia="nl-NL"/>
              </w:rPr>
              <w:t>2024.1.5</w:t>
            </w:r>
          </w:p>
        </w:tc>
        <w:tc>
          <w:tcPr>
            <w:tcW w:w="1331" w:type="pct"/>
            <w:vAlign w:val="bottom"/>
          </w:tcPr>
          <w:p w:rsidRPr="000B4D4D" w:rsidR="004814C6" w:rsidP="1A5CB1CB" w:rsidRDefault="004814C6" w14:paraId="56CDFEFF" w14:textId="77777777">
            <w:pPr>
              <w:spacing w:line="276" w:lineRule="auto"/>
              <w:rPr>
                <w:szCs w:val="18"/>
              </w:rPr>
            </w:pPr>
            <w:r w:rsidRPr="000B4D4D">
              <w:rPr>
                <w:szCs w:val="18"/>
                <w:lang w:eastAsia="nl-NL"/>
              </w:rPr>
              <w:t>-</w:t>
            </w:r>
          </w:p>
        </w:tc>
        <w:tc>
          <w:tcPr>
            <w:tcW w:w="700" w:type="pct"/>
          </w:tcPr>
          <w:p w:rsidRPr="000B4D4D" w:rsidR="004814C6" w:rsidP="00800A85" w:rsidRDefault="004814C6" w14:paraId="37BC4DC9" w14:textId="77777777">
            <w:pPr>
              <w:spacing w:line="276" w:lineRule="auto"/>
              <w:rPr>
                <w:szCs w:val="18"/>
                <w:lang w:eastAsia="nl-NL"/>
              </w:rPr>
            </w:pPr>
            <w:r w:rsidRPr="000B4D4D">
              <w:rPr>
                <w:szCs w:val="18"/>
                <w:lang w:eastAsia="nl-NL"/>
              </w:rPr>
              <w:t>On-track</w:t>
            </w:r>
          </w:p>
        </w:tc>
      </w:tr>
      <w:tr w:rsidRPr="000B4D4D" w:rsidR="00A448E9" w:rsidTr="00A448E9" w14:paraId="30C5F69B" w14:textId="77777777">
        <w:trPr>
          <w:trHeight w:val="300"/>
        </w:trPr>
        <w:tc>
          <w:tcPr>
            <w:tcW w:w="310" w:type="pct"/>
          </w:tcPr>
          <w:p w:rsidRPr="000B4D4D" w:rsidR="004814C6" w:rsidP="00800A85" w:rsidRDefault="004814C6" w14:paraId="13AA8959"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32</w:t>
            </w:r>
          </w:p>
        </w:tc>
        <w:tc>
          <w:tcPr>
            <w:tcW w:w="1408" w:type="pct"/>
            <w:vAlign w:val="bottom"/>
          </w:tcPr>
          <w:p w:rsidRPr="000B4D4D" w:rsidR="004814C6" w:rsidP="1A5CB1CB" w:rsidRDefault="004814C6" w14:paraId="1063E477" w14:textId="77777777">
            <w:pPr>
              <w:spacing w:line="276" w:lineRule="auto"/>
              <w:rPr>
                <w:szCs w:val="18"/>
              </w:rPr>
            </w:pPr>
            <w:r w:rsidRPr="000B4D4D">
              <w:rPr>
                <w:szCs w:val="18"/>
              </w:rPr>
              <w:t xml:space="preserve">Hervorming: Nationale dementiestrategie 2021 – 2030 </w:t>
            </w:r>
          </w:p>
        </w:tc>
        <w:tc>
          <w:tcPr>
            <w:tcW w:w="626" w:type="pct"/>
            <w:vAlign w:val="bottom"/>
          </w:tcPr>
          <w:p w:rsidRPr="000B4D4D" w:rsidR="004814C6" w:rsidP="1A5CB1CB" w:rsidRDefault="004814C6" w14:paraId="6340677E" w14:textId="77777777">
            <w:pPr>
              <w:spacing w:line="276" w:lineRule="auto"/>
              <w:rPr>
                <w:szCs w:val="18"/>
              </w:rPr>
            </w:pPr>
            <w:r w:rsidRPr="000B4D4D">
              <w:rPr>
                <w:szCs w:val="18"/>
                <w:lang w:eastAsia="nl-NL"/>
              </w:rPr>
              <w:t>-</w:t>
            </w:r>
          </w:p>
        </w:tc>
        <w:tc>
          <w:tcPr>
            <w:tcW w:w="625" w:type="pct"/>
            <w:vAlign w:val="bottom"/>
          </w:tcPr>
          <w:p w:rsidRPr="000B4D4D" w:rsidR="004814C6" w:rsidP="1A5CB1CB" w:rsidRDefault="004814C6" w14:paraId="38CF4ACE" w14:textId="77777777">
            <w:pPr>
              <w:spacing w:line="276" w:lineRule="auto"/>
              <w:rPr>
                <w:szCs w:val="18"/>
              </w:rPr>
            </w:pPr>
            <w:r w:rsidRPr="000B4D4D">
              <w:rPr>
                <w:szCs w:val="18"/>
                <w:lang w:eastAsia="nl-NL"/>
              </w:rPr>
              <w:t>2024.1.5</w:t>
            </w:r>
          </w:p>
        </w:tc>
        <w:tc>
          <w:tcPr>
            <w:tcW w:w="1331" w:type="pct"/>
            <w:vAlign w:val="bottom"/>
          </w:tcPr>
          <w:p w:rsidRPr="000B4D4D" w:rsidR="004814C6" w:rsidP="1A5CB1CB" w:rsidRDefault="004814C6" w14:paraId="0375883F" w14:textId="77777777">
            <w:pPr>
              <w:spacing w:line="276" w:lineRule="auto"/>
              <w:rPr>
                <w:szCs w:val="18"/>
              </w:rPr>
            </w:pPr>
            <w:r w:rsidRPr="000B4D4D">
              <w:rPr>
                <w:szCs w:val="18"/>
                <w:lang w:eastAsia="nl-NL"/>
              </w:rPr>
              <w:t>-</w:t>
            </w:r>
          </w:p>
        </w:tc>
        <w:tc>
          <w:tcPr>
            <w:tcW w:w="700" w:type="pct"/>
          </w:tcPr>
          <w:p w:rsidRPr="000B4D4D" w:rsidR="004814C6" w:rsidP="00800A85" w:rsidRDefault="004814C6" w14:paraId="4EF89055" w14:textId="77777777">
            <w:pPr>
              <w:spacing w:line="276" w:lineRule="auto"/>
              <w:rPr>
                <w:szCs w:val="18"/>
                <w:lang w:eastAsia="nl-NL"/>
              </w:rPr>
            </w:pPr>
            <w:r w:rsidRPr="000B4D4D">
              <w:rPr>
                <w:szCs w:val="18"/>
                <w:lang w:eastAsia="nl-NL"/>
              </w:rPr>
              <w:t>On-track</w:t>
            </w:r>
          </w:p>
        </w:tc>
      </w:tr>
      <w:tr w:rsidRPr="000B4D4D" w:rsidR="00A448E9" w:rsidTr="00A448E9" w14:paraId="57A09717" w14:textId="77777777">
        <w:trPr>
          <w:trHeight w:val="300"/>
        </w:trPr>
        <w:tc>
          <w:tcPr>
            <w:tcW w:w="310" w:type="pct"/>
          </w:tcPr>
          <w:p w:rsidRPr="000B4D4D" w:rsidR="004814C6" w:rsidP="00800A85" w:rsidRDefault="004814C6" w14:paraId="35925719"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33</w:t>
            </w:r>
          </w:p>
        </w:tc>
        <w:tc>
          <w:tcPr>
            <w:tcW w:w="1408" w:type="pct"/>
            <w:vAlign w:val="bottom"/>
          </w:tcPr>
          <w:p w:rsidRPr="000B4D4D" w:rsidR="004814C6" w:rsidP="1A5CB1CB" w:rsidRDefault="004814C6" w14:paraId="4A243C2A" w14:textId="77777777">
            <w:pPr>
              <w:spacing w:line="276" w:lineRule="auto"/>
              <w:rPr>
                <w:szCs w:val="18"/>
              </w:rPr>
            </w:pPr>
            <w:r w:rsidRPr="000B4D4D">
              <w:rPr>
                <w:szCs w:val="18"/>
              </w:rPr>
              <w:t>Hervorming: Verbeteren en Verbreden van de Toets op het Basispakket (VVTB or ‘improving and broadening the assessment of the Dutch basic benefit package’)</w:t>
            </w:r>
          </w:p>
        </w:tc>
        <w:tc>
          <w:tcPr>
            <w:tcW w:w="626" w:type="pct"/>
            <w:vAlign w:val="bottom"/>
          </w:tcPr>
          <w:p w:rsidRPr="000B4D4D" w:rsidR="004814C6" w:rsidP="1A5CB1CB" w:rsidRDefault="004814C6" w14:paraId="6B24E82E" w14:textId="77777777">
            <w:pPr>
              <w:spacing w:line="276" w:lineRule="auto"/>
              <w:rPr>
                <w:szCs w:val="18"/>
              </w:rPr>
            </w:pPr>
            <w:r w:rsidRPr="000B4D4D">
              <w:rPr>
                <w:szCs w:val="18"/>
                <w:lang w:eastAsia="nl-NL"/>
              </w:rPr>
              <w:t>-</w:t>
            </w:r>
          </w:p>
        </w:tc>
        <w:tc>
          <w:tcPr>
            <w:tcW w:w="625" w:type="pct"/>
            <w:vAlign w:val="bottom"/>
          </w:tcPr>
          <w:p w:rsidRPr="000B4D4D" w:rsidR="004814C6" w:rsidP="1A5CB1CB" w:rsidRDefault="004814C6" w14:paraId="01EC0D26" w14:textId="77777777">
            <w:pPr>
              <w:spacing w:line="276" w:lineRule="auto"/>
              <w:rPr>
                <w:szCs w:val="18"/>
              </w:rPr>
            </w:pPr>
            <w:r w:rsidRPr="000B4D4D">
              <w:rPr>
                <w:szCs w:val="18"/>
                <w:lang w:eastAsia="nl-NL"/>
              </w:rPr>
              <w:t>2024.1.5</w:t>
            </w:r>
          </w:p>
        </w:tc>
        <w:tc>
          <w:tcPr>
            <w:tcW w:w="1331" w:type="pct"/>
            <w:vAlign w:val="bottom"/>
          </w:tcPr>
          <w:p w:rsidRPr="000B4D4D" w:rsidR="004814C6" w:rsidP="1A5CB1CB" w:rsidRDefault="004814C6" w14:paraId="57C11596" w14:textId="77777777">
            <w:pPr>
              <w:spacing w:line="276" w:lineRule="auto"/>
              <w:rPr>
                <w:szCs w:val="18"/>
              </w:rPr>
            </w:pPr>
            <w:r w:rsidRPr="000B4D4D">
              <w:rPr>
                <w:szCs w:val="18"/>
                <w:lang w:eastAsia="nl-NL"/>
              </w:rPr>
              <w:t>-</w:t>
            </w:r>
          </w:p>
        </w:tc>
        <w:tc>
          <w:tcPr>
            <w:tcW w:w="700" w:type="pct"/>
          </w:tcPr>
          <w:p w:rsidRPr="000B4D4D" w:rsidR="004814C6" w:rsidP="00800A85" w:rsidRDefault="004814C6" w14:paraId="256610D6" w14:textId="77777777">
            <w:pPr>
              <w:spacing w:line="276" w:lineRule="auto"/>
              <w:rPr>
                <w:szCs w:val="18"/>
                <w:lang w:eastAsia="nl-NL"/>
              </w:rPr>
            </w:pPr>
            <w:r w:rsidRPr="000B4D4D">
              <w:rPr>
                <w:szCs w:val="18"/>
                <w:lang w:eastAsia="nl-NL"/>
              </w:rPr>
              <w:t>On-track</w:t>
            </w:r>
          </w:p>
        </w:tc>
      </w:tr>
      <w:tr w:rsidRPr="000B4D4D" w:rsidR="00A448E9" w:rsidTr="00A448E9" w14:paraId="00B375F4" w14:textId="77777777">
        <w:trPr>
          <w:trHeight w:val="300"/>
        </w:trPr>
        <w:tc>
          <w:tcPr>
            <w:tcW w:w="310" w:type="pct"/>
          </w:tcPr>
          <w:p w:rsidRPr="000B4D4D" w:rsidR="004814C6" w:rsidP="00800A85" w:rsidRDefault="004814C6" w14:paraId="46D133C8"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34</w:t>
            </w:r>
          </w:p>
        </w:tc>
        <w:tc>
          <w:tcPr>
            <w:tcW w:w="1408" w:type="pct"/>
            <w:vAlign w:val="bottom"/>
          </w:tcPr>
          <w:p w:rsidRPr="000B4D4D" w:rsidR="004814C6" w:rsidP="1A5CB1CB" w:rsidRDefault="004814C6" w14:paraId="62BC651B" w14:textId="77777777">
            <w:pPr>
              <w:spacing w:line="276" w:lineRule="auto"/>
              <w:rPr>
                <w:szCs w:val="18"/>
              </w:rPr>
            </w:pPr>
            <w:r w:rsidRPr="000B4D4D">
              <w:rPr>
                <w:szCs w:val="18"/>
                <w:lang w:eastAsia="nl-NL"/>
              </w:rPr>
              <w:t xml:space="preserve">Hervorming: Kennisinfrastructuur in de Langdurige zorg </w:t>
            </w:r>
          </w:p>
        </w:tc>
        <w:tc>
          <w:tcPr>
            <w:tcW w:w="626" w:type="pct"/>
            <w:vAlign w:val="bottom"/>
          </w:tcPr>
          <w:p w:rsidRPr="000B4D4D" w:rsidR="004814C6" w:rsidP="1A5CB1CB" w:rsidRDefault="004814C6" w14:paraId="707FBAC3" w14:textId="77777777">
            <w:pPr>
              <w:spacing w:line="276" w:lineRule="auto"/>
              <w:rPr>
                <w:szCs w:val="18"/>
              </w:rPr>
            </w:pPr>
            <w:r w:rsidRPr="000B4D4D">
              <w:rPr>
                <w:szCs w:val="18"/>
                <w:lang w:eastAsia="nl-NL"/>
              </w:rPr>
              <w:t>-</w:t>
            </w:r>
          </w:p>
        </w:tc>
        <w:tc>
          <w:tcPr>
            <w:tcW w:w="625" w:type="pct"/>
            <w:vAlign w:val="bottom"/>
          </w:tcPr>
          <w:p w:rsidRPr="000B4D4D" w:rsidR="004814C6" w:rsidP="1A5CB1CB" w:rsidRDefault="004814C6" w14:paraId="6F2CB1A4" w14:textId="77777777">
            <w:pPr>
              <w:spacing w:line="276" w:lineRule="auto"/>
              <w:rPr>
                <w:szCs w:val="18"/>
              </w:rPr>
            </w:pPr>
            <w:r w:rsidRPr="000B4D4D">
              <w:rPr>
                <w:szCs w:val="18"/>
                <w:lang w:eastAsia="nl-NL"/>
              </w:rPr>
              <w:t>2024.1.5</w:t>
            </w:r>
          </w:p>
        </w:tc>
        <w:tc>
          <w:tcPr>
            <w:tcW w:w="1331" w:type="pct"/>
            <w:vAlign w:val="bottom"/>
          </w:tcPr>
          <w:p w:rsidRPr="000B4D4D" w:rsidR="004814C6" w:rsidP="1A5CB1CB" w:rsidRDefault="004814C6" w14:paraId="20A7C283" w14:textId="77777777">
            <w:pPr>
              <w:spacing w:line="276" w:lineRule="auto"/>
              <w:rPr>
                <w:szCs w:val="18"/>
              </w:rPr>
            </w:pPr>
            <w:r w:rsidRPr="000B4D4D">
              <w:rPr>
                <w:szCs w:val="18"/>
                <w:lang w:eastAsia="nl-NL"/>
              </w:rPr>
              <w:t> -</w:t>
            </w:r>
          </w:p>
        </w:tc>
        <w:tc>
          <w:tcPr>
            <w:tcW w:w="700" w:type="pct"/>
          </w:tcPr>
          <w:p w:rsidRPr="000B4D4D" w:rsidR="004814C6" w:rsidP="00800A85" w:rsidRDefault="004814C6" w14:paraId="5EDDDEA6" w14:textId="77777777">
            <w:pPr>
              <w:spacing w:line="276" w:lineRule="auto"/>
              <w:rPr>
                <w:szCs w:val="18"/>
                <w:lang w:eastAsia="nl-NL"/>
              </w:rPr>
            </w:pPr>
            <w:r w:rsidRPr="000B4D4D">
              <w:rPr>
                <w:szCs w:val="18"/>
                <w:lang w:eastAsia="nl-NL"/>
              </w:rPr>
              <w:t>On-track</w:t>
            </w:r>
          </w:p>
        </w:tc>
      </w:tr>
      <w:tr w:rsidRPr="000B4D4D" w:rsidR="004814C6" w:rsidTr="00A448E9" w14:paraId="37093ADE" w14:textId="77777777">
        <w:trPr>
          <w:trHeight w:val="300"/>
        </w:trPr>
        <w:tc>
          <w:tcPr>
            <w:tcW w:w="4300" w:type="pct"/>
            <w:gridSpan w:val="5"/>
          </w:tcPr>
          <w:p w:rsidRPr="000B4D4D" w:rsidR="004814C6" w:rsidP="00800A85" w:rsidRDefault="004814C6" w14:paraId="7FC0B77A" w14:textId="77777777">
            <w:pPr>
              <w:spacing w:line="276" w:lineRule="auto"/>
              <w:rPr>
                <w:b/>
                <w:bCs/>
                <w:szCs w:val="18"/>
              </w:rPr>
            </w:pPr>
            <w:r w:rsidRPr="000B4D4D">
              <w:rPr>
                <w:b/>
                <w:bCs/>
                <w:szCs w:val="18"/>
              </w:rPr>
              <w:t>Arbeidsmarkt</w:t>
            </w:r>
          </w:p>
        </w:tc>
        <w:tc>
          <w:tcPr>
            <w:tcW w:w="700" w:type="pct"/>
          </w:tcPr>
          <w:p w:rsidRPr="000B4D4D" w:rsidR="004814C6" w:rsidP="002D5F54" w:rsidRDefault="004814C6" w14:paraId="1F4BB91C" w14:textId="77777777">
            <w:pPr>
              <w:spacing w:line="276" w:lineRule="auto"/>
              <w:rPr>
                <w:b/>
                <w:bCs/>
                <w:szCs w:val="18"/>
              </w:rPr>
            </w:pPr>
          </w:p>
        </w:tc>
      </w:tr>
      <w:tr w:rsidRPr="000B4D4D" w:rsidR="00A448E9" w:rsidTr="00A448E9" w14:paraId="30DDE354" w14:textId="77777777">
        <w:trPr>
          <w:trHeight w:val="300"/>
        </w:trPr>
        <w:tc>
          <w:tcPr>
            <w:tcW w:w="310" w:type="pct"/>
          </w:tcPr>
          <w:p w:rsidRPr="000B4D4D" w:rsidR="004814C6" w:rsidP="1A5CB1CB" w:rsidRDefault="004814C6" w14:paraId="78242C5D" w14:textId="77777777">
            <w:pPr>
              <w:spacing w:line="276" w:lineRule="auto"/>
              <w:rPr>
                <w:szCs w:val="18"/>
              </w:rPr>
            </w:pPr>
            <w:r w:rsidRPr="000B4D4D">
              <w:rPr>
                <w:szCs w:val="18"/>
              </w:rPr>
              <w:t>11</w:t>
            </w:r>
          </w:p>
        </w:tc>
        <w:tc>
          <w:tcPr>
            <w:tcW w:w="1408" w:type="pct"/>
          </w:tcPr>
          <w:p w:rsidRPr="000B4D4D" w:rsidR="004814C6" w:rsidP="1A5CB1CB" w:rsidRDefault="004814C6" w14:paraId="1EC6E433" w14:textId="264D7335">
            <w:pPr>
              <w:spacing w:line="276" w:lineRule="auto"/>
              <w:rPr>
                <w:szCs w:val="18"/>
              </w:rPr>
            </w:pPr>
            <w:r w:rsidRPr="000B4D4D">
              <w:rPr>
                <w:szCs w:val="18"/>
              </w:rPr>
              <w:t>Hervorming: Actieplan Groene en Digitale Banen</w:t>
            </w:r>
            <w:r w:rsidRPr="000B4D4D" w:rsidR="000E74B5">
              <w:rPr>
                <w:szCs w:val="18"/>
              </w:rPr>
              <w:t>*</w:t>
            </w:r>
          </w:p>
        </w:tc>
        <w:tc>
          <w:tcPr>
            <w:tcW w:w="626" w:type="pct"/>
          </w:tcPr>
          <w:p w:rsidRPr="000B4D4D" w:rsidR="004814C6" w:rsidP="002D5F54" w:rsidRDefault="004814C6" w14:paraId="4F2D281B" w14:textId="77777777">
            <w:pPr>
              <w:spacing w:line="276" w:lineRule="auto"/>
              <w:rPr>
                <w:szCs w:val="18"/>
              </w:rPr>
            </w:pPr>
          </w:p>
        </w:tc>
        <w:tc>
          <w:tcPr>
            <w:tcW w:w="625" w:type="pct"/>
          </w:tcPr>
          <w:p w:rsidRPr="000B4D4D" w:rsidR="004814C6" w:rsidP="00800A85" w:rsidRDefault="004814C6" w14:paraId="12687AC3" w14:textId="77777777">
            <w:pPr>
              <w:spacing w:line="276" w:lineRule="auto"/>
              <w:rPr>
                <w:rFonts w:eastAsia="Times New Roman" w:cs="Calibri"/>
                <w:szCs w:val="18"/>
                <w:lang w:eastAsia="nl-NL"/>
              </w:rPr>
            </w:pPr>
            <w:r w:rsidRPr="000B4D4D">
              <w:rPr>
                <w:szCs w:val="18"/>
                <w:lang w:val="en-US"/>
              </w:rPr>
              <w:t xml:space="preserve">2023.4.5 </w:t>
            </w:r>
          </w:p>
        </w:tc>
        <w:tc>
          <w:tcPr>
            <w:tcW w:w="1331" w:type="pct"/>
          </w:tcPr>
          <w:p w:rsidRPr="000B4D4D" w:rsidR="004814C6" w:rsidP="1A5CB1CB" w:rsidRDefault="004814C6" w14:paraId="4D3A5458" w14:textId="77777777">
            <w:pPr>
              <w:spacing w:line="276" w:lineRule="auto"/>
              <w:rPr>
                <w:szCs w:val="18"/>
              </w:rPr>
            </w:pPr>
            <w:r w:rsidRPr="000B4D4D">
              <w:rPr>
                <w:szCs w:val="18"/>
              </w:rPr>
              <w:t xml:space="preserve">Sociale en economische veerkracht, inclusief de Europese Pijler van Sociale Rechten; een eerlijke digitale transitie; </w:t>
            </w:r>
            <w:r w:rsidRPr="000B4D4D">
              <w:rPr>
                <w:rFonts w:cs="Segoe UI"/>
                <w:szCs w:val="18"/>
              </w:rPr>
              <w:t xml:space="preserve"> </w:t>
            </w:r>
            <w:r w:rsidRPr="000B4D4D">
              <w:rPr>
                <w:rStyle w:val="normaltextrun"/>
                <w:rFonts w:cs="Segoe UI"/>
                <w:szCs w:val="18"/>
              </w:rPr>
              <w:t>Een eerlijke groene en digitale transitie, inclusief consistentie met de Europese Klimaatwet</w:t>
            </w:r>
            <w:r w:rsidRPr="000B4D4D">
              <w:rPr>
                <w:rStyle w:val="eop"/>
                <w:rFonts w:cs="Segoe UI"/>
                <w:szCs w:val="18"/>
              </w:rPr>
              <w:t> </w:t>
            </w:r>
          </w:p>
        </w:tc>
        <w:tc>
          <w:tcPr>
            <w:tcW w:w="700" w:type="pct"/>
          </w:tcPr>
          <w:p w:rsidRPr="000B4D4D" w:rsidR="004814C6" w:rsidP="1A5CB1CB" w:rsidRDefault="004814C6" w14:paraId="51C29513" w14:textId="77777777">
            <w:pPr>
              <w:spacing w:line="276" w:lineRule="auto"/>
              <w:rPr>
                <w:szCs w:val="18"/>
              </w:rPr>
            </w:pPr>
            <w:r w:rsidRPr="000B4D4D">
              <w:rPr>
                <w:szCs w:val="18"/>
              </w:rPr>
              <w:t>On-track</w:t>
            </w:r>
          </w:p>
        </w:tc>
      </w:tr>
      <w:tr w:rsidRPr="000B4D4D" w:rsidR="00A448E9" w:rsidTr="00A448E9" w14:paraId="7DD5B98F" w14:textId="77777777">
        <w:trPr>
          <w:trHeight w:val="300"/>
        </w:trPr>
        <w:tc>
          <w:tcPr>
            <w:tcW w:w="310" w:type="pct"/>
          </w:tcPr>
          <w:p w:rsidRPr="000B4D4D" w:rsidR="004814C6" w:rsidP="00800A85" w:rsidRDefault="004814C6" w14:paraId="4B66D6CC" w14:textId="77777777">
            <w:pPr>
              <w:spacing w:line="276" w:lineRule="auto"/>
              <w:rPr>
                <w:rStyle w:val="normaltextrun"/>
                <w:rFonts w:cs="Segoe UI"/>
                <w:szCs w:val="18"/>
              </w:rPr>
            </w:pPr>
            <w:r w:rsidRPr="000B4D4D">
              <w:rPr>
                <w:szCs w:val="18"/>
              </w:rPr>
              <w:t>35</w:t>
            </w:r>
          </w:p>
        </w:tc>
        <w:tc>
          <w:tcPr>
            <w:tcW w:w="1408" w:type="pct"/>
          </w:tcPr>
          <w:p w:rsidRPr="000B4D4D" w:rsidR="004814C6" w:rsidP="1A5CB1CB" w:rsidRDefault="004814C6" w14:paraId="434B1C50" w14:textId="77777777">
            <w:pPr>
              <w:spacing w:line="276" w:lineRule="auto"/>
              <w:rPr>
                <w:szCs w:val="18"/>
              </w:rPr>
            </w:pPr>
            <w:r w:rsidRPr="000B4D4D">
              <w:rPr>
                <w:szCs w:val="18"/>
              </w:rPr>
              <w:t>Hervorming: Meer zekerheid flexwerkers</w:t>
            </w:r>
          </w:p>
        </w:tc>
        <w:tc>
          <w:tcPr>
            <w:tcW w:w="626" w:type="pct"/>
          </w:tcPr>
          <w:p w:rsidRPr="000B4D4D" w:rsidR="004814C6" w:rsidP="002D5F54" w:rsidRDefault="004814C6" w14:paraId="3389F87D" w14:textId="77777777">
            <w:pPr>
              <w:spacing w:line="276" w:lineRule="auto"/>
              <w:rPr>
                <w:szCs w:val="18"/>
              </w:rPr>
            </w:pPr>
          </w:p>
        </w:tc>
        <w:tc>
          <w:tcPr>
            <w:tcW w:w="625" w:type="pct"/>
          </w:tcPr>
          <w:p w:rsidRPr="000B4D4D" w:rsidR="004814C6" w:rsidP="00800A85" w:rsidRDefault="004814C6" w14:paraId="4F0E9B91" w14:textId="77777777">
            <w:pPr>
              <w:spacing w:line="276" w:lineRule="auto"/>
              <w:rPr>
                <w:rFonts w:eastAsia="Times New Roman" w:cs="Calibri"/>
                <w:szCs w:val="18"/>
                <w:lang w:eastAsia="nl-NL"/>
              </w:rPr>
            </w:pPr>
            <w:r w:rsidRPr="000B4D4D">
              <w:rPr>
                <w:rFonts w:eastAsia="Times New Roman" w:cs="Calibri"/>
                <w:kern w:val="0"/>
                <w:szCs w:val="18"/>
                <w:lang w:eastAsia="nl-NL"/>
              </w:rPr>
              <w:t>2024.3.1</w:t>
            </w:r>
          </w:p>
          <w:p w:rsidRPr="000B4D4D" w:rsidR="004814C6" w:rsidP="1A5CB1CB" w:rsidRDefault="004814C6" w14:paraId="7E72E070" w14:textId="77777777">
            <w:pPr>
              <w:spacing w:line="276" w:lineRule="auto"/>
              <w:rPr>
                <w:szCs w:val="18"/>
              </w:rPr>
            </w:pPr>
            <w:r w:rsidRPr="000B4D4D">
              <w:rPr>
                <w:szCs w:val="18"/>
              </w:rPr>
              <w:t>2023.3.1</w:t>
            </w:r>
          </w:p>
          <w:p w:rsidRPr="000B4D4D" w:rsidR="004814C6" w:rsidP="1A5CB1CB" w:rsidRDefault="004814C6" w14:paraId="181935EE" w14:textId="77777777">
            <w:pPr>
              <w:spacing w:line="276" w:lineRule="auto"/>
              <w:rPr>
                <w:szCs w:val="18"/>
              </w:rPr>
            </w:pPr>
            <w:r w:rsidRPr="000B4D4D">
              <w:rPr>
                <w:szCs w:val="18"/>
              </w:rPr>
              <w:t>2022.3.3</w:t>
            </w:r>
          </w:p>
          <w:p w:rsidRPr="000B4D4D" w:rsidR="004814C6" w:rsidP="1A5CB1CB" w:rsidRDefault="004814C6" w14:paraId="1A36AE13" w14:textId="77777777">
            <w:pPr>
              <w:spacing w:line="276" w:lineRule="auto"/>
              <w:rPr>
                <w:szCs w:val="18"/>
              </w:rPr>
            </w:pPr>
            <w:r w:rsidRPr="000B4D4D">
              <w:rPr>
                <w:szCs w:val="18"/>
              </w:rPr>
              <w:t>2022.3.2</w:t>
            </w:r>
          </w:p>
          <w:p w:rsidRPr="000B4D4D" w:rsidR="004814C6" w:rsidP="1A5CB1CB" w:rsidRDefault="004814C6" w14:paraId="3EC0D4BC" w14:textId="77777777">
            <w:pPr>
              <w:spacing w:line="276" w:lineRule="auto"/>
              <w:rPr>
                <w:szCs w:val="18"/>
              </w:rPr>
            </w:pPr>
            <w:r w:rsidRPr="000B4D4D">
              <w:rPr>
                <w:szCs w:val="18"/>
              </w:rPr>
              <w:t>2022.3.1</w:t>
            </w:r>
          </w:p>
          <w:p w:rsidRPr="000B4D4D" w:rsidR="004814C6" w:rsidP="1A5CB1CB" w:rsidRDefault="004814C6" w14:paraId="06AE153B" w14:textId="77777777">
            <w:pPr>
              <w:spacing w:line="276" w:lineRule="auto"/>
              <w:rPr>
                <w:szCs w:val="18"/>
              </w:rPr>
            </w:pPr>
            <w:r w:rsidRPr="000B4D4D">
              <w:rPr>
                <w:szCs w:val="18"/>
              </w:rPr>
              <w:t>2020.2.2</w:t>
            </w:r>
          </w:p>
          <w:p w:rsidRPr="000B4D4D" w:rsidR="004814C6" w:rsidP="1A5CB1CB" w:rsidRDefault="004814C6" w14:paraId="5F711F3F" w14:textId="77777777">
            <w:pPr>
              <w:spacing w:line="276" w:lineRule="auto"/>
              <w:rPr>
                <w:szCs w:val="18"/>
              </w:rPr>
            </w:pPr>
            <w:r w:rsidRPr="000B4D4D">
              <w:rPr>
                <w:szCs w:val="18"/>
              </w:rPr>
              <w:lastRenderedPageBreak/>
              <w:t>2019.2.2</w:t>
            </w:r>
          </w:p>
          <w:p w:rsidRPr="000B4D4D" w:rsidR="004814C6" w:rsidP="1A5CB1CB" w:rsidRDefault="004814C6" w14:paraId="11C8912D" w14:textId="77777777">
            <w:pPr>
              <w:spacing w:line="276" w:lineRule="auto"/>
              <w:rPr>
                <w:szCs w:val="18"/>
              </w:rPr>
            </w:pPr>
            <w:r w:rsidRPr="000B4D4D">
              <w:rPr>
                <w:szCs w:val="18"/>
              </w:rPr>
              <w:t>2019.2.1</w:t>
            </w:r>
          </w:p>
        </w:tc>
        <w:tc>
          <w:tcPr>
            <w:tcW w:w="1331" w:type="pct"/>
          </w:tcPr>
          <w:p w:rsidRPr="000B4D4D" w:rsidR="004814C6" w:rsidP="1A5CB1CB" w:rsidRDefault="004814C6" w14:paraId="5676244B" w14:textId="77777777">
            <w:pPr>
              <w:spacing w:line="276" w:lineRule="auto"/>
              <w:rPr>
                <w:szCs w:val="18"/>
              </w:rPr>
            </w:pPr>
            <w:r w:rsidRPr="000B4D4D">
              <w:rPr>
                <w:szCs w:val="18"/>
              </w:rPr>
              <w:lastRenderedPageBreak/>
              <w:t>Sociale en economische veerkracht, inclusief de Europese Pijler van Sociale Rechten</w:t>
            </w:r>
          </w:p>
        </w:tc>
        <w:tc>
          <w:tcPr>
            <w:tcW w:w="700" w:type="pct"/>
          </w:tcPr>
          <w:p w:rsidRPr="000B4D4D" w:rsidR="004814C6" w:rsidP="1A5CB1CB" w:rsidRDefault="004814C6" w14:paraId="0D5B2CE3" w14:textId="77777777">
            <w:pPr>
              <w:spacing w:line="276" w:lineRule="auto"/>
              <w:rPr>
                <w:szCs w:val="18"/>
              </w:rPr>
            </w:pPr>
            <w:r w:rsidRPr="000B4D4D">
              <w:rPr>
                <w:szCs w:val="18"/>
              </w:rPr>
              <w:t>On-track</w:t>
            </w:r>
          </w:p>
        </w:tc>
      </w:tr>
      <w:tr w:rsidRPr="000B4D4D" w:rsidR="00A448E9" w:rsidTr="00A448E9" w14:paraId="3978F82E" w14:textId="77777777">
        <w:trPr>
          <w:trHeight w:val="300"/>
        </w:trPr>
        <w:tc>
          <w:tcPr>
            <w:tcW w:w="310" w:type="pct"/>
          </w:tcPr>
          <w:p w:rsidRPr="000B4D4D" w:rsidR="004814C6" w:rsidP="00800A85" w:rsidRDefault="004814C6" w14:paraId="0B3C8C87"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36</w:t>
            </w:r>
          </w:p>
        </w:tc>
        <w:tc>
          <w:tcPr>
            <w:tcW w:w="1408" w:type="pct"/>
          </w:tcPr>
          <w:p w:rsidRPr="000B4D4D" w:rsidR="004814C6" w:rsidP="1A5CB1CB" w:rsidRDefault="004814C6" w14:paraId="2CE7C7F9" w14:textId="77777777">
            <w:pPr>
              <w:spacing w:line="276" w:lineRule="auto"/>
              <w:rPr>
                <w:szCs w:val="18"/>
              </w:rPr>
            </w:pPr>
            <w:r w:rsidRPr="000B4D4D">
              <w:rPr>
                <w:szCs w:val="18"/>
              </w:rPr>
              <w:t>Hervorming: Verplichte arbeidsongeschiktheidsverzekering voor zelfstandigen</w:t>
            </w:r>
          </w:p>
        </w:tc>
        <w:tc>
          <w:tcPr>
            <w:tcW w:w="626" w:type="pct"/>
          </w:tcPr>
          <w:p w:rsidRPr="000B4D4D" w:rsidR="004814C6" w:rsidP="1A5CB1CB" w:rsidRDefault="004814C6" w14:paraId="52EF6662" w14:textId="77777777">
            <w:pPr>
              <w:spacing w:line="276" w:lineRule="auto"/>
              <w:rPr>
                <w:szCs w:val="18"/>
              </w:rPr>
            </w:pPr>
            <w:r w:rsidRPr="000B4D4D">
              <w:rPr>
                <w:rFonts w:eastAsia="Verdana" w:cs="Verdana"/>
                <w:szCs w:val="18"/>
              </w:rPr>
              <w:t>HVP (C4.1 R2-1)</w:t>
            </w:r>
          </w:p>
        </w:tc>
        <w:tc>
          <w:tcPr>
            <w:tcW w:w="625" w:type="pct"/>
          </w:tcPr>
          <w:p w:rsidRPr="000B4D4D" w:rsidR="004814C6" w:rsidP="00800A85" w:rsidRDefault="004814C6" w14:paraId="4537B004" w14:textId="77777777">
            <w:pPr>
              <w:spacing w:line="276" w:lineRule="auto"/>
              <w:rPr>
                <w:rFonts w:eastAsia="Times New Roman" w:cs="Calibri"/>
                <w:szCs w:val="18"/>
                <w:lang w:eastAsia="nl-NL"/>
              </w:rPr>
            </w:pPr>
            <w:r w:rsidRPr="000B4D4D">
              <w:rPr>
                <w:rFonts w:eastAsia="Times New Roman" w:cs="Calibri"/>
                <w:kern w:val="0"/>
                <w:szCs w:val="18"/>
                <w:lang w:eastAsia="nl-NL"/>
              </w:rPr>
              <w:t>2024.3.1</w:t>
            </w:r>
          </w:p>
          <w:p w:rsidRPr="000B4D4D" w:rsidR="004814C6" w:rsidP="1A5CB1CB" w:rsidRDefault="004814C6" w14:paraId="0468714F" w14:textId="77777777">
            <w:pPr>
              <w:spacing w:line="276" w:lineRule="auto"/>
              <w:rPr>
                <w:szCs w:val="18"/>
              </w:rPr>
            </w:pPr>
            <w:r w:rsidRPr="000B4D4D">
              <w:rPr>
                <w:szCs w:val="18"/>
              </w:rPr>
              <w:t>2023.3.1</w:t>
            </w:r>
          </w:p>
          <w:p w:rsidRPr="000B4D4D" w:rsidR="004814C6" w:rsidP="1A5CB1CB" w:rsidRDefault="004814C6" w14:paraId="35CF8DBC" w14:textId="77777777">
            <w:pPr>
              <w:spacing w:line="276" w:lineRule="auto"/>
              <w:rPr>
                <w:szCs w:val="18"/>
              </w:rPr>
            </w:pPr>
            <w:r w:rsidRPr="000B4D4D">
              <w:rPr>
                <w:szCs w:val="18"/>
              </w:rPr>
              <w:t>2022.3.3</w:t>
            </w:r>
          </w:p>
          <w:p w:rsidRPr="000B4D4D" w:rsidR="004814C6" w:rsidP="1A5CB1CB" w:rsidRDefault="004814C6" w14:paraId="767D3B50" w14:textId="77777777">
            <w:pPr>
              <w:spacing w:line="276" w:lineRule="auto"/>
              <w:rPr>
                <w:szCs w:val="18"/>
              </w:rPr>
            </w:pPr>
            <w:r w:rsidRPr="000B4D4D">
              <w:rPr>
                <w:szCs w:val="18"/>
              </w:rPr>
              <w:t>2022.3.2</w:t>
            </w:r>
          </w:p>
          <w:p w:rsidRPr="000B4D4D" w:rsidR="004814C6" w:rsidP="1A5CB1CB" w:rsidRDefault="004814C6" w14:paraId="3D5959FC" w14:textId="77777777">
            <w:pPr>
              <w:spacing w:line="276" w:lineRule="auto"/>
              <w:rPr>
                <w:szCs w:val="18"/>
              </w:rPr>
            </w:pPr>
            <w:r w:rsidRPr="000B4D4D">
              <w:rPr>
                <w:szCs w:val="18"/>
              </w:rPr>
              <w:t>2022.3.1</w:t>
            </w:r>
          </w:p>
          <w:p w:rsidRPr="000B4D4D" w:rsidR="004814C6" w:rsidP="1A5CB1CB" w:rsidRDefault="004814C6" w14:paraId="27DDDE02" w14:textId="77777777">
            <w:pPr>
              <w:spacing w:line="276" w:lineRule="auto"/>
              <w:rPr>
                <w:szCs w:val="18"/>
              </w:rPr>
            </w:pPr>
            <w:r w:rsidRPr="000B4D4D">
              <w:rPr>
                <w:szCs w:val="18"/>
              </w:rPr>
              <w:t>2020.2.2</w:t>
            </w:r>
          </w:p>
          <w:p w:rsidRPr="000B4D4D" w:rsidR="004814C6" w:rsidP="1A5CB1CB" w:rsidRDefault="004814C6" w14:paraId="059AB4D1" w14:textId="77777777">
            <w:pPr>
              <w:spacing w:line="276" w:lineRule="auto"/>
              <w:rPr>
                <w:szCs w:val="18"/>
              </w:rPr>
            </w:pPr>
            <w:r w:rsidRPr="000B4D4D">
              <w:rPr>
                <w:szCs w:val="18"/>
              </w:rPr>
              <w:t>2019.2.2</w:t>
            </w:r>
          </w:p>
          <w:p w:rsidRPr="000B4D4D" w:rsidR="004814C6" w:rsidP="1A5CB1CB" w:rsidRDefault="004814C6" w14:paraId="1B177159" w14:textId="77777777">
            <w:pPr>
              <w:spacing w:line="276" w:lineRule="auto"/>
              <w:rPr>
                <w:szCs w:val="18"/>
              </w:rPr>
            </w:pPr>
            <w:r w:rsidRPr="000B4D4D">
              <w:rPr>
                <w:szCs w:val="18"/>
              </w:rPr>
              <w:t>2019.2.1</w:t>
            </w:r>
          </w:p>
        </w:tc>
        <w:tc>
          <w:tcPr>
            <w:tcW w:w="1331" w:type="pct"/>
          </w:tcPr>
          <w:p w:rsidRPr="000B4D4D" w:rsidR="004814C6" w:rsidP="1A5CB1CB" w:rsidRDefault="004814C6" w14:paraId="6D641861"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A67162" w14:paraId="34083228" w14:textId="4A8A3AB4">
            <w:pPr>
              <w:spacing w:line="276" w:lineRule="auto"/>
              <w:rPr>
                <w:szCs w:val="18"/>
              </w:rPr>
            </w:pPr>
            <w:r w:rsidRPr="000B4D4D">
              <w:rPr>
                <w:szCs w:val="18"/>
              </w:rPr>
              <w:t>Not completed</w:t>
            </w:r>
          </w:p>
        </w:tc>
      </w:tr>
      <w:tr w:rsidRPr="000B4D4D" w:rsidR="00A448E9" w:rsidTr="00A448E9" w14:paraId="4DCAAA79" w14:textId="77777777">
        <w:trPr>
          <w:trHeight w:val="300"/>
        </w:trPr>
        <w:tc>
          <w:tcPr>
            <w:tcW w:w="310" w:type="pct"/>
          </w:tcPr>
          <w:p w:rsidRPr="000B4D4D" w:rsidR="004814C6" w:rsidP="1A5CB1CB" w:rsidRDefault="004814C6" w14:paraId="70D5D9C5" w14:textId="77777777">
            <w:pPr>
              <w:spacing w:line="276" w:lineRule="auto"/>
              <w:rPr>
                <w:szCs w:val="18"/>
              </w:rPr>
            </w:pPr>
            <w:r w:rsidRPr="000B4D4D">
              <w:rPr>
                <w:szCs w:val="18"/>
              </w:rPr>
              <w:t>37</w:t>
            </w:r>
          </w:p>
        </w:tc>
        <w:tc>
          <w:tcPr>
            <w:tcW w:w="1408" w:type="pct"/>
          </w:tcPr>
          <w:p w:rsidRPr="000B4D4D" w:rsidR="004814C6" w:rsidP="00800A85" w:rsidRDefault="004814C6" w14:paraId="57104B55" w14:textId="77777777">
            <w:pPr>
              <w:spacing w:line="276" w:lineRule="auto"/>
              <w:rPr>
                <w:rStyle w:val="eop"/>
                <w:rFonts w:cs="Segoe UI"/>
                <w:szCs w:val="18"/>
              </w:rPr>
            </w:pPr>
            <w:r w:rsidRPr="000B4D4D">
              <w:rPr>
                <w:szCs w:val="18"/>
              </w:rPr>
              <w:t>Hervorming: Aanpak Arbeidsmarktkrapte</w:t>
            </w:r>
          </w:p>
        </w:tc>
        <w:tc>
          <w:tcPr>
            <w:tcW w:w="626" w:type="pct"/>
          </w:tcPr>
          <w:p w:rsidRPr="000B4D4D" w:rsidR="004814C6" w:rsidP="002D5F54" w:rsidRDefault="004814C6" w14:paraId="2726E3F5" w14:textId="77777777">
            <w:pPr>
              <w:spacing w:line="276" w:lineRule="auto"/>
              <w:rPr>
                <w:szCs w:val="18"/>
              </w:rPr>
            </w:pPr>
          </w:p>
        </w:tc>
        <w:tc>
          <w:tcPr>
            <w:tcW w:w="625" w:type="pct"/>
          </w:tcPr>
          <w:p w:rsidRPr="000B4D4D" w:rsidR="004814C6" w:rsidP="00800A85" w:rsidRDefault="004814C6" w14:paraId="1A03ECF2" w14:textId="77777777">
            <w:pPr>
              <w:spacing w:line="276" w:lineRule="auto"/>
              <w:rPr>
                <w:rFonts w:eastAsia="Times New Roman" w:cs="Calibri"/>
                <w:szCs w:val="18"/>
                <w:lang w:eastAsia="nl-NL"/>
              </w:rPr>
            </w:pPr>
            <w:r w:rsidRPr="000B4D4D">
              <w:rPr>
                <w:rFonts w:eastAsia="Times New Roman" w:cs="Calibri"/>
                <w:kern w:val="0"/>
                <w:szCs w:val="18"/>
                <w:lang w:eastAsia="nl-NL"/>
              </w:rPr>
              <w:t>2024.3.1</w:t>
            </w:r>
          </w:p>
          <w:p w:rsidRPr="000B4D4D" w:rsidR="004814C6" w:rsidP="1A5CB1CB" w:rsidRDefault="004814C6" w14:paraId="23A5C992" w14:textId="77777777">
            <w:pPr>
              <w:spacing w:line="276" w:lineRule="auto"/>
              <w:rPr>
                <w:szCs w:val="18"/>
              </w:rPr>
            </w:pPr>
            <w:r w:rsidRPr="000B4D4D">
              <w:rPr>
                <w:szCs w:val="18"/>
              </w:rPr>
              <w:t>2023.3.1</w:t>
            </w:r>
          </w:p>
          <w:p w:rsidRPr="000B4D4D" w:rsidR="004814C6" w:rsidP="1A5CB1CB" w:rsidRDefault="004814C6" w14:paraId="2A32AEB9" w14:textId="77777777">
            <w:pPr>
              <w:spacing w:line="276" w:lineRule="auto"/>
              <w:rPr>
                <w:szCs w:val="18"/>
              </w:rPr>
            </w:pPr>
            <w:r w:rsidRPr="000B4D4D">
              <w:rPr>
                <w:szCs w:val="18"/>
              </w:rPr>
              <w:t>2022.3.3</w:t>
            </w:r>
          </w:p>
          <w:p w:rsidRPr="000B4D4D" w:rsidR="004814C6" w:rsidP="1A5CB1CB" w:rsidRDefault="004814C6" w14:paraId="7565AA06" w14:textId="77777777">
            <w:pPr>
              <w:spacing w:line="276" w:lineRule="auto"/>
              <w:rPr>
                <w:szCs w:val="18"/>
              </w:rPr>
            </w:pPr>
            <w:r w:rsidRPr="000B4D4D">
              <w:rPr>
                <w:szCs w:val="18"/>
              </w:rPr>
              <w:t>2022.3.2</w:t>
            </w:r>
          </w:p>
          <w:p w:rsidRPr="000B4D4D" w:rsidR="004814C6" w:rsidP="1A5CB1CB" w:rsidRDefault="004814C6" w14:paraId="58389892" w14:textId="77777777">
            <w:pPr>
              <w:spacing w:line="276" w:lineRule="auto"/>
              <w:rPr>
                <w:szCs w:val="18"/>
              </w:rPr>
            </w:pPr>
            <w:r w:rsidRPr="000B4D4D">
              <w:rPr>
                <w:szCs w:val="18"/>
              </w:rPr>
              <w:t>2022.3.1</w:t>
            </w:r>
          </w:p>
          <w:p w:rsidRPr="000B4D4D" w:rsidR="004814C6" w:rsidP="1A5CB1CB" w:rsidRDefault="004814C6" w14:paraId="0E420491" w14:textId="77777777">
            <w:pPr>
              <w:spacing w:line="276" w:lineRule="auto"/>
              <w:rPr>
                <w:szCs w:val="18"/>
              </w:rPr>
            </w:pPr>
            <w:r w:rsidRPr="000B4D4D">
              <w:rPr>
                <w:szCs w:val="18"/>
              </w:rPr>
              <w:t>2020.2.2</w:t>
            </w:r>
          </w:p>
          <w:p w:rsidRPr="000B4D4D" w:rsidR="004814C6" w:rsidP="00800A85" w:rsidRDefault="004814C6" w14:paraId="15B5D4E4" w14:textId="77777777">
            <w:pPr>
              <w:spacing w:line="276" w:lineRule="auto"/>
              <w:rPr>
                <w:rStyle w:val="eop"/>
                <w:rFonts w:cs="Segoe UI"/>
                <w:szCs w:val="18"/>
              </w:rPr>
            </w:pPr>
            <w:r w:rsidRPr="000B4D4D">
              <w:rPr>
                <w:szCs w:val="18"/>
              </w:rPr>
              <w:t>2019.2.2</w:t>
            </w:r>
          </w:p>
        </w:tc>
        <w:tc>
          <w:tcPr>
            <w:tcW w:w="1331" w:type="pct"/>
          </w:tcPr>
          <w:p w:rsidRPr="000B4D4D" w:rsidR="004814C6" w:rsidP="00800A85" w:rsidRDefault="004814C6" w14:paraId="7BB4FABA" w14:textId="77777777">
            <w:pPr>
              <w:spacing w:line="276" w:lineRule="auto"/>
              <w:rPr>
                <w:rStyle w:val="eop"/>
                <w:rFonts w:cs="Segoe UI"/>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6903B1D8" w14:textId="77777777">
            <w:pPr>
              <w:spacing w:line="276" w:lineRule="auto"/>
              <w:rPr>
                <w:szCs w:val="18"/>
              </w:rPr>
            </w:pPr>
            <w:r w:rsidRPr="000B4D4D">
              <w:rPr>
                <w:szCs w:val="18"/>
              </w:rPr>
              <w:t>On-track</w:t>
            </w:r>
          </w:p>
        </w:tc>
      </w:tr>
      <w:tr w:rsidRPr="000B4D4D" w:rsidR="00A448E9" w:rsidTr="00A448E9" w14:paraId="4B441DC3" w14:textId="77777777">
        <w:trPr>
          <w:trHeight w:val="300"/>
        </w:trPr>
        <w:tc>
          <w:tcPr>
            <w:tcW w:w="310" w:type="pct"/>
          </w:tcPr>
          <w:p w:rsidRPr="000B4D4D" w:rsidR="004814C6" w:rsidP="1A5CB1CB" w:rsidRDefault="004814C6" w14:paraId="72FAB939" w14:textId="6BD35E96">
            <w:pPr>
              <w:spacing w:after="240"/>
              <w:rPr>
                <w:szCs w:val="18"/>
              </w:rPr>
            </w:pPr>
            <w:r w:rsidRPr="000B4D4D">
              <w:rPr>
                <w:szCs w:val="18"/>
              </w:rPr>
              <w:t>38</w:t>
            </w:r>
          </w:p>
        </w:tc>
        <w:tc>
          <w:tcPr>
            <w:tcW w:w="1408" w:type="pct"/>
          </w:tcPr>
          <w:p w:rsidRPr="000B4D4D" w:rsidR="004814C6" w:rsidP="1A5CB1CB" w:rsidRDefault="004814C6" w14:paraId="17A0B4AC" w14:textId="77777777">
            <w:pPr>
              <w:spacing w:line="276" w:lineRule="auto"/>
              <w:rPr>
                <w:szCs w:val="18"/>
              </w:rPr>
            </w:pPr>
            <w:r w:rsidRPr="000B4D4D">
              <w:rPr>
                <w:szCs w:val="18"/>
              </w:rPr>
              <w:t>Hervorming: Actieplan aanpak van schijnzelfstandigheid</w:t>
            </w:r>
          </w:p>
          <w:p w:rsidRPr="000B4D4D" w:rsidR="004814C6" w:rsidP="002D5F54" w:rsidRDefault="004814C6" w14:paraId="0B3FF2CB" w14:textId="77777777">
            <w:pPr>
              <w:spacing w:line="276" w:lineRule="auto"/>
              <w:rPr>
                <w:szCs w:val="18"/>
              </w:rPr>
            </w:pPr>
          </w:p>
        </w:tc>
        <w:tc>
          <w:tcPr>
            <w:tcW w:w="626" w:type="pct"/>
          </w:tcPr>
          <w:p w:rsidRPr="000B4D4D" w:rsidR="004814C6" w:rsidP="1A5CB1CB" w:rsidRDefault="004814C6" w14:paraId="2F521416" w14:textId="77777777">
            <w:pPr>
              <w:spacing w:line="276" w:lineRule="auto"/>
              <w:rPr>
                <w:szCs w:val="18"/>
              </w:rPr>
            </w:pPr>
            <w:r w:rsidRPr="000B4D4D">
              <w:rPr>
                <w:rFonts w:eastAsia="Verdana" w:cs="Verdana"/>
                <w:szCs w:val="18"/>
              </w:rPr>
              <w:t>HVP (C4.1 R4)</w:t>
            </w:r>
          </w:p>
        </w:tc>
        <w:tc>
          <w:tcPr>
            <w:tcW w:w="625" w:type="pct"/>
          </w:tcPr>
          <w:p w:rsidRPr="000B4D4D" w:rsidR="004814C6" w:rsidP="00800A85" w:rsidRDefault="004814C6" w14:paraId="7AD96EA0" w14:textId="77777777">
            <w:pPr>
              <w:spacing w:line="276" w:lineRule="auto"/>
              <w:rPr>
                <w:rFonts w:eastAsia="Times New Roman" w:cs="Calibri"/>
                <w:szCs w:val="18"/>
                <w:lang w:eastAsia="nl-NL"/>
              </w:rPr>
            </w:pPr>
            <w:r w:rsidRPr="000B4D4D">
              <w:rPr>
                <w:rFonts w:eastAsia="Times New Roman" w:cs="Calibri"/>
                <w:kern w:val="0"/>
                <w:szCs w:val="18"/>
                <w:lang w:eastAsia="nl-NL"/>
              </w:rPr>
              <w:t>2024.3.1</w:t>
            </w:r>
          </w:p>
          <w:p w:rsidRPr="000B4D4D" w:rsidR="004814C6" w:rsidP="1A5CB1CB" w:rsidRDefault="004814C6" w14:paraId="0275D9C7" w14:textId="77777777">
            <w:pPr>
              <w:spacing w:line="276" w:lineRule="auto"/>
              <w:rPr>
                <w:szCs w:val="18"/>
              </w:rPr>
            </w:pPr>
            <w:r w:rsidRPr="000B4D4D">
              <w:rPr>
                <w:szCs w:val="18"/>
              </w:rPr>
              <w:t>2023.3.1</w:t>
            </w:r>
          </w:p>
          <w:p w:rsidRPr="000B4D4D" w:rsidR="004814C6" w:rsidP="1A5CB1CB" w:rsidRDefault="004814C6" w14:paraId="7E305F43" w14:textId="77777777">
            <w:pPr>
              <w:spacing w:line="276" w:lineRule="auto"/>
              <w:rPr>
                <w:szCs w:val="18"/>
              </w:rPr>
            </w:pPr>
            <w:r w:rsidRPr="000B4D4D">
              <w:rPr>
                <w:szCs w:val="18"/>
              </w:rPr>
              <w:t>2022.3.3</w:t>
            </w:r>
          </w:p>
          <w:p w:rsidRPr="000B4D4D" w:rsidR="004814C6" w:rsidP="1A5CB1CB" w:rsidRDefault="004814C6" w14:paraId="20C3817C" w14:textId="77777777">
            <w:pPr>
              <w:spacing w:line="276" w:lineRule="auto"/>
              <w:rPr>
                <w:szCs w:val="18"/>
              </w:rPr>
            </w:pPr>
            <w:r w:rsidRPr="000B4D4D">
              <w:rPr>
                <w:szCs w:val="18"/>
              </w:rPr>
              <w:t>2022.3.2</w:t>
            </w:r>
          </w:p>
          <w:p w:rsidRPr="000B4D4D" w:rsidR="004814C6" w:rsidP="1A5CB1CB" w:rsidRDefault="004814C6" w14:paraId="074B2B12" w14:textId="77777777">
            <w:pPr>
              <w:spacing w:line="276" w:lineRule="auto"/>
              <w:rPr>
                <w:szCs w:val="18"/>
              </w:rPr>
            </w:pPr>
            <w:r w:rsidRPr="000B4D4D">
              <w:rPr>
                <w:szCs w:val="18"/>
              </w:rPr>
              <w:t>2022.3.1</w:t>
            </w:r>
          </w:p>
          <w:p w:rsidRPr="000B4D4D" w:rsidR="004814C6" w:rsidP="1A5CB1CB" w:rsidRDefault="004814C6" w14:paraId="69C00DC7" w14:textId="77777777">
            <w:pPr>
              <w:spacing w:line="276" w:lineRule="auto"/>
              <w:rPr>
                <w:szCs w:val="18"/>
              </w:rPr>
            </w:pPr>
            <w:r w:rsidRPr="000B4D4D">
              <w:rPr>
                <w:szCs w:val="18"/>
              </w:rPr>
              <w:t>2020.2.2</w:t>
            </w:r>
          </w:p>
          <w:p w:rsidRPr="000B4D4D" w:rsidR="004814C6" w:rsidP="1A5CB1CB" w:rsidRDefault="004814C6" w14:paraId="07DD8CFF" w14:textId="77777777">
            <w:pPr>
              <w:spacing w:line="276" w:lineRule="auto"/>
              <w:rPr>
                <w:szCs w:val="18"/>
              </w:rPr>
            </w:pPr>
            <w:r w:rsidRPr="000B4D4D">
              <w:rPr>
                <w:szCs w:val="18"/>
              </w:rPr>
              <w:t>2019.2.2</w:t>
            </w:r>
          </w:p>
          <w:p w:rsidRPr="000B4D4D" w:rsidR="004814C6" w:rsidP="1A5CB1CB" w:rsidRDefault="004814C6" w14:paraId="5976D639" w14:textId="77777777">
            <w:pPr>
              <w:autoSpaceDE w:val="0"/>
              <w:autoSpaceDN w:val="0"/>
              <w:adjustRightInd w:val="0"/>
              <w:rPr>
                <w:szCs w:val="18"/>
              </w:rPr>
            </w:pPr>
            <w:r w:rsidRPr="000B4D4D">
              <w:rPr>
                <w:szCs w:val="18"/>
              </w:rPr>
              <w:t>2019.2.1</w:t>
            </w:r>
          </w:p>
        </w:tc>
        <w:tc>
          <w:tcPr>
            <w:tcW w:w="1331" w:type="pct"/>
          </w:tcPr>
          <w:p w:rsidRPr="000B4D4D" w:rsidR="004814C6" w:rsidP="1A5CB1CB" w:rsidRDefault="004814C6" w14:paraId="3F051C67"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CB6EEF" w14:paraId="421F7123" w14:textId="4AF98712">
            <w:pPr>
              <w:spacing w:line="276" w:lineRule="auto"/>
              <w:rPr>
                <w:szCs w:val="18"/>
              </w:rPr>
            </w:pPr>
            <w:r w:rsidRPr="000B4D4D">
              <w:rPr>
                <w:szCs w:val="18"/>
              </w:rPr>
              <w:t>Not completed</w:t>
            </w:r>
          </w:p>
        </w:tc>
      </w:tr>
      <w:tr w:rsidRPr="000B4D4D" w:rsidR="00A448E9" w:rsidTr="00A448E9" w14:paraId="2F4F47AF" w14:textId="77777777">
        <w:trPr>
          <w:trHeight w:val="300"/>
        </w:trPr>
        <w:tc>
          <w:tcPr>
            <w:tcW w:w="310" w:type="pct"/>
          </w:tcPr>
          <w:p w:rsidRPr="000B4D4D" w:rsidR="004814C6" w:rsidP="1A5CB1CB" w:rsidRDefault="004814C6" w14:paraId="0F3697B6" w14:textId="77777777">
            <w:pPr>
              <w:spacing w:after="240"/>
              <w:rPr>
                <w:szCs w:val="18"/>
              </w:rPr>
            </w:pPr>
            <w:r w:rsidRPr="000B4D4D">
              <w:rPr>
                <w:szCs w:val="18"/>
              </w:rPr>
              <w:t>39</w:t>
            </w:r>
          </w:p>
        </w:tc>
        <w:tc>
          <w:tcPr>
            <w:tcW w:w="1408" w:type="pct"/>
          </w:tcPr>
          <w:p w:rsidRPr="000B4D4D" w:rsidR="004814C6" w:rsidP="1A5CB1CB" w:rsidRDefault="004814C6" w14:paraId="3C66DABD" w14:textId="77777777">
            <w:pPr>
              <w:spacing w:after="240"/>
              <w:rPr>
                <w:szCs w:val="18"/>
              </w:rPr>
            </w:pPr>
            <w:r w:rsidRPr="000B4D4D">
              <w:rPr>
                <w:szCs w:val="18"/>
              </w:rPr>
              <w:t>Hervorming: Programma voor een inclusieve arbeidsmarkt</w:t>
            </w:r>
          </w:p>
        </w:tc>
        <w:tc>
          <w:tcPr>
            <w:tcW w:w="626" w:type="pct"/>
          </w:tcPr>
          <w:p w:rsidRPr="000B4D4D" w:rsidR="004814C6" w:rsidP="002D5F54" w:rsidRDefault="004814C6" w14:paraId="50E25249" w14:textId="77777777">
            <w:pPr>
              <w:spacing w:line="276" w:lineRule="auto"/>
              <w:rPr>
                <w:szCs w:val="18"/>
              </w:rPr>
            </w:pPr>
          </w:p>
        </w:tc>
        <w:tc>
          <w:tcPr>
            <w:tcW w:w="625" w:type="pct"/>
          </w:tcPr>
          <w:p w:rsidRPr="000B4D4D" w:rsidR="004814C6" w:rsidP="1A5CB1CB" w:rsidRDefault="004814C6" w14:paraId="157B9B41" w14:textId="77777777">
            <w:pPr>
              <w:spacing w:line="276" w:lineRule="auto"/>
              <w:rPr>
                <w:szCs w:val="18"/>
              </w:rPr>
            </w:pPr>
            <w:r w:rsidRPr="000B4D4D">
              <w:rPr>
                <w:szCs w:val="18"/>
              </w:rPr>
              <w:t>2024.3.2</w:t>
            </w:r>
          </w:p>
          <w:p w:rsidRPr="000B4D4D" w:rsidR="004814C6" w:rsidP="1A5CB1CB" w:rsidRDefault="004814C6" w14:paraId="41FFD332" w14:textId="77777777">
            <w:pPr>
              <w:spacing w:line="276" w:lineRule="auto"/>
              <w:rPr>
                <w:szCs w:val="18"/>
              </w:rPr>
            </w:pPr>
            <w:r w:rsidRPr="000B4D4D">
              <w:rPr>
                <w:szCs w:val="18"/>
              </w:rPr>
              <w:t>2023.3.3</w:t>
            </w:r>
          </w:p>
          <w:p w:rsidRPr="000B4D4D" w:rsidR="004814C6" w:rsidP="1A5CB1CB" w:rsidRDefault="004814C6" w14:paraId="0E56030D" w14:textId="77777777">
            <w:pPr>
              <w:spacing w:line="276" w:lineRule="auto"/>
              <w:rPr>
                <w:szCs w:val="18"/>
              </w:rPr>
            </w:pPr>
            <w:r w:rsidRPr="000B4D4D">
              <w:rPr>
                <w:szCs w:val="18"/>
              </w:rPr>
              <w:t>2023.3.2</w:t>
            </w:r>
          </w:p>
          <w:p w:rsidRPr="000B4D4D" w:rsidR="004814C6" w:rsidP="1A5CB1CB" w:rsidRDefault="004814C6" w14:paraId="14BFD40E" w14:textId="77777777">
            <w:pPr>
              <w:spacing w:line="276" w:lineRule="auto"/>
              <w:rPr>
                <w:szCs w:val="18"/>
              </w:rPr>
            </w:pPr>
            <w:r w:rsidRPr="000B4D4D">
              <w:rPr>
                <w:szCs w:val="18"/>
              </w:rPr>
              <w:t>2022.3.5</w:t>
            </w:r>
          </w:p>
          <w:p w:rsidRPr="000B4D4D" w:rsidR="004814C6" w:rsidP="1A5CB1CB" w:rsidRDefault="004814C6" w14:paraId="1E36D7C2" w14:textId="77777777">
            <w:pPr>
              <w:spacing w:line="276" w:lineRule="auto"/>
              <w:rPr>
                <w:szCs w:val="18"/>
              </w:rPr>
            </w:pPr>
            <w:r w:rsidRPr="000B4D4D">
              <w:rPr>
                <w:szCs w:val="18"/>
              </w:rPr>
              <w:t>2022.3.4</w:t>
            </w:r>
          </w:p>
          <w:p w:rsidRPr="000B4D4D" w:rsidR="004814C6" w:rsidRDefault="004814C6" w14:paraId="38FFE992" w14:textId="77777777">
            <w:pPr>
              <w:autoSpaceDE w:val="0"/>
              <w:autoSpaceDN w:val="0"/>
              <w:adjustRightInd w:val="0"/>
              <w:rPr>
                <w:szCs w:val="18"/>
                <w:lang w:eastAsia="nl-NL"/>
              </w:rPr>
            </w:pPr>
            <w:r w:rsidRPr="000B4D4D">
              <w:rPr>
                <w:szCs w:val="18"/>
              </w:rPr>
              <w:t>2019.2.3</w:t>
            </w:r>
          </w:p>
        </w:tc>
        <w:tc>
          <w:tcPr>
            <w:tcW w:w="1331" w:type="pct"/>
          </w:tcPr>
          <w:p w:rsidRPr="000B4D4D" w:rsidR="004814C6" w:rsidP="1A5CB1CB" w:rsidRDefault="004814C6" w14:paraId="4CB05371"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237DE1E1" w14:textId="77777777">
            <w:pPr>
              <w:spacing w:line="276" w:lineRule="auto"/>
              <w:rPr>
                <w:szCs w:val="18"/>
              </w:rPr>
            </w:pPr>
            <w:r w:rsidRPr="000B4D4D">
              <w:rPr>
                <w:szCs w:val="18"/>
              </w:rPr>
              <w:t>On-track</w:t>
            </w:r>
          </w:p>
        </w:tc>
      </w:tr>
      <w:tr w:rsidRPr="000B4D4D" w:rsidR="00A448E9" w:rsidTr="00A448E9" w14:paraId="3DBC5A0C" w14:textId="77777777">
        <w:trPr>
          <w:trHeight w:val="300"/>
        </w:trPr>
        <w:tc>
          <w:tcPr>
            <w:tcW w:w="310" w:type="pct"/>
          </w:tcPr>
          <w:p w:rsidRPr="000B4D4D" w:rsidR="004814C6" w:rsidP="1A5CB1CB" w:rsidRDefault="004814C6" w14:paraId="0F7DE157" w14:textId="77777777">
            <w:pPr>
              <w:spacing w:after="240"/>
              <w:rPr>
                <w:szCs w:val="18"/>
              </w:rPr>
            </w:pPr>
            <w:r w:rsidRPr="000B4D4D">
              <w:rPr>
                <w:szCs w:val="18"/>
              </w:rPr>
              <w:t>40</w:t>
            </w:r>
          </w:p>
        </w:tc>
        <w:tc>
          <w:tcPr>
            <w:tcW w:w="1408" w:type="pct"/>
          </w:tcPr>
          <w:p w:rsidRPr="000B4D4D" w:rsidR="004814C6" w:rsidP="1A5CB1CB" w:rsidRDefault="004814C6" w14:paraId="6B3A7522" w14:textId="77777777">
            <w:pPr>
              <w:spacing w:after="240"/>
              <w:rPr>
                <w:szCs w:val="18"/>
              </w:rPr>
            </w:pPr>
            <w:r w:rsidRPr="000B4D4D">
              <w:rPr>
                <w:szCs w:val="18"/>
              </w:rPr>
              <w:t>Hervorming: Regionale Mobiliteitsteams/ Regionale Werkcentra</w:t>
            </w:r>
          </w:p>
        </w:tc>
        <w:tc>
          <w:tcPr>
            <w:tcW w:w="626" w:type="pct"/>
          </w:tcPr>
          <w:p w:rsidRPr="000B4D4D" w:rsidR="004814C6" w:rsidP="002D5F54" w:rsidRDefault="004814C6" w14:paraId="3CAC91D6" w14:textId="77777777">
            <w:pPr>
              <w:spacing w:line="276" w:lineRule="auto"/>
              <w:rPr>
                <w:szCs w:val="18"/>
              </w:rPr>
            </w:pPr>
          </w:p>
        </w:tc>
        <w:tc>
          <w:tcPr>
            <w:tcW w:w="625" w:type="pct"/>
          </w:tcPr>
          <w:p w:rsidRPr="000B4D4D" w:rsidR="004814C6" w:rsidP="1A5CB1CB" w:rsidRDefault="004814C6" w14:paraId="43639B94" w14:textId="77777777">
            <w:pPr>
              <w:spacing w:line="276" w:lineRule="auto"/>
              <w:rPr>
                <w:szCs w:val="18"/>
              </w:rPr>
            </w:pPr>
            <w:r w:rsidRPr="000B4D4D">
              <w:rPr>
                <w:szCs w:val="18"/>
              </w:rPr>
              <w:t>2024.3.2</w:t>
            </w:r>
          </w:p>
          <w:p w:rsidRPr="000B4D4D" w:rsidR="004814C6" w:rsidP="1A5CB1CB" w:rsidRDefault="004814C6" w14:paraId="5F5458A0" w14:textId="77777777">
            <w:pPr>
              <w:spacing w:line="276" w:lineRule="auto"/>
              <w:rPr>
                <w:szCs w:val="18"/>
              </w:rPr>
            </w:pPr>
            <w:r w:rsidRPr="000B4D4D">
              <w:rPr>
                <w:szCs w:val="18"/>
              </w:rPr>
              <w:t>2023.3.3</w:t>
            </w:r>
          </w:p>
          <w:p w:rsidRPr="000B4D4D" w:rsidR="004814C6" w:rsidP="1A5CB1CB" w:rsidRDefault="004814C6" w14:paraId="41D8E67D" w14:textId="77777777">
            <w:pPr>
              <w:spacing w:line="276" w:lineRule="auto"/>
              <w:rPr>
                <w:szCs w:val="18"/>
              </w:rPr>
            </w:pPr>
            <w:r w:rsidRPr="000B4D4D">
              <w:rPr>
                <w:szCs w:val="18"/>
              </w:rPr>
              <w:t>2023.3.2</w:t>
            </w:r>
          </w:p>
          <w:p w:rsidRPr="000B4D4D" w:rsidR="004814C6" w:rsidP="1A5CB1CB" w:rsidRDefault="004814C6" w14:paraId="390F269F" w14:textId="77777777">
            <w:pPr>
              <w:spacing w:line="276" w:lineRule="auto"/>
              <w:rPr>
                <w:szCs w:val="18"/>
              </w:rPr>
            </w:pPr>
            <w:r w:rsidRPr="000B4D4D">
              <w:rPr>
                <w:szCs w:val="18"/>
              </w:rPr>
              <w:t>2022.3.5</w:t>
            </w:r>
          </w:p>
          <w:p w:rsidRPr="000B4D4D" w:rsidR="004814C6" w:rsidP="1A5CB1CB" w:rsidRDefault="004814C6" w14:paraId="15497A1B" w14:textId="77777777">
            <w:pPr>
              <w:spacing w:line="276" w:lineRule="auto"/>
              <w:rPr>
                <w:szCs w:val="18"/>
              </w:rPr>
            </w:pPr>
            <w:r w:rsidRPr="000B4D4D">
              <w:rPr>
                <w:szCs w:val="18"/>
              </w:rPr>
              <w:t>2022.3.4</w:t>
            </w:r>
          </w:p>
          <w:p w:rsidRPr="000B4D4D" w:rsidR="004814C6" w:rsidP="1A5CB1CB" w:rsidRDefault="004814C6" w14:paraId="3EDE1734" w14:textId="77777777">
            <w:pPr>
              <w:autoSpaceDE w:val="0"/>
              <w:autoSpaceDN w:val="0"/>
              <w:adjustRightInd w:val="0"/>
              <w:rPr>
                <w:szCs w:val="18"/>
              </w:rPr>
            </w:pPr>
            <w:r w:rsidRPr="000B4D4D">
              <w:rPr>
                <w:szCs w:val="18"/>
              </w:rPr>
              <w:t>2019.2.3</w:t>
            </w:r>
          </w:p>
        </w:tc>
        <w:tc>
          <w:tcPr>
            <w:tcW w:w="1331" w:type="pct"/>
          </w:tcPr>
          <w:p w:rsidRPr="000B4D4D" w:rsidR="004814C6" w:rsidP="1A5CB1CB" w:rsidRDefault="004814C6" w14:paraId="692D04F9"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7F24B18D" w14:textId="77777777">
            <w:pPr>
              <w:spacing w:line="276" w:lineRule="auto"/>
              <w:rPr>
                <w:szCs w:val="18"/>
              </w:rPr>
            </w:pPr>
            <w:r w:rsidRPr="000B4D4D">
              <w:rPr>
                <w:szCs w:val="18"/>
              </w:rPr>
              <w:t>On-track</w:t>
            </w:r>
          </w:p>
        </w:tc>
      </w:tr>
      <w:tr w:rsidRPr="000B4D4D" w:rsidR="00A448E9" w:rsidTr="00A448E9" w14:paraId="0151646C" w14:textId="77777777">
        <w:trPr>
          <w:trHeight w:val="300"/>
        </w:trPr>
        <w:tc>
          <w:tcPr>
            <w:tcW w:w="310" w:type="pct"/>
          </w:tcPr>
          <w:p w:rsidRPr="000B4D4D" w:rsidR="004814C6" w:rsidP="1A5CB1CB" w:rsidRDefault="004814C6" w14:paraId="7DD74085" w14:textId="77777777">
            <w:pPr>
              <w:spacing w:after="240"/>
              <w:rPr>
                <w:szCs w:val="18"/>
              </w:rPr>
            </w:pPr>
            <w:r w:rsidRPr="000B4D4D">
              <w:rPr>
                <w:szCs w:val="18"/>
              </w:rPr>
              <w:t>41</w:t>
            </w:r>
          </w:p>
        </w:tc>
        <w:tc>
          <w:tcPr>
            <w:tcW w:w="1408" w:type="pct"/>
          </w:tcPr>
          <w:p w:rsidRPr="000B4D4D" w:rsidR="004814C6" w:rsidP="1A5CB1CB" w:rsidRDefault="004814C6" w14:paraId="45D31711" w14:textId="77777777">
            <w:pPr>
              <w:spacing w:after="240"/>
              <w:rPr>
                <w:szCs w:val="18"/>
              </w:rPr>
            </w:pPr>
            <w:r w:rsidRPr="000B4D4D">
              <w:rPr>
                <w:szCs w:val="18"/>
              </w:rPr>
              <w:t>Hervorming: Wet Breed Offensief</w:t>
            </w:r>
          </w:p>
        </w:tc>
        <w:tc>
          <w:tcPr>
            <w:tcW w:w="626" w:type="pct"/>
          </w:tcPr>
          <w:p w:rsidRPr="000B4D4D" w:rsidR="004814C6" w:rsidP="002D5F54" w:rsidRDefault="004814C6" w14:paraId="4E28BE9E" w14:textId="77777777">
            <w:pPr>
              <w:spacing w:line="276" w:lineRule="auto"/>
              <w:rPr>
                <w:szCs w:val="18"/>
              </w:rPr>
            </w:pPr>
          </w:p>
        </w:tc>
        <w:tc>
          <w:tcPr>
            <w:tcW w:w="625" w:type="pct"/>
          </w:tcPr>
          <w:p w:rsidRPr="000B4D4D" w:rsidR="004814C6" w:rsidP="1A5CB1CB" w:rsidRDefault="004814C6" w14:paraId="0C258C44" w14:textId="77777777">
            <w:pPr>
              <w:spacing w:line="276" w:lineRule="auto"/>
              <w:rPr>
                <w:szCs w:val="18"/>
              </w:rPr>
            </w:pPr>
            <w:r w:rsidRPr="000B4D4D">
              <w:rPr>
                <w:szCs w:val="18"/>
              </w:rPr>
              <w:t>2024.3.2</w:t>
            </w:r>
          </w:p>
          <w:p w:rsidRPr="000B4D4D" w:rsidR="004814C6" w:rsidP="1A5CB1CB" w:rsidRDefault="004814C6" w14:paraId="1782D084" w14:textId="77777777">
            <w:pPr>
              <w:spacing w:line="276" w:lineRule="auto"/>
              <w:rPr>
                <w:szCs w:val="18"/>
              </w:rPr>
            </w:pPr>
            <w:r w:rsidRPr="000B4D4D">
              <w:rPr>
                <w:szCs w:val="18"/>
              </w:rPr>
              <w:t>2023.3.3</w:t>
            </w:r>
          </w:p>
          <w:p w:rsidRPr="000B4D4D" w:rsidR="004814C6" w:rsidP="1A5CB1CB" w:rsidRDefault="004814C6" w14:paraId="10861A31" w14:textId="77777777">
            <w:pPr>
              <w:spacing w:line="276" w:lineRule="auto"/>
              <w:rPr>
                <w:szCs w:val="18"/>
              </w:rPr>
            </w:pPr>
            <w:r w:rsidRPr="000B4D4D">
              <w:rPr>
                <w:szCs w:val="18"/>
              </w:rPr>
              <w:t>2023.3.2</w:t>
            </w:r>
          </w:p>
          <w:p w:rsidRPr="000B4D4D" w:rsidR="004814C6" w:rsidP="1A5CB1CB" w:rsidRDefault="004814C6" w14:paraId="03A79329" w14:textId="77777777">
            <w:pPr>
              <w:spacing w:line="276" w:lineRule="auto"/>
              <w:rPr>
                <w:szCs w:val="18"/>
              </w:rPr>
            </w:pPr>
            <w:r w:rsidRPr="000B4D4D">
              <w:rPr>
                <w:szCs w:val="18"/>
              </w:rPr>
              <w:t>2022.3.5</w:t>
            </w:r>
          </w:p>
          <w:p w:rsidRPr="000B4D4D" w:rsidR="004814C6" w:rsidP="1A5CB1CB" w:rsidRDefault="004814C6" w14:paraId="4EC538B3" w14:textId="77777777">
            <w:pPr>
              <w:spacing w:line="276" w:lineRule="auto"/>
              <w:rPr>
                <w:szCs w:val="18"/>
              </w:rPr>
            </w:pPr>
            <w:r w:rsidRPr="000B4D4D">
              <w:rPr>
                <w:szCs w:val="18"/>
              </w:rPr>
              <w:t>2022.3.4</w:t>
            </w:r>
          </w:p>
          <w:p w:rsidRPr="000B4D4D" w:rsidR="004814C6" w:rsidP="1A5CB1CB" w:rsidRDefault="004814C6" w14:paraId="7F1D1CB1" w14:textId="77777777">
            <w:pPr>
              <w:autoSpaceDE w:val="0"/>
              <w:autoSpaceDN w:val="0"/>
              <w:adjustRightInd w:val="0"/>
              <w:rPr>
                <w:szCs w:val="18"/>
              </w:rPr>
            </w:pPr>
            <w:r w:rsidRPr="000B4D4D">
              <w:rPr>
                <w:szCs w:val="18"/>
              </w:rPr>
              <w:t>2019.2.3</w:t>
            </w:r>
          </w:p>
        </w:tc>
        <w:tc>
          <w:tcPr>
            <w:tcW w:w="1331" w:type="pct"/>
          </w:tcPr>
          <w:p w:rsidRPr="000B4D4D" w:rsidR="004814C6" w:rsidP="1A5CB1CB" w:rsidRDefault="004814C6" w14:paraId="1AE2A132"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034ECE6A" w14:textId="77777777">
            <w:pPr>
              <w:spacing w:line="276" w:lineRule="auto"/>
              <w:rPr>
                <w:szCs w:val="18"/>
              </w:rPr>
            </w:pPr>
            <w:r w:rsidRPr="000B4D4D">
              <w:rPr>
                <w:szCs w:val="18"/>
              </w:rPr>
              <w:t>Completed</w:t>
            </w:r>
          </w:p>
        </w:tc>
      </w:tr>
      <w:tr w:rsidRPr="000B4D4D" w:rsidR="00A448E9" w:rsidTr="00A448E9" w14:paraId="572F4815" w14:textId="77777777">
        <w:trPr>
          <w:trHeight w:val="300"/>
        </w:trPr>
        <w:tc>
          <w:tcPr>
            <w:tcW w:w="310" w:type="pct"/>
          </w:tcPr>
          <w:p w:rsidRPr="000B4D4D" w:rsidR="004814C6" w:rsidP="1A5CB1CB" w:rsidRDefault="004814C6" w14:paraId="2A862149" w14:textId="77777777">
            <w:pPr>
              <w:spacing w:after="240"/>
              <w:rPr>
                <w:szCs w:val="18"/>
              </w:rPr>
            </w:pPr>
            <w:r w:rsidRPr="000B4D4D">
              <w:rPr>
                <w:szCs w:val="18"/>
              </w:rPr>
              <w:t>42</w:t>
            </w:r>
          </w:p>
        </w:tc>
        <w:tc>
          <w:tcPr>
            <w:tcW w:w="1408" w:type="pct"/>
          </w:tcPr>
          <w:p w:rsidRPr="000B4D4D" w:rsidR="004814C6" w:rsidP="1A5CB1CB" w:rsidRDefault="004814C6" w14:paraId="76B7B1C5" w14:textId="77777777">
            <w:pPr>
              <w:spacing w:after="240"/>
              <w:rPr>
                <w:szCs w:val="18"/>
              </w:rPr>
            </w:pPr>
            <w:r w:rsidRPr="000B4D4D">
              <w:rPr>
                <w:szCs w:val="18"/>
              </w:rPr>
              <w:t>Investering: Ontwikkelpaden</w:t>
            </w:r>
          </w:p>
        </w:tc>
        <w:tc>
          <w:tcPr>
            <w:tcW w:w="626" w:type="pct"/>
          </w:tcPr>
          <w:p w:rsidRPr="000B4D4D" w:rsidR="004814C6" w:rsidP="002D5F54" w:rsidRDefault="004814C6" w14:paraId="002BD1D6" w14:textId="77777777">
            <w:pPr>
              <w:spacing w:line="276" w:lineRule="auto"/>
              <w:rPr>
                <w:szCs w:val="18"/>
                <w:lang w:eastAsia="nl-NL"/>
              </w:rPr>
            </w:pPr>
          </w:p>
        </w:tc>
        <w:tc>
          <w:tcPr>
            <w:tcW w:w="625" w:type="pct"/>
          </w:tcPr>
          <w:p w:rsidRPr="000B4D4D" w:rsidR="004814C6" w:rsidP="1A5CB1CB" w:rsidRDefault="004814C6" w14:paraId="2C1DB2F8" w14:textId="77777777">
            <w:pPr>
              <w:spacing w:line="276" w:lineRule="auto"/>
              <w:rPr>
                <w:szCs w:val="18"/>
              </w:rPr>
            </w:pPr>
            <w:r w:rsidRPr="000B4D4D">
              <w:rPr>
                <w:szCs w:val="18"/>
              </w:rPr>
              <w:t>2024.3.2</w:t>
            </w:r>
          </w:p>
          <w:p w:rsidRPr="000B4D4D" w:rsidR="004814C6" w:rsidP="1A5CB1CB" w:rsidRDefault="004814C6" w14:paraId="0A679EBA" w14:textId="77777777">
            <w:pPr>
              <w:spacing w:line="276" w:lineRule="auto"/>
              <w:rPr>
                <w:szCs w:val="18"/>
              </w:rPr>
            </w:pPr>
            <w:r w:rsidRPr="000B4D4D">
              <w:rPr>
                <w:szCs w:val="18"/>
              </w:rPr>
              <w:t>2023.3.3</w:t>
            </w:r>
          </w:p>
          <w:p w:rsidRPr="000B4D4D" w:rsidR="004814C6" w:rsidP="1A5CB1CB" w:rsidRDefault="004814C6" w14:paraId="44410423" w14:textId="77777777">
            <w:pPr>
              <w:spacing w:line="276" w:lineRule="auto"/>
              <w:rPr>
                <w:szCs w:val="18"/>
              </w:rPr>
            </w:pPr>
            <w:r w:rsidRPr="000B4D4D">
              <w:rPr>
                <w:szCs w:val="18"/>
              </w:rPr>
              <w:t>2023.3.2</w:t>
            </w:r>
          </w:p>
          <w:p w:rsidRPr="000B4D4D" w:rsidR="004814C6" w:rsidP="1A5CB1CB" w:rsidRDefault="004814C6" w14:paraId="0D487FE5" w14:textId="77777777">
            <w:pPr>
              <w:spacing w:line="276" w:lineRule="auto"/>
              <w:rPr>
                <w:szCs w:val="18"/>
              </w:rPr>
            </w:pPr>
            <w:r w:rsidRPr="000B4D4D">
              <w:rPr>
                <w:szCs w:val="18"/>
              </w:rPr>
              <w:t>2022.3.5</w:t>
            </w:r>
          </w:p>
          <w:p w:rsidRPr="000B4D4D" w:rsidR="004814C6" w:rsidP="1A5CB1CB" w:rsidRDefault="004814C6" w14:paraId="315F2B1D" w14:textId="77777777">
            <w:pPr>
              <w:spacing w:line="276" w:lineRule="auto"/>
              <w:rPr>
                <w:szCs w:val="18"/>
              </w:rPr>
            </w:pPr>
            <w:r w:rsidRPr="000B4D4D">
              <w:rPr>
                <w:szCs w:val="18"/>
              </w:rPr>
              <w:t>2022.3.4</w:t>
            </w:r>
          </w:p>
          <w:p w:rsidRPr="000B4D4D" w:rsidR="004814C6" w:rsidP="1A5CB1CB" w:rsidRDefault="004814C6" w14:paraId="2B05D6D8" w14:textId="77777777">
            <w:pPr>
              <w:spacing w:line="276" w:lineRule="auto"/>
              <w:rPr>
                <w:szCs w:val="18"/>
              </w:rPr>
            </w:pPr>
            <w:r w:rsidRPr="000B4D4D">
              <w:rPr>
                <w:szCs w:val="18"/>
              </w:rPr>
              <w:t>2020.3.3</w:t>
            </w:r>
          </w:p>
          <w:p w:rsidRPr="000B4D4D" w:rsidR="004814C6" w:rsidRDefault="004814C6" w14:paraId="1A0FF81C" w14:textId="77777777">
            <w:pPr>
              <w:autoSpaceDE w:val="0"/>
              <w:autoSpaceDN w:val="0"/>
              <w:adjustRightInd w:val="0"/>
              <w:rPr>
                <w:szCs w:val="18"/>
                <w:lang w:eastAsia="nl-NL"/>
              </w:rPr>
            </w:pPr>
            <w:r w:rsidRPr="000B4D4D">
              <w:rPr>
                <w:szCs w:val="18"/>
              </w:rPr>
              <w:t>2019.2.3</w:t>
            </w:r>
          </w:p>
        </w:tc>
        <w:tc>
          <w:tcPr>
            <w:tcW w:w="1331" w:type="pct"/>
          </w:tcPr>
          <w:p w:rsidRPr="000B4D4D" w:rsidR="004814C6" w:rsidP="00800A85" w:rsidRDefault="004814C6" w14:paraId="71AE0344"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3BC03147" w14:textId="77777777">
            <w:pPr>
              <w:spacing w:line="276" w:lineRule="auto"/>
              <w:rPr>
                <w:szCs w:val="18"/>
              </w:rPr>
            </w:pPr>
            <w:r w:rsidRPr="000B4D4D">
              <w:rPr>
                <w:szCs w:val="18"/>
              </w:rPr>
              <w:t>On-track</w:t>
            </w:r>
          </w:p>
        </w:tc>
      </w:tr>
      <w:tr w:rsidRPr="000B4D4D" w:rsidR="00A448E9" w:rsidTr="00A448E9" w14:paraId="56093FF6" w14:textId="77777777">
        <w:trPr>
          <w:trHeight w:val="300"/>
        </w:trPr>
        <w:tc>
          <w:tcPr>
            <w:tcW w:w="310" w:type="pct"/>
          </w:tcPr>
          <w:p w:rsidRPr="000B4D4D" w:rsidR="004814C6" w:rsidP="1A5CB1CB" w:rsidRDefault="004814C6" w14:paraId="4BED3EEC" w14:textId="77777777">
            <w:pPr>
              <w:spacing w:after="240"/>
              <w:rPr>
                <w:szCs w:val="18"/>
              </w:rPr>
            </w:pPr>
            <w:r w:rsidRPr="000B4D4D">
              <w:rPr>
                <w:szCs w:val="18"/>
              </w:rPr>
              <w:t>43</w:t>
            </w:r>
          </w:p>
        </w:tc>
        <w:tc>
          <w:tcPr>
            <w:tcW w:w="1408" w:type="pct"/>
          </w:tcPr>
          <w:p w:rsidRPr="000B4D4D" w:rsidR="004814C6" w:rsidP="1A5CB1CB" w:rsidRDefault="004814C6" w14:paraId="6793AFC9" w14:textId="77777777">
            <w:pPr>
              <w:spacing w:after="240"/>
              <w:rPr>
                <w:szCs w:val="18"/>
              </w:rPr>
            </w:pPr>
            <w:r w:rsidRPr="000B4D4D">
              <w:rPr>
                <w:szCs w:val="18"/>
              </w:rPr>
              <w:t>Investering: SLIM-regeling</w:t>
            </w:r>
          </w:p>
        </w:tc>
        <w:tc>
          <w:tcPr>
            <w:tcW w:w="626" w:type="pct"/>
          </w:tcPr>
          <w:p w:rsidRPr="000B4D4D" w:rsidR="004814C6" w:rsidP="002D5F54" w:rsidRDefault="004814C6" w14:paraId="27CB99DF" w14:textId="77777777">
            <w:pPr>
              <w:spacing w:line="276" w:lineRule="auto"/>
              <w:rPr>
                <w:szCs w:val="18"/>
                <w:lang w:eastAsia="nl-NL"/>
              </w:rPr>
            </w:pPr>
          </w:p>
        </w:tc>
        <w:tc>
          <w:tcPr>
            <w:tcW w:w="625" w:type="pct"/>
          </w:tcPr>
          <w:p w:rsidRPr="000B4D4D" w:rsidR="004814C6" w:rsidP="1A5CB1CB" w:rsidRDefault="004814C6" w14:paraId="48DAD069" w14:textId="77777777">
            <w:pPr>
              <w:spacing w:line="276" w:lineRule="auto"/>
              <w:rPr>
                <w:szCs w:val="18"/>
              </w:rPr>
            </w:pPr>
            <w:r w:rsidRPr="000B4D4D">
              <w:rPr>
                <w:szCs w:val="18"/>
              </w:rPr>
              <w:t>2024.3.2</w:t>
            </w:r>
          </w:p>
          <w:p w:rsidRPr="000B4D4D" w:rsidR="004814C6" w:rsidP="1A5CB1CB" w:rsidRDefault="004814C6" w14:paraId="0D7A222A" w14:textId="77777777">
            <w:pPr>
              <w:spacing w:line="276" w:lineRule="auto"/>
              <w:rPr>
                <w:szCs w:val="18"/>
              </w:rPr>
            </w:pPr>
            <w:r w:rsidRPr="000B4D4D">
              <w:rPr>
                <w:szCs w:val="18"/>
              </w:rPr>
              <w:t>2023.3.3</w:t>
            </w:r>
          </w:p>
          <w:p w:rsidRPr="000B4D4D" w:rsidR="004814C6" w:rsidP="1A5CB1CB" w:rsidRDefault="004814C6" w14:paraId="217D6CD1" w14:textId="77777777">
            <w:pPr>
              <w:spacing w:line="276" w:lineRule="auto"/>
              <w:rPr>
                <w:szCs w:val="18"/>
              </w:rPr>
            </w:pPr>
            <w:r w:rsidRPr="000B4D4D">
              <w:rPr>
                <w:szCs w:val="18"/>
              </w:rPr>
              <w:t>2023.3.2</w:t>
            </w:r>
          </w:p>
          <w:p w:rsidRPr="000B4D4D" w:rsidR="004814C6" w:rsidP="1A5CB1CB" w:rsidRDefault="004814C6" w14:paraId="63C4534F" w14:textId="77777777">
            <w:pPr>
              <w:spacing w:line="276" w:lineRule="auto"/>
              <w:rPr>
                <w:szCs w:val="18"/>
              </w:rPr>
            </w:pPr>
            <w:r w:rsidRPr="000B4D4D">
              <w:rPr>
                <w:szCs w:val="18"/>
              </w:rPr>
              <w:t>2022.3.5</w:t>
            </w:r>
          </w:p>
          <w:p w:rsidRPr="000B4D4D" w:rsidR="004814C6" w:rsidP="1A5CB1CB" w:rsidRDefault="004814C6" w14:paraId="7DBCDF2D" w14:textId="77777777">
            <w:pPr>
              <w:spacing w:line="276" w:lineRule="auto"/>
              <w:rPr>
                <w:szCs w:val="18"/>
              </w:rPr>
            </w:pPr>
            <w:r w:rsidRPr="000B4D4D">
              <w:rPr>
                <w:szCs w:val="18"/>
              </w:rPr>
              <w:t>2022.3.4</w:t>
            </w:r>
          </w:p>
          <w:p w:rsidRPr="000B4D4D" w:rsidR="004814C6" w:rsidP="1A5CB1CB" w:rsidRDefault="004814C6" w14:paraId="51CACD9D" w14:textId="77777777">
            <w:pPr>
              <w:spacing w:line="276" w:lineRule="auto"/>
              <w:rPr>
                <w:szCs w:val="18"/>
              </w:rPr>
            </w:pPr>
            <w:r w:rsidRPr="000B4D4D">
              <w:rPr>
                <w:szCs w:val="18"/>
              </w:rPr>
              <w:lastRenderedPageBreak/>
              <w:t>2020.3.3</w:t>
            </w:r>
          </w:p>
          <w:p w:rsidRPr="000B4D4D" w:rsidR="004814C6" w:rsidRDefault="004814C6" w14:paraId="6C3EDB12" w14:textId="77777777">
            <w:pPr>
              <w:autoSpaceDE w:val="0"/>
              <w:autoSpaceDN w:val="0"/>
              <w:adjustRightInd w:val="0"/>
              <w:rPr>
                <w:szCs w:val="18"/>
                <w:lang w:eastAsia="nl-NL"/>
              </w:rPr>
            </w:pPr>
            <w:r w:rsidRPr="000B4D4D">
              <w:rPr>
                <w:szCs w:val="18"/>
              </w:rPr>
              <w:t>2019.2.3</w:t>
            </w:r>
          </w:p>
        </w:tc>
        <w:tc>
          <w:tcPr>
            <w:tcW w:w="1331" w:type="pct"/>
          </w:tcPr>
          <w:p w:rsidRPr="000B4D4D" w:rsidR="004814C6" w:rsidP="00800A85" w:rsidRDefault="004814C6" w14:paraId="426735FA" w14:textId="77777777">
            <w:pPr>
              <w:spacing w:line="276" w:lineRule="auto"/>
              <w:rPr>
                <w:szCs w:val="18"/>
                <w:lang w:eastAsia="nl-NL"/>
              </w:rPr>
            </w:pPr>
            <w:r w:rsidRPr="000B4D4D">
              <w:rPr>
                <w:szCs w:val="18"/>
              </w:rPr>
              <w:lastRenderedPageBreak/>
              <w:t>Sociale en economische veerkracht, inclusief de Europese Pijler van Sociale Rechten</w:t>
            </w:r>
          </w:p>
        </w:tc>
        <w:tc>
          <w:tcPr>
            <w:tcW w:w="700" w:type="pct"/>
          </w:tcPr>
          <w:p w:rsidRPr="000B4D4D" w:rsidR="004814C6" w:rsidP="1A5CB1CB" w:rsidRDefault="004814C6" w14:paraId="0C8E9C27" w14:textId="77777777">
            <w:pPr>
              <w:spacing w:line="276" w:lineRule="auto"/>
              <w:rPr>
                <w:szCs w:val="18"/>
              </w:rPr>
            </w:pPr>
            <w:r w:rsidRPr="000B4D4D">
              <w:rPr>
                <w:szCs w:val="18"/>
              </w:rPr>
              <w:t>On-track</w:t>
            </w:r>
          </w:p>
        </w:tc>
      </w:tr>
      <w:tr w:rsidRPr="000B4D4D" w:rsidR="00A448E9" w:rsidTr="00A448E9" w14:paraId="471BF9C3" w14:textId="77777777">
        <w:trPr>
          <w:trHeight w:val="300"/>
        </w:trPr>
        <w:tc>
          <w:tcPr>
            <w:tcW w:w="310" w:type="pct"/>
          </w:tcPr>
          <w:p w:rsidRPr="000B4D4D" w:rsidR="004814C6" w:rsidP="1A5CB1CB" w:rsidRDefault="004814C6" w14:paraId="3BE79842" w14:textId="77777777">
            <w:pPr>
              <w:spacing w:after="240"/>
              <w:rPr>
                <w:szCs w:val="18"/>
              </w:rPr>
            </w:pPr>
            <w:r w:rsidRPr="000B4D4D">
              <w:rPr>
                <w:szCs w:val="18"/>
              </w:rPr>
              <w:t>44</w:t>
            </w:r>
          </w:p>
        </w:tc>
        <w:tc>
          <w:tcPr>
            <w:tcW w:w="1408" w:type="pct"/>
          </w:tcPr>
          <w:p w:rsidRPr="000B4D4D" w:rsidR="004814C6" w:rsidP="1A5CB1CB" w:rsidRDefault="004814C6" w14:paraId="3EC8F84A" w14:textId="77777777">
            <w:pPr>
              <w:spacing w:after="240"/>
              <w:rPr>
                <w:szCs w:val="18"/>
              </w:rPr>
            </w:pPr>
            <w:r w:rsidRPr="000B4D4D">
              <w:rPr>
                <w:szCs w:val="18"/>
              </w:rPr>
              <w:t>Hervorming: Meer uren werkt!</w:t>
            </w:r>
          </w:p>
        </w:tc>
        <w:tc>
          <w:tcPr>
            <w:tcW w:w="626" w:type="pct"/>
          </w:tcPr>
          <w:p w:rsidRPr="000B4D4D" w:rsidR="004814C6" w:rsidP="002D5F54" w:rsidRDefault="004814C6" w14:paraId="3EEA0055" w14:textId="77777777">
            <w:pPr>
              <w:spacing w:line="276" w:lineRule="auto"/>
              <w:rPr>
                <w:szCs w:val="18"/>
                <w:lang w:eastAsia="nl-NL"/>
              </w:rPr>
            </w:pPr>
          </w:p>
        </w:tc>
        <w:tc>
          <w:tcPr>
            <w:tcW w:w="625" w:type="pct"/>
          </w:tcPr>
          <w:p w:rsidRPr="000B4D4D" w:rsidR="004814C6" w:rsidP="1A5CB1CB" w:rsidRDefault="004814C6" w14:paraId="321B815D" w14:textId="77777777">
            <w:pPr>
              <w:spacing w:line="276" w:lineRule="auto"/>
              <w:rPr>
                <w:szCs w:val="18"/>
              </w:rPr>
            </w:pPr>
            <w:r w:rsidRPr="000B4D4D">
              <w:rPr>
                <w:szCs w:val="18"/>
              </w:rPr>
              <w:t>2024.3.2</w:t>
            </w:r>
          </w:p>
          <w:p w:rsidRPr="000B4D4D" w:rsidR="004814C6" w:rsidP="1A5CB1CB" w:rsidRDefault="004814C6" w14:paraId="643EA75F" w14:textId="77777777">
            <w:pPr>
              <w:spacing w:line="276" w:lineRule="auto"/>
              <w:rPr>
                <w:szCs w:val="18"/>
              </w:rPr>
            </w:pPr>
            <w:r w:rsidRPr="000B4D4D">
              <w:rPr>
                <w:szCs w:val="18"/>
              </w:rPr>
              <w:t>2023.3.3</w:t>
            </w:r>
          </w:p>
          <w:p w:rsidRPr="000B4D4D" w:rsidR="004814C6" w:rsidP="1A5CB1CB" w:rsidRDefault="004814C6" w14:paraId="52A7D881" w14:textId="77777777">
            <w:pPr>
              <w:spacing w:line="276" w:lineRule="auto"/>
              <w:rPr>
                <w:szCs w:val="18"/>
              </w:rPr>
            </w:pPr>
            <w:r w:rsidRPr="000B4D4D">
              <w:rPr>
                <w:szCs w:val="18"/>
              </w:rPr>
              <w:t>2023.3.2</w:t>
            </w:r>
          </w:p>
          <w:p w:rsidRPr="000B4D4D" w:rsidR="004814C6" w:rsidP="1A5CB1CB" w:rsidRDefault="004814C6" w14:paraId="0C29A369" w14:textId="77777777">
            <w:pPr>
              <w:spacing w:line="276" w:lineRule="auto"/>
              <w:rPr>
                <w:szCs w:val="18"/>
              </w:rPr>
            </w:pPr>
            <w:r w:rsidRPr="000B4D4D">
              <w:rPr>
                <w:szCs w:val="18"/>
              </w:rPr>
              <w:t>2022.3.5</w:t>
            </w:r>
          </w:p>
          <w:p w:rsidRPr="000B4D4D" w:rsidR="004814C6" w:rsidP="1A5CB1CB" w:rsidRDefault="004814C6" w14:paraId="346E9EC1" w14:textId="77777777">
            <w:pPr>
              <w:spacing w:line="276" w:lineRule="auto"/>
              <w:rPr>
                <w:szCs w:val="18"/>
              </w:rPr>
            </w:pPr>
            <w:r w:rsidRPr="000B4D4D">
              <w:rPr>
                <w:szCs w:val="18"/>
              </w:rPr>
              <w:t>2022.3.4</w:t>
            </w:r>
          </w:p>
          <w:p w:rsidRPr="000B4D4D" w:rsidR="004814C6" w:rsidRDefault="004814C6" w14:paraId="12CD2104" w14:textId="77777777">
            <w:pPr>
              <w:autoSpaceDE w:val="0"/>
              <w:autoSpaceDN w:val="0"/>
              <w:adjustRightInd w:val="0"/>
              <w:rPr>
                <w:szCs w:val="18"/>
                <w:lang w:eastAsia="nl-NL"/>
              </w:rPr>
            </w:pPr>
            <w:r w:rsidRPr="000B4D4D">
              <w:rPr>
                <w:szCs w:val="18"/>
              </w:rPr>
              <w:t>2019.2.3</w:t>
            </w:r>
          </w:p>
        </w:tc>
        <w:tc>
          <w:tcPr>
            <w:tcW w:w="1331" w:type="pct"/>
          </w:tcPr>
          <w:p w:rsidRPr="000B4D4D" w:rsidR="004814C6" w:rsidP="00800A85" w:rsidRDefault="004814C6" w14:paraId="62785431"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3D42CF6A" w14:textId="77777777">
            <w:pPr>
              <w:spacing w:line="276" w:lineRule="auto"/>
              <w:rPr>
                <w:szCs w:val="18"/>
              </w:rPr>
            </w:pPr>
            <w:r w:rsidRPr="000B4D4D">
              <w:rPr>
                <w:szCs w:val="18"/>
              </w:rPr>
              <w:t>On-track</w:t>
            </w:r>
          </w:p>
        </w:tc>
      </w:tr>
      <w:tr w:rsidRPr="000B4D4D" w:rsidR="004814C6" w:rsidTr="00A448E9" w14:paraId="4980FC86" w14:textId="77777777">
        <w:trPr>
          <w:trHeight w:val="300"/>
        </w:trPr>
        <w:tc>
          <w:tcPr>
            <w:tcW w:w="4300" w:type="pct"/>
            <w:gridSpan w:val="5"/>
          </w:tcPr>
          <w:p w:rsidRPr="000B4D4D" w:rsidR="004814C6" w:rsidP="00800A85" w:rsidRDefault="004814C6" w14:paraId="17498908" w14:textId="77777777">
            <w:pPr>
              <w:spacing w:line="276" w:lineRule="auto"/>
              <w:rPr>
                <w:b/>
                <w:bCs/>
                <w:szCs w:val="18"/>
                <w:lang w:eastAsia="nl-NL"/>
              </w:rPr>
            </w:pPr>
            <w:r w:rsidRPr="000B4D4D">
              <w:rPr>
                <w:b/>
                <w:bCs/>
                <w:szCs w:val="18"/>
                <w:lang w:eastAsia="nl-NL"/>
              </w:rPr>
              <w:t>Onderwijs</w:t>
            </w:r>
          </w:p>
        </w:tc>
        <w:tc>
          <w:tcPr>
            <w:tcW w:w="700" w:type="pct"/>
          </w:tcPr>
          <w:p w:rsidRPr="000B4D4D" w:rsidR="004814C6" w:rsidP="002D5F54" w:rsidRDefault="004814C6" w14:paraId="7B1AAD8D" w14:textId="77777777">
            <w:pPr>
              <w:spacing w:line="276" w:lineRule="auto"/>
              <w:rPr>
                <w:b/>
                <w:szCs w:val="18"/>
                <w:lang w:eastAsia="nl-NL"/>
              </w:rPr>
            </w:pPr>
          </w:p>
        </w:tc>
      </w:tr>
      <w:tr w:rsidRPr="000B4D4D" w:rsidR="00A448E9" w:rsidTr="00A448E9" w14:paraId="46165C43" w14:textId="77777777">
        <w:trPr>
          <w:trHeight w:val="300"/>
        </w:trPr>
        <w:tc>
          <w:tcPr>
            <w:tcW w:w="310" w:type="pct"/>
          </w:tcPr>
          <w:p w:rsidRPr="000B4D4D" w:rsidR="004814C6" w:rsidP="1A5CB1CB" w:rsidRDefault="004814C6" w14:paraId="746475B8" w14:textId="77777777">
            <w:pPr>
              <w:rPr>
                <w:szCs w:val="18"/>
              </w:rPr>
            </w:pPr>
            <w:r w:rsidRPr="000B4D4D">
              <w:rPr>
                <w:szCs w:val="18"/>
              </w:rPr>
              <w:t>45</w:t>
            </w:r>
          </w:p>
        </w:tc>
        <w:tc>
          <w:tcPr>
            <w:tcW w:w="1408" w:type="pct"/>
          </w:tcPr>
          <w:p w:rsidRPr="000B4D4D" w:rsidR="004814C6" w:rsidP="00800A85" w:rsidRDefault="004814C6" w14:paraId="4D051A44"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Hervorming: Nieuwe kerndoelen basisvaardigheden primair onderwijs en onderbouw voortgezet </w:t>
            </w:r>
            <w:r w:rsidRPr="00CD05BC">
              <w:rPr>
                <w:rStyle w:val="eop"/>
                <w:rFonts w:cs="Segoe UI"/>
                <w:sz w:val="18"/>
                <w:szCs w:val="18"/>
              </w:rPr>
              <w:t> </w:t>
            </w:r>
          </w:p>
          <w:p w:rsidRPr="000B4D4D" w:rsidR="004814C6" w:rsidRDefault="004814C6" w14:paraId="57CD7772" w14:textId="77777777">
            <w:pPr>
              <w:rPr>
                <w:szCs w:val="18"/>
                <w:lang w:eastAsia="nl-NL"/>
              </w:rPr>
            </w:pPr>
            <w:r w:rsidRPr="000B4D4D">
              <w:rPr>
                <w:rStyle w:val="normaltextrun"/>
                <w:rFonts w:cs="Segoe UI"/>
                <w:szCs w:val="18"/>
              </w:rPr>
              <w:t>onderwijs</w:t>
            </w:r>
            <w:r w:rsidRPr="000B4D4D">
              <w:rPr>
                <w:rStyle w:val="eop"/>
                <w:rFonts w:cs="Segoe UI"/>
                <w:szCs w:val="18"/>
              </w:rPr>
              <w:t> </w:t>
            </w:r>
          </w:p>
        </w:tc>
        <w:tc>
          <w:tcPr>
            <w:tcW w:w="626" w:type="pct"/>
          </w:tcPr>
          <w:p w:rsidRPr="000B4D4D" w:rsidR="004814C6" w:rsidP="00800A85" w:rsidRDefault="004814C6" w14:paraId="006C3AF7"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531ED472"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60C8F487"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1859BF8E" w14:textId="77777777">
            <w:pPr>
              <w:spacing w:line="276" w:lineRule="auto"/>
              <w:rPr>
                <w:szCs w:val="18"/>
              </w:rPr>
            </w:pPr>
            <w:r w:rsidRPr="000B4D4D">
              <w:rPr>
                <w:szCs w:val="18"/>
              </w:rPr>
              <w:t>On-track</w:t>
            </w:r>
          </w:p>
        </w:tc>
      </w:tr>
      <w:tr w:rsidRPr="000B4D4D" w:rsidR="00A448E9" w:rsidTr="00A448E9" w14:paraId="78F89713" w14:textId="77777777">
        <w:trPr>
          <w:trHeight w:val="300"/>
        </w:trPr>
        <w:tc>
          <w:tcPr>
            <w:tcW w:w="310" w:type="pct"/>
          </w:tcPr>
          <w:p w:rsidRPr="000B4D4D" w:rsidR="004814C6" w:rsidP="1A5CB1CB" w:rsidRDefault="004814C6" w14:paraId="62DE6096" w14:textId="77777777">
            <w:pPr>
              <w:rPr>
                <w:szCs w:val="18"/>
              </w:rPr>
            </w:pPr>
            <w:r w:rsidRPr="000B4D4D">
              <w:rPr>
                <w:szCs w:val="18"/>
              </w:rPr>
              <w:t>46</w:t>
            </w:r>
          </w:p>
        </w:tc>
        <w:tc>
          <w:tcPr>
            <w:tcW w:w="1408" w:type="pct"/>
          </w:tcPr>
          <w:p w:rsidRPr="000B4D4D" w:rsidR="004814C6" w:rsidP="00800A85" w:rsidRDefault="004814C6" w14:paraId="082C4A10"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Hervorming: Nieuwe examenprogramma’s bovenbouw voortgezet onderwijs</w:t>
            </w:r>
            <w:r w:rsidRPr="00CD05BC">
              <w:rPr>
                <w:rStyle w:val="eop"/>
                <w:rFonts w:cs="Segoe UI"/>
                <w:sz w:val="18"/>
                <w:szCs w:val="18"/>
              </w:rPr>
              <w:t> </w:t>
            </w:r>
          </w:p>
          <w:p w:rsidRPr="000B4D4D" w:rsidR="004814C6" w:rsidP="00800A85" w:rsidRDefault="004814C6" w14:paraId="26220D0C"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035B58E9"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626E8410"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44CD341A"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0F549E91"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3C53E157" w14:textId="77777777">
            <w:pPr>
              <w:spacing w:line="276" w:lineRule="auto"/>
              <w:rPr>
                <w:szCs w:val="18"/>
              </w:rPr>
            </w:pPr>
            <w:r w:rsidRPr="000B4D4D">
              <w:rPr>
                <w:szCs w:val="18"/>
              </w:rPr>
              <w:t>On-track</w:t>
            </w:r>
          </w:p>
        </w:tc>
      </w:tr>
      <w:tr w:rsidRPr="000B4D4D" w:rsidR="00A448E9" w:rsidTr="00A448E9" w14:paraId="076634E7" w14:textId="77777777">
        <w:trPr>
          <w:trHeight w:val="300"/>
        </w:trPr>
        <w:tc>
          <w:tcPr>
            <w:tcW w:w="310" w:type="pct"/>
          </w:tcPr>
          <w:p w:rsidRPr="000B4D4D" w:rsidR="004814C6" w:rsidP="1A5CB1CB" w:rsidRDefault="004814C6" w14:paraId="73C8B740" w14:textId="77777777">
            <w:pPr>
              <w:rPr>
                <w:szCs w:val="18"/>
              </w:rPr>
            </w:pPr>
            <w:r w:rsidRPr="000B4D4D">
              <w:rPr>
                <w:szCs w:val="18"/>
              </w:rPr>
              <w:t>47</w:t>
            </w:r>
          </w:p>
        </w:tc>
        <w:tc>
          <w:tcPr>
            <w:tcW w:w="1408" w:type="pct"/>
          </w:tcPr>
          <w:p w:rsidRPr="000B4D4D" w:rsidR="004814C6" w:rsidP="00800A85" w:rsidRDefault="004814C6" w14:paraId="762AFC1F"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Subsidieregeling Verbetering basisvaardigheden</w:t>
            </w:r>
            <w:r w:rsidRPr="00CD05BC">
              <w:rPr>
                <w:rStyle w:val="eop"/>
                <w:rFonts w:cs="Segoe UI"/>
                <w:sz w:val="18"/>
                <w:szCs w:val="18"/>
              </w:rPr>
              <w:t> </w:t>
            </w:r>
          </w:p>
          <w:p w:rsidRPr="000B4D4D" w:rsidR="004814C6" w:rsidP="00800A85" w:rsidRDefault="004814C6" w14:paraId="6A17246D"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14DD4A7C"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087F2535"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10C31189"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26847FD9"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442981D2" w14:textId="77777777">
            <w:pPr>
              <w:spacing w:line="276" w:lineRule="auto"/>
              <w:rPr>
                <w:szCs w:val="18"/>
              </w:rPr>
            </w:pPr>
            <w:r w:rsidRPr="000B4D4D">
              <w:rPr>
                <w:szCs w:val="18"/>
              </w:rPr>
              <w:t>On-track</w:t>
            </w:r>
          </w:p>
        </w:tc>
      </w:tr>
      <w:tr w:rsidRPr="000B4D4D" w:rsidR="00A448E9" w:rsidTr="00A448E9" w14:paraId="6E6FF0DA" w14:textId="77777777">
        <w:trPr>
          <w:trHeight w:val="300"/>
        </w:trPr>
        <w:tc>
          <w:tcPr>
            <w:tcW w:w="310" w:type="pct"/>
          </w:tcPr>
          <w:p w:rsidRPr="000B4D4D" w:rsidR="004814C6" w:rsidP="1A5CB1CB" w:rsidRDefault="004814C6" w14:paraId="77082CB3" w14:textId="77777777">
            <w:pPr>
              <w:rPr>
                <w:szCs w:val="18"/>
              </w:rPr>
            </w:pPr>
            <w:r w:rsidRPr="000B4D4D">
              <w:rPr>
                <w:szCs w:val="18"/>
              </w:rPr>
              <w:t>48</w:t>
            </w:r>
          </w:p>
        </w:tc>
        <w:tc>
          <w:tcPr>
            <w:tcW w:w="1408" w:type="pct"/>
          </w:tcPr>
          <w:p w:rsidRPr="000B4D4D" w:rsidR="004814C6" w:rsidP="00800A85" w:rsidRDefault="004814C6" w14:paraId="0FA7C45E"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gerichte bekostiging basisvaardigheden</w:t>
            </w:r>
            <w:r w:rsidRPr="00CD05BC">
              <w:rPr>
                <w:rStyle w:val="eop"/>
                <w:rFonts w:cs="Segoe UI"/>
                <w:sz w:val="18"/>
                <w:szCs w:val="18"/>
              </w:rPr>
              <w:t> </w:t>
            </w:r>
          </w:p>
          <w:p w:rsidRPr="000B4D4D" w:rsidR="004814C6" w:rsidP="00800A85" w:rsidRDefault="004814C6" w14:paraId="32250F02"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52BD96CB"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4E4EC622"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3F13DEC4"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7855EBED"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1348E46D" w14:textId="77777777">
            <w:pPr>
              <w:spacing w:line="276" w:lineRule="auto"/>
              <w:rPr>
                <w:szCs w:val="18"/>
              </w:rPr>
            </w:pPr>
            <w:r w:rsidRPr="000B4D4D">
              <w:rPr>
                <w:szCs w:val="18"/>
              </w:rPr>
              <w:t>On-track</w:t>
            </w:r>
          </w:p>
        </w:tc>
      </w:tr>
      <w:tr w:rsidRPr="000B4D4D" w:rsidR="00A448E9" w:rsidTr="00A448E9" w14:paraId="037E5050" w14:textId="77777777">
        <w:trPr>
          <w:trHeight w:val="300"/>
        </w:trPr>
        <w:tc>
          <w:tcPr>
            <w:tcW w:w="310" w:type="pct"/>
          </w:tcPr>
          <w:p w:rsidRPr="000B4D4D" w:rsidR="004814C6" w:rsidP="1A5CB1CB" w:rsidRDefault="004814C6" w14:paraId="5777D16E" w14:textId="77777777">
            <w:pPr>
              <w:rPr>
                <w:szCs w:val="18"/>
              </w:rPr>
            </w:pPr>
            <w:r w:rsidRPr="000B4D4D">
              <w:rPr>
                <w:szCs w:val="18"/>
              </w:rPr>
              <w:t>49</w:t>
            </w:r>
          </w:p>
        </w:tc>
        <w:tc>
          <w:tcPr>
            <w:tcW w:w="1408" w:type="pct"/>
          </w:tcPr>
          <w:p w:rsidRPr="000B4D4D" w:rsidR="004814C6" w:rsidP="00800A85" w:rsidRDefault="004814C6" w14:paraId="2AAA5B14"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Hervorming: toevoegen van het evidence-informed werken aan de wettelijke deugdelijkheidseisen funderend onderwijs</w:t>
            </w:r>
            <w:r w:rsidRPr="00CD05BC">
              <w:rPr>
                <w:rStyle w:val="eop"/>
                <w:rFonts w:cs="Segoe UI"/>
                <w:sz w:val="18"/>
                <w:szCs w:val="18"/>
              </w:rPr>
              <w:t> </w:t>
            </w:r>
          </w:p>
          <w:p w:rsidRPr="000B4D4D" w:rsidR="004814C6" w:rsidRDefault="004814C6" w14:paraId="6474DA3E"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71E55D67"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073D334E"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51E5E69D"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7BCD0679" w14:textId="77777777">
            <w:pPr>
              <w:spacing w:line="276" w:lineRule="auto"/>
              <w:rPr>
                <w:szCs w:val="18"/>
              </w:rPr>
            </w:pPr>
            <w:r w:rsidRPr="000B4D4D">
              <w:rPr>
                <w:szCs w:val="18"/>
              </w:rPr>
              <w:t>On-track</w:t>
            </w:r>
          </w:p>
        </w:tc>
      </w:tr>
      <w:tr w:rsidRPr="000B4D4D" w:rsidR="00A448E9" w:rsidTr="00A448E9" w14:paraId="73FB4F71" w14:textId="77777777">
        <w:trPr>
          <w:trHeight w:val="300"/>
        </w:trPr>
        <w:tc>
          <w:tcPr>
            <w:tcW w:w="310" w:type="pct"/>
          </w:tcPr>
          <w:p w:rsidRPr="000B4D4D" w:rsidR="004814C6" w:rsidP="1A5CB1CB" w:rsidRDefault="004814C6" w14:paraId="1FDBC663" w14:textId="77777777">
            <w:pPr>
              <w:rPr>
                <w:szCs w:val="18"/>
              </w:rPr>
            </w:pPr>
            <w:r w:rsidRPr="000B4D4D">
              <w:rPr>
                <w:szCs w:val="18"/>
              </w:rPr>
              <w:t>50</w:t>
            </w:r>
          </w:p>
        </w:tc>
        <w:tc>
          <w:tcPr>
            <w:tcW w:w="1408" w:type="pct"/>
          </w:tcPr>
          <w:p w:rsidRPr="000B4D4D" w:rsidR="004814C6" w:rsidP="00800A85" w:rsidRDefault="004814C6" w14:paraId="4D5675B7"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Hervorming: verplichting leerlingvolgsystemen in de onderbouw vo</w:t>
            </w:r>
            <w:r w:rsidRPr="00CD05BC">
              <w:rPr>
                <w:rStyle w:val="eop"/>
                <w:rFonts w:cs="Segoe UI"/>
                <w:sz w:val="18"/>
                <w:szCs w:val="18"/>
              </w:rPr>
              <w:t> </w:t>
            </w:r>
          </w:p>
          <w:p w:rsidRPr="000B4D4D" w:rsidR="004814C6" w:rsidP="00800A85" w:rsidRDefault="004814C6" w14:paraId="08EEDEB3"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4EE23E1C"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5875A424"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3426EF77"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54BD81C5"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05283EBB" w14:textId="77777777">
            <w:pPr>
              <w:spacing w:line="276" w:lineRule="auto"/>
              <w:rPr>
                <w:szCs w:val="18"/>
              </w:rPr>
            </w:pPr>
            <w:r w:rsidRPr="000B4D4D">
              <w:rPr>
                <w:szCs w:val="18"/>
              </w:rPr>
              <w:t>On-track</w:t>
            </w:r>
          </w:p>
        </w:tc>
      </w:tr>
      <w:tr w:rsidRPr="000B4D4D" w:rsidR="00A448E9" w:rsidTr="00A448E9" w14:paraId="37D7C54A" w14:textId="77777777">
        <w:trPr>
          <w:trHeight w:val="300"/>
        </w:trPr>
        <w:tc>
          <w:tcPr>
            <w:tcW w:w="310" w:type="pct"/>
          </w:tcPr>
          <w:p w:rsidRPr="000B4D4D" w:rsidR="004814C6" w:rsidP="1A5CB1CB" w:rsidRDefault="004814C6" w14:paraId="0B239525" w14:textId="77777777">
            <w:pPr>
              <w:rPr>
                <w:szCs w:val="18"/>
              </w:rPr>
            </w:pPr>
            <w:r w:rsidRPr="000B4D4D">
              <w:rPr>
                <w:szCs w:val="18"/>
              </w:rPr>
              <w:t>51</w:t>
            </w:r>
          </w:p>
        </w:tc>
        <w:tc>
          <w:tcPr>
            <w:tcW w:w="1408" w:type="pct"/>
          </w:tcPr>
          <w:p w:rsidRPr="000B4D4D" w:rsidR="004814C6" w:rsidP="00800A85" w:rsidRDefault="004814C6" w14:paraId="6F1D5FEA"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BoekStart en de Bibliotheek op school </w:t>
            </w:r>
            <w:r w:rsidRPr="00CD05BC">
              <w:rPr>
                <w:rStyle w:val="eop"/>
                <w:rFonts w:cs="Segoe UI"/>
                <w:sz w:val="18"/>
                <w:szCs w:val="18"/>
              </w:rPr>
              <w:t> </w:t>
            </w:r>
          </w:p>
          <w:p w:rsidRPr="000B4D4D" w:rsidR="004814C6" w:rsidP="00800A85" w:rsidRDefault="004814C6" w14:paraId="54F58C0B"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6B0A5B88" w14:textId="77777777">
            <w:pPr>
              <w:rPr>
                <w:szCs w:val="18"/>
                <w:lang w:eastAsia="nl-NL"/>
              </w:rPr>
            </w:pPr>
            <w:r w:rsidRPr="000B4D4D">
              <w:rPr>
                <w:rStyle w:val="normaltextrun"/>
                <w:rFonts w:cs="Segoe UI"/>
                <w:szCs w:val="18"/>
              </w:rPr>
              <w:t>  </w:t>
            </w:r>
            <w:r w:rsidRPr="000B4D4D">
              <w:rPr>
                <w:rStyle w:val="eop"/>
                <w:rFonts w:cs="Segoe UI"/>
                <w:szCs w:val="18"/>
              </w:rPr>
              <w:t> </w:t>
            </w:r>
          </w:p>
        </w:tc>
        <w:tc>
          <w:tcPr>
            <w:tcW w:w="626" w:type="pct"/>
          </w:tcPr>
          <w:p w:rsidRPr="000B4D4D" w:rsidR="004814C6" w:rsidP="00800A85" w:rsidRDefault="004814C6" w14:paraId="076672EF"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0053FE7D"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3156B5B6"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6685D8B7" w14:textId="77777777">
            <w:pPr>
              <w:spacing w:line="276" w:lineRule="auto"/>
              <w:rPr>
                <w:szCs w:val="18"/>
              </w:rPr>
            </w:pPr>
            <w:r w:rsidRPr="000B4D4D">
              <w:rPr>
                <w:szCs w:val="18"/>
              </w:rPr>
              <w:t>On-track</w:t>
            </w:r>
          </w:p>
        </w:tc>
      </w:tr>
      <w:tr w:rsidRPr="000B4D4D" w:rsidR="00A448E9" w:rsidTr="00A448E9" w14:paraId="1F5198B9" w14:textId="77777777">
        <w:trPr>
          <w:trHeight w:val="300"/>
        </w:trPr>
        <w:tc>
          <w:tcPr>
            <w:tcW w:w="310" w:type="pct"/>
          </w:tcPr>
          <w:p w:rsidRPr="000B4D4D" w:rsidR="004814C6" w:rsidP="1A5CB1CB" w:rsidRDefault="004814C6" w14:paraId="6BB8756E" w14:textId="77777777">
            <w:pPr>
              <w:rPr>
                <w:szCs w:val="18"/>
              </w:rPr>
            </w:pPr>
            <w:r w:rsidRPr="000B4D4D">
              <w:rPr>
                <w:szCs w:val="18"/>
              </w:rPr>
              <w:t>52</w:t>
            </w:r>
          </w:p>
        </w:tc>
        <w:tc>
          <w:tcPr>
            <w:tcW w:w="1408" w:type="pct"/>
          </w:tcPr>
          <w:p w:rsidRPr="000B4D4D" w:rsidR="004814C6" w:rsidRDefault="004814C6" w14:paraId="1E7DFD17" w14:textId="77777777">
            <w:pPr>
              <w:rPr>
                <w:szCs w:val="18"/>
                <w:lang w:eastAsia="nl-NL"/>
              </w:rPr>
            </w:pPr>
            <w:r w:rsidRPr="000B4D4D">
              <w:rPr>
                <w:rStyle w:val="normaltextrun"/>
                <w:rFonts w:cs="Segoe UI"/>
                <w:szCs w:val="18"/>
              </w:rPr>
              <w:t>Investering: extra ruimte voor kwalitatief goede leraren in het Onderwijsakkoord</w:t>
            </w:r>
            <w:r w:rsidRPr="000B4D4D">
              <w:rPr>
                <w:rStyle w:val="eop"/>
                <w:rFonts w:cs="Segoe UI"/>
                <w:szCs w:val="18"/>
              </w:rPr>
              <w:t> </w:t>
            </w:r>
          </w:p>
        </w:tc>
        <w:tc>
          <w:tcPr>
            <w:tcW w:w="626" w:type="pct"/>
          </w:tcPr>
          <w:p w:rsidRPr="000B4D4D" w:rsidR="004814C6" w:rsidP="00800A85" w:rsidRDefault="004814C6" w14:paraId="62632635"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10BDAAB4"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574A80FF"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6043AD06" w14:textId="77777777">
            <w:pPr>
              <w:spacing w:line="276" w:lineRule="auto"/>
              <w:rPr>
                <w:szCs w:val="18"/>
              </w:rPr>
            </w:pPr>
            <w:r w:rsidRPr="000B4D4D">
              <w:rPr>
                <w:szCs w:val="18"/>
              </w:rPr>
              <w:t>On-track</w:t>
            </w:r>
          </w:p>
        </w:tc>
      </w:tr>
      <w:tr w:rsidRPr="000B4D4D" w:rsidR="00A448E9" w:rsidTr="00A448E9" w14:paraId="3E17714E" w14:textId="77777777">
        <w:trPr>
          <w:trHeight w:val="300"/>
        </w:trPr>
        <w:tc>
          <w:tcPr>
            <w:tcW w:w="310" w:type="pct"/>
          </w:tcPr>
          <w:p w:rsidRPr="000B4D4D" w:rsidR="004814C6" w:rsidP="1A5CB1CB" w:rsidRDefault="004814C6" w14:paraId="185CA702" w14:textId="77777777">
            <w:pPr>
              <w:rPr>
                <w:szCs w:val="18"/>
              </w:rPr>
            </w:pPr>
            <w:r w:rsidRPr="000B4D4D">
              <w:rPr>
                <w:szCs w:val="18"/>
              </w:rPr>
              <w:t>53</w:t>
            </w:r>
          </w:p>
        </w:tc>
        <w:tc>
          <w:tcPr>
            <w:tcW w:w="1408" w:type="pct"/>
          </w:tcPr>
          <w:p w:rsidRPr="000B4D4D" w:rsidR="004814C6" w:rsidP="00800A85" w:rsidRDefault="004814C6" w14:paraId="357FBB3D"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Regeling zij-instroom</w:t>
            </w:r>
            <w:r w:rsidRPr="00CD05BC">
              <w:rPr>
                <w:rStyle w:val="eop"/>
                <w:rFonts w:cs="Segoe UI"/>
                <w:sz w:val="18"/>
                <w:szCs w:val="18"/>
              </w:rPr>
              <w:t> </w:t>
            </w:r>
          </w:p>
          <w:p w:rsidRPr="000B4D4D" w:rsidR="004814C6" w:rsidP="00800A85" w:rsidRDefault="004814C6" w14:paraId="003EDFE4"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071FE14F"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6D133F02"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1665177F"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3F431D5B"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0CCA0B12" w14:textId="77777777">
            <w:pPr>
              <w:spacing w:line="276" w:lineRule="auto"/>
              <w:rPr>
                <w:szCs w:val="18"/>
              </w:rPr>
            </w:pPr>
            <w:r w:rsidRPr="000B4D4D">
              <w:rPr>
                <w:szCs w:val="18"/>
              </w:rPr>
              <w:t>On-track</w:t>
            </w:r>
          </w:p>
        </w:tc>
      </w:tr>
      <w:tr w:rsidRPr="000B4D4D" w:rsidR="00A448E9" w:rsidTr="00A448E9" w14:paraId="6118A600" w14:textId="77777777">
        <w:trPr>
          <w:trHeight w:val="300"/>
        </w:trPr>
        <w:tc>
          <w:tcPr>
            <w:tcW w:w="310" w:type="pct"/>
          </w:tcPr>
          <w:p w:rsidRPr="000B4D4D" w:rsidR="004814C6" w:rsidP="1A5CB1CB" w:rsidRDefault="004814C6" w14:paraId="246286EB" w14:textId="77777777">
            <w:pPr>
              <w:rPr>
                <w:szCs w:val="18"/>
              </w:rPr>
            </w:pPr>
            <w:r w:rsidRPr="000B4D4D">
              <w:rPr>
                <w:szCs w:val="18"/>
              </w:rPr>
              <w:t>54</w:t>
            </w:r>
          </w:p>
        </w:tc>
        <w:tc>
          <w:tcPr>
            <w:tcW w:w="1408" w:type="pct"/>
          </w:tcPr>
          <w:p w:rsidRPr="000B4D4D" w:rsidR="004814C6" w:rsidP="00800A85" w:rsidRDefault="004814C6" w14:paraId="72DEA715"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Regeling SOOL (subsidie onderwijspersoneel opleiding tot leraar)</w:t>
            </w:r>
            <w:r w:rsidRPr="00CD05BC">
              <w:rPr>
                <w:rStyle w:val="eop"/>
                <w:rFonts w:cs="Segoe UI"/>
                <w:sz w:val="18"/>
                <w:szCs w:val="18"/>
              </w:rPr>
              <w:t> </w:t>
            </w:r>
          </w:p>
          <w:p w:rsidRPr="000B4D4D" w:rsidR="004814C6" w:rsidP="00800A85" w:rsidRDefault="004814C6" w14:paraId="62BCB5EE"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lastRenderedPageBreak/>
              <w:t> </w:t>
            </w:r>
          </w:p>
          <w:p w:rsidRPr="000B4D4D" w:rsidR="004814C6" w:rsidRDefault="004814C6" w14:paraId="7C9C5B7A"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156E465E" w14:textId="77777777">
            <w:pPr>
              <w:spacing w:line="276" w:lineRule="auto"/>
              <w:rPr>
                <w:szCs w:val="18"/>
                <w:lang w:eastAsia="nl-NL"/>
              </w:rPr>
            </w:pPr>
            <w:r w:rsidRPr="000B4D4D">
              <w:rPr>
                <w:rStyle w:val="normaltextrun"/>
                <w:rFonts w:cs="Segoe UI"/>
                <w:szCs w:val="18"/>
              </w:rPr>
              <w:lastRenderedPageBreak/>
              <w:t>-</w:t>
            </w:r>
            <w:r w:rsidRPr="000B4D4D">
              <w:rPr>
                <w:rStyle w:val="eop"/>
                <w:rFonts w:cs="Segoe UI"/>
                <w:szCs w:val="18"/>
              </w:rPr>
              <w:t> </w:t>
            </w:r>
          </w:p>
        </w:tc>
        <w:tc>
          <w:tcPr>
            <w:tcW w:w="625" w:type="pct"/>
          </w:tcPr>
          <w:p w:rsidRPr="000B4D4D" w:rsidR="004814C6" w:rsidRDefault="004814C6" w14:paraId="428E3F1E"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661839DD" w14:textId="77777777">
            <w:pPr>
              <w:spacing w:line="276" w:lineRule="auto"/>
              <w:rPr>
                <w:szCs w:val="18"/>
                <w:lang w:eastAsia="nl-NL"/>
              </w:rPr>
            </w:pPr>
            <w:r w:rsidRPr="000B4D4D">
              <w:rPr>
                <w:szCs w:val="18"/>
              </w:rPr>
              <w:t xml:space="preserve">Sociale en economische veerkracht, inclusief de </w:t>
            </w:r>
            <w:r w:rsidRPr="000B4D4D">
              <w:rPr>
                <w:szCs w:val="18"/>
              </w:rPr>
              <w:lastRenderedPageBreak/>
              <w:t>Europese Pijler van Sociale Rechten</w:t>
            </w:r>
          </w:p>
        </w:tc>
        <w:tc>
          <w:tcPr>
            <w:tcW w:w="700" w:type="pct"/>
          </w:tcPr>
          <w:p w:rsidRPr="000B4D4D" w:rsidR="004814C6" w:rsidP="1A5CB1CB" w:rsidRDefault="004814C6" w14:paraId="4A70B691" w14:textId="77777777">
            <w:pPr>
              <w:spacing w:line="276" w:lineRule="auto"/>
              <w:rPr>
                <w:szCs w:val="18"/>
              </w:rPr>
            </w:pPr>
            <w:r w:rsidRPr="000B4D4D">
              <w:rPr>
                <w:szCs w:val="18"/>
              </w:rPr>
              <w:lastRenderedPageBreak/>
              <w:t>On-track</w:t>
            </w:r>
          </w:p>
        </w:tc>
      </w:tr>
      <w:tr w:rsidRPr="000B4D4D" w:rsidR="00A448E9" w:rsidTr="00A448E9" w14:paraId="5634443C" w14:textId="77777777">
        <w:trPr>
          <w:trHeight w:val="300"/>
        </w:trPr>
        <w:tc>
          <w:tcPr>
            <w:tcW w:w="310" w:type="pct"/>
          </w:tcPr>
          <w:p w:rsidRPr="000B4D4D" w:rsidR="004814C6" w:rsidP="1A5CB1CB" w:rsidRDefault="004814C6" w14:paraId="09A5393A" w14:textId="77777777">
            <w:pPr>
              <w:rPr>
                <w:szCs w:val="18"/>
              </w:rPr>
            </w:pPr>
            <w:r w:rsidRPr="000B4D4D">
              <w:rPr>
                <w:szCs w:val="18"/>
              </w:rPr>
              <w:t>55</w:t>
            </w:r>
          </w:p>
        </w:tc>
        <w:tc>
          <w:tcPr>
            <w:tcW w:w="1408" w:type="pct"/>
          </w:tcPr>
          <w:p w:rsidRPr="000B4D4D" w:rsidR="004814C6" w:rsidP="00800A85" w:rsidRDefault="004814C6" w14:paraId="229116C7"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Regeling statushouders en de stap naar de klas</w:t>
            </w:r>
            <w:r w:rsidRPr="00CD05BC">
              <w:rPr>
                <w:rStyle w:val="eop"/>
                <w:rFonts w:cs="Segoe UI"/>
                <w:sz w:val="18"/>
                <w:szCs w:val="18"/>
              </w:rPr>
              <w:t> </w:t>
            </w:r>
          </w:p>
          <w:p w:rsidRPr="000B4D4D" w:rsidR="004814C6" w:rsidP="00800A85" w:rsidRDefault="004814C6" w14:paraId="33238651"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74E4A9D7"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035483D6"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5C525D6A"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5ED69FF2"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6AC30218" w14:textId="77777777">
            <w:pPr>
              <w:spacing w:line="276" w:lineRule="auto"/>
              <w:rPr>
                <w:szCs w:val="18"/>
              </w:rPr>
            </w:pPr>
            <w:r w:rsidRPr="000B4D4D">
              <w:rPr>
                <w:szCs w:val="18"/>
              </w:rPr>
              <w:t>On-track</w:t>
            </w:r>
          </w:p>
        </w:tc>
      </w:tr>
      <w:tr w:rsidRPr="000B4D4D" w:rsidR="00A448E9" w:rsidTr="00A448E9" w14:paraId="6865CE20" w14:textId="77777777">
        <w:trPr>
          <w:trHeight w:val="300"/>
        </w:trPr>
        <w:tc>
          <w:tcPr>
            <w:tcW w:w="310" w:type="pct"/>
          </w:tcPr>
          <w:p w:rsidRPr="000B4D4D" w:rsidR="004814C6" w:rsidP="1A5CB1CB" w:rsidRDefault="004814C6" w14:paraId="2E2A92C1" w14:textId="77777777">
            <w:pPr>
              <w:rPr>
                <w:szCs w:val="18"/>
              </w:rPr>
            </w:pPr>
            <w:r w:rsidRPr="000B4D4D">
              <w:rPr>
                <w:szCs w:val="18"/>
              </w:rPr>
              <w:t>56</w:t>
            </w:r>
          </w:p>
        </w:tc>
        <w:tc>
          <w:tcPr>
            <w:tcW w:w="1408" w:type="pct"/>
          </w:tcPr>
          <w:p w:rsidRPr="000B4D4D" w:rsidR="004814C6" w:rsidP="00800A85" w:rsidRDefault="004814C6" w14:paraId="324CD19A"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Verhoging salarissen van leraren in het primair onderwijs</w:t>
            </w:r>
            <w:r w:rsidRPr="00CD05BC">
              <w:rPr>
                <w:rStyle w:val="eop"/>
                <w:rFonts w:cs="Segoe UI"/>
                <w:sz w:val="18"/>
                <w:szCs w:val="18"/>
              </w:rPr>
              <w:t> </w:t>
            </w:r>
          </w:p>
          <w:p w:rsidRPr="000B4D4D" w:rsidR="004814C6" w:rsidRDefault="004814C6" w14:paraId="4811D278"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6EC4110B"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72CECFD3"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0307C32C"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5BD729A7" w14:textId="77777777">
            <w:pPr>
              <w:spacing w:line="276" w:lineRule="auto"/>
              <w:rPr>
                <w:szCs w:val="18"/>
              </w:rPr>
            </w:pPr>
            <w:r w:rsidRPr="000B4D4D">
              <w:rPr>
                <w:szCs w:val="18"/>
              </w:rPr>
              <w:t>On-track</w:t>
            </w:r>
          </w:p>
        </w:tc>
      </w:tr>
      <w:tr w:rsidRPr="000B4D4D" w:rsidR="00A448E9" w:rsidTr="00A448E9" w14:paraId="7EF03B20" w14:textId="77777777">
        <w:trPr>
          <w:trHeight w:val="300"/>
        </w:trPr>
        <w:tc>
          <w:tcPr>
            <w:tcW w:w="310" w:type="pct"/>
          </w:tcPr>
          <w:p w:rsidRPr="000B4D4D" w:rsidR="004814C6" w:rsidP="1A5CB1CB" w:rsidRDefault="004814C6" w14:paraId="24A18608" w14:textId="77777777">
            <w:pPr>
              <w:rPr>
                <w:szCs w:val="18"/>
              </w:rPr>
            </w:pPr>
            <w:r w:rsidRPr="000B4D4D">
              <w:rPr>
                <w:szCs w:val="18"/>
              </w:rPr>
              <w:t>57</w:t>
            </w:r>
          </w:p>
        </w:tc>
        <w:tc>
          <w:tcPr>
            <w:tcW w:w="1408" w:type="pct"/>
          </w:tcPr>
          <w:p w:rsidRPr="000B4D4D" w:rsidR="004814C6" w:rsidP="00800A85" w:rsidRDefault="004814C6" w14:paraId="639FA3AA"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Verlagen werkdruk </w:t>
            </w:r>
            <w:r w:rsidRPr="00CD05BC">
              <w:rPr>
                <w:rStyle w:val="eop"/>
                <w:rFonts w:cs="Segoe UI"/>
                <w:sz w:val="18"/>
                <w:szCs w:val="18"/>
              </w:rPr>
              <w:t> </w:t>
            </w:r>
          </w:p>
          <w:p w:rsidRPr="000B4D4D" w:rsidR="004814C6" w:rsidP="00800A85" w:rsidRDefault="004814C6" w14:paraId="7E56AAE3"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5DE6C983"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79CD9AF3"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5FBE5FDA"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2570068A"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55B79587" w14:textId="77777777">
            <w:pPr>
              <w:spacing w:line="276" w:lineRule="auto"/>
              <w:rPr>
                <w:szCs w:val="18"/>
              </w:rPr>
            </w:pPr>
            <w:r w:rsidRPr="000B4D4D">
              <w:rPr>
                <w:szCs w:val="18"/>
              </w:rPr>
              <w:t>On-track</w:t>
            </w:r>
          </w:p>
        </w:tc>
      </w:tr>
      <w:tr w:rsidRPr="000B4D4D" w:rsidR="00A448E9" w:rsidTr="00A448E9" w14:paraId="0D8E9F91" w14:textId="77777777">
        <w:trPr>
          <w:trHeight w:val="300"/>
        </w:trPr>
        <w:tc>
          <w:tcPr>
            <w:tcW w:w="310" w:type="pct"/>
          </w:tcPr>
          <w:p w:rsidRPr="000B4D4D" w:rsidR="004814C6" w:rsidP="1A5CB1CB" w:rsidRDefault="004814C6" w14:paraId="611927B8" w14:textId="77777777">
            <w:pPr>
              <w:rPr>
                <w:szCs w:val="18"/>
              </w:rPr>
            </w:pPr>
            <w:r w:rsidRPr="000B4D4D">
              <w:rPr>
                <w:szCs w:val="18"/>
              </w:rPr>
              <w:t>58</w:t>
            </w:r>
          </w:p>
        </w:tc>
        <w:tc>
          <w:tcPr>
            <w:tcW w:w="1408" w:type="pct"/>
          </w:tcPr>
          <w:p w:rsidRPr="000B4D4D" w:rsidR="004814C6" w:rsidRDefault="004814C6" w14:paraId="1D15A9AB" w14:textId="77777777">
            <w:pPr>
              <w:rPr>
                <w:szCs w:val="18"/>
                <w:lang w:eastAsia="nl-NL"/>
              </w:rPr>
            </w:pPr>
            <w:r w:rsidRPr="000B4D4D">
              <w:rPr>
                <w:rStyle w:val="normaltextrun"/>
                <w:rFonts w:cs="Segoe UI"/>
                <w:szCs w:val="18"/>
              </w:rPr>
              <w:t>Investering: Professionalisering leraren, schoolleiders en ondersteunend personeel</w:t>
            </w:r>
            <w:r w:rsidRPr="000B4D4D">
              <w:rPr>
                <w:rStyle w:val="eop"/>
                <w:rFonts w:cs="Segoe UI"/>
                <w:szCs w:val="18"/>
              </w:rPr>
              <w:t> </w:t>
            </w:r>
          </w:p>
        </w:tc>
        <w:tc>
          <w:tcPr>
            <w:tcW w:w="626" w:type="pct"/>
          </w:tcPr>
          <w:p w:rsidRPr="000B4D4D" w:rsidR="004814C6" w:rsidP="00800A85" w:rsidRDefault="004814C6" w14:paraId="631AC735"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15591E0A"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16E21AAF"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7B267620" w14:textId="77777777">
            <w:pPr>
              <w:spacing w:line="276" w:lineRule="auto"/>
              <w:rPr>
                <w:szCs w:val="18"/>
              </w:rPr>
            </w:pPr>
            <w:r w:rsidRPr="000B4D4D">
              <w:rPr>
                <w:szCs w:val="18"/>
              </w:rPr>
              <w:t>On-track</w:t>
            </w:r>
          </w:p>
        </w:tc>
      </w:tr>
      <w:tr w:rsidRPr="000B4D4D" w:rsidR="00A448E9" w:rsidTr="00A448E9" w14:paraId="60D27FA7" w14:textId="77777777">
        <w:trPr>
          <w:trHeight w:val="300"/>
        </w:trPr>
        <w:tc>
          <w:tcPr>
            <w:tcW w:w="310" w:type="pct"/>
          </w:tcPr>
          <w:p w:rsidRPr="000B4D4D" w:rsidR="004814C6" w:rsidP="1A5CB1CB" w:rsidRDefault="004814C6" w14:paraId="338C2D8E" w14:textId="77777777">
            <w:pPr>
              <w:rPr>
                <w:szCs w:val="18"/>
              </w:rPr>
            </w:pPr>
            <w:r w:rsidRPr="000B4D4D">
              <w:rPr>
                <w:szCs w:val="18"/>
              </w:rPr>
              <w:t>59</w:t>
            </w:r>
          </w:p>
        </w:tc>
        <w:tc>
          <w:tcPr>
            <w:tcW w:w="1408" w:type="pct"/>
          </w:tcPr>
          <w:p w:rsidRPr="000B4D4D" w:rsidR="004814C6" w:rsidP="00800A85" w:rsidRDefault="004814C6" w14:paraId="23BC7D0D"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sz w:val="18"/>
                <w:szCs w:val="18"/>
              </w:rPr>
              <w:t>Investering: Regeling onderwijskansen voortgezet onderwijs</w:t>
            </w:r>
            <w:r w:rsidRPr="00CD05BC">
              <w:rPr>
                <w:rStyle w:val="eop"/>
                <w:rFonts w:cs="Segoe UI"/>
                <w:sz w:val="18"/>
                <w:szCs w:val="18"/>
              </w:rPr>
              <w:t> </w:t>
            </w:r>
          </w:p>
          <w:p w:rsidRPr="000B4D4D" w:rsidR="004814C6" w:rsidP="00800A85" w:rsidRDefault="004814C6" w14:paraId="111614BF"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814C6" w:rsidRDefault="004814C6" w14:paraId="17269FA2" w14:textId="77777777">
            <w:pPr>
              <w:rPr>
                <w:szCs w:val="18"/>
                <w:lang w:eastAsia="nl-NL"/>
              </w:rPr>
            </w:pPr>
            <w:r w:rsidRPr="000B4D4D">
              <w:rPr>
                <w:rStyle w:val="eop"/>
                <w:rFonts w:cs="Segoe UI"/>
                <w:szCs w:val="18"/>
              </w:rPr>
              <w:t> </w:t>
            </w:r>
          </w:p>
        </w:tc>
        <w:tc>
          <w:tcPr>
            <w:tcW w:w="626" w:type="pct"/>
          </w:tcPr>
          <w:p w:rsidRPr="000B4D4D" w:rsidR="004814C6" w:rsidP="00800A85" w:rsidRDefault="004814C6" w14:paraId="3FC6BED4"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46938E9A" w14:textId="77777777">
            <w:pPr>
              <w:autoSpaceDE w:val="0"/>
              <w:autoSpaceDN w:val="0"/>
              <w:adjustRightInd w:val="0"/>
              <w:rPr>
                <w:szCs w:val="18"/>
                <w:lang w:eastAsia="nl-NL"/>
              </w:rPr>
            </w:pPr>
            <w:r w:rsidRPr="000B4D4D">
              <w:rPr>
                <w:rStyle w:val="normaltextrun"/>
                <w:rFonts w:cs="Segoe UI"/>
                <w:szCs w:val="18"/>
              </w:rPr>
              <w:t xml:space="preserve">2024.3.3 </w:t>
            </w:r>
          </w:p>
        </w:tc>
        <w:tc>
          <w:tcPr>
            <w:tcW w:w="1331" w:type="pct"/>
          </w:tcPr>
          <w:p w:rsidRPr="000B4D4D" w:rsidR="004814C6" w:rsidP="00800A85" w:rsidRDefault="004814C6" w14:paraId="25D27DA4"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1A5CB1CB" w:rsidRDefault="004814C6" w14:paraId="172AD24D" w14:textId="77777777">
            <w:pPr>
              <w:spacing w:line="276" w:lineRule="auto"/>
              <w:rPr>
                <w:szCs w:val="18"/>
              </w:rPr>
            </w:pPr>
            <w:r w:rsidRPr="000B4D4D">
              <w:rPr>
                <w:szCs w:val="18"/>
              </w:rPr>
              <w:t>On-track</w:t>
            </w:r>
          </w:p>
        </w:tc>
      </w:tr>
      <w:tr w:rsidRPr="000B4D4D" w:rsidR="004814C6" w:rsidTr="00A448E9" w14:paraId="64E423C2" w14:textId="77777777">
        <w:trPr>
          <w:trHeight w:val="300"/>
        </w:trPr>
        <w:tc>
          <w:tcPr>
            <w:tcW w:w="4300" w:type="pct"/>
            <w:gridSpan w:val="5"/>
          </w:tcPr>
          <w:p w:rsidRPr="000B4D4D" w:rsidR="004814C6" w:rsidP="00800A85" w:rsidRDefault="004814C6" w14:paraId="067825E7" w14:textId="77777777">
            <w:pPr>
              <w:spacing w:line="276" w:lineRule="auto"/>
              <w:rPr>
                <w:b/>
                <w:bCs/>
                <w:szCs w:val="18"/>
                <w:lang w:eastAsia="nl-NL"/>
              </w:rPr>
            </w:pPr>
            <w:r w:rsidRPr="000B4D4D">
              <w:rPr>
                <w:b/>
                <w:bCs/>
                <w:szCs w:val="18"/>
                <w:lang w:eastAsia="nl-NL"/>
              </w:rPr>
              <w:t>Overige maatregelen</w:t>
            </w:r>
          </w:p>
        </w:tc>
        <w:tc>
          <w:tcPr>
            <w:tcW w:w="700" w:type="pct"/>
          </w:tcPr>
          <w:p w:rsidRPr="000B4D4D" w:rsidR="004814C6" w:rsidP="002D5F54" w:rsidRDefault="004814C6" w14:paraId="4A52C88A" w14:textId="77777777">
            <w:pPr>
              <w:spacing w:line="276" w:lineRule="auto"/>
              <w:rPr>
                <w:b/>
                <w:szCs w:val="18"/>
                <w:lang w:eastAsia="nl-NL"/>
              </w:rPr>
            </w:pPr>
          </w:p>
        </w:tc>
      </w:tr>
      <w:tr w:rsidRPr="000B4D4D" w:rsidR="00A448E9" w:rsidTr="00A448E9" w14:paraId="42128E58" w14:textId="77777777">
        <w:trPr>
          <w:trHeight w:val="300"/>
        </w:trPr>
        <w:tc>
          <w:tcPr>
            <w:tcW w:w="310" w:type="pct"/>
          </w:tcPr>
          <w:p w:rsidRPr="000B4D4D" w:rsidR="004814C6" w:rsidP="1A5CB1CB" w:rsidRDefault="004814C6" w14:paraId="1F3CAA36" w14:textId="77777777">
            <w:pPr>
              <w:rPr>
                <w:szCs w:val="18"/>
              </w:rPr>
            </w:pPr>
            <w:r w:rsidRPr="000B4D4D">
              <w:rPr>
                <w:szCs w:val="18"/>
              </w:rPr>
              <w:t>60</w:t>
            </w:r>
          </w:p>
        </w:tc>
        <w:tc>
          <w:tcPr>
            <w:tcW w:w="1408" w:type="pct"/>
          </w:tcPr>
          <w:p w:rsidRPr="000B4D4D" w:rsidR="004814C6" w:rsidRDefault="004814C6" w14:paraId="755AA032" w14:textId="77777777">
            <w:pPr>
              <w:rPr>
                <w:szCs w:val="18"/>
                <w:lang w:eastAsia="nl-NL"/>
              </w:rPr>
            </w:pPr>
            <w:r w:rsidRPr="000B4D4D">
              <w:rPr>
                <w:szCs w:val="18"/>
              </w:rPr>
              <w:t>Hervorming:</w:t>
            </w:r>
            <w:r w:rsidRPr="000B4D4D">
              <w:rPr>
                <w:rStyle w:val="normaltextrun"/>
                <w:rFonts w:cs="Segoe UI"/>
                <w:szCs w:val="18"/>
              </w:rPr>
              <w:t xml:space="preserve"> Wet toekomst pensioenen</w:t>
            </w:r>
          </w:p>
        </w:tc>
        <w:tc>
          <w:tcPr>
            <w:tcW w:w="626" w:type="pct"/>
          </w:tcPr>
          <w:p w:rsidRPr="000B4D4D" w:rsidR="004814C6" w:rsidP="00800A85" w:rsidRDefault="004814C6" w14:paraId="30C0A26A" w14:textId="77777777">
            <w:pPr>
              <w:spacing w:line="276" w:lineRule="auto"/>
              <w:rPr>
                <w:szCs w:val="18"/>
                <w:lang w:eastAsia="nl-NL"/>
              </w:rPr>
            </w:pPr>
            <w:r w:rsidRPr="000B4D4D">
              <w:rPr>
                <w:rStyle w:val="normaltextrun"/>
                <w:rFonts w:cs="Segoe UI"/>
                <w:szCs w:val="18"/>
              </w:rPr>
              <w:t>HVP (C4.1 R3)</w:t>
            </w:r>
          </w:p>
        </w:tc>
        <w:tc>
          <w:tcPr>
            <w:tcW w:w="625" w:type="pct"/>
          </w:tcPr>
          <w:p w:rsidRPr="000B4D4D" w:rsidR="004814C6" w:rsidRDefault="004814C6" w14:paraId="692386E9" w14:textId="77777777">
            <w:pPr>
              <w:autoSpaceDE w:val="0"/>
              <w:autoSpaceDN w:val="0"/>
              <w:adjustRightInd w:val="0"/>
              <w:rPr>
                <w:rStyle w:val="normaltextrun"/>
                <w:rFonts w:eastAsia="Verdana" w:cs="Verdana"/>
                <w:szCs w:val="18"/>
              </w:rPr>
            </w:pPr>
            <w:r w:rsidRPr="000B4D4D">
              <w:rPr>
                <w:rStyle w:val="normaltextrun"/>
                <w:rFonts w:eastAsia="Verdana" w:cs="Verdana"/>
                <w:szCs w:val="18"/>
              </w:rPr>
              <w:t>2022.1.5</w:t>
            </w:r>
          </w:p>
          <w:p w:rsidRPr="000B4D4D" w:rsidR="004814C6" w:rsidRDefault="004814C6" w14:paraId="12FB80A6" w14:textId="77777777">
            <w:pPr>
              <w:autoSpaceDE w:val="0"/>
              <w:autoSpaceDN w:val="0"/>
              <w:adjustRightInd w:val="0"/>
              <w:rPr>
                <w:rStyle w:val="normaltextrun"/>
                <w:rFonts w:eastAsia="Verdana" w:cs="Verdana"/>
                <w:szCs w:val="18"/>
              </w:rPr>
            </w:pPr>
            <w:r w:rsidRPr="000B4D4D">
              <w:rPr>
                <w:rStyle w:val="normaltextrun"/>
                <w:rFonts w:eastAsia="Verdana" w:cs="Verdana"/>
                <w:szCs w:val="18"/>
              </w:rPr>
              <w:t>2019.2.2</w:t>
            </w:r>
          </w:p>
        </w:tc>
        <w:tc>
          <w:tcPr>
            <w:tcW w:w="1331" w:type="pct"/>
          </w:tcPr>
          <w:p w:rsidRPr="000B4D4D" w:rsidR="004814C6" w:rsidP="00800A85" w:rsidRDefault="004814C6" w14:paraId="55831846" w14:textId="77777777">
            <w:pPr>
              <w:spacing w:line="276" w:lineRule="auto"/>
              <w:rPr>
                <w:szCs w:val="18"/>
                <w:lang w:eastAsia="nl-NL"/>
              </w:rPr>
            </w:pPr>
            <w:r w:rsidRPr="000B4D4D">
              <w:rPr>
                <w:szCs w:val="18"/>
              </w:rPr>
              <w:t>Sociale en economische veerkracht, inclusief de Europese Pijler van Sociale Rechten</w:t>
            </w:r>
          </w:p>
        </w:tc>
        <w:tc>
          <w:tcPr>
            <w:tcW w:w="700" w:type="pct"/>
          </w:tcPr>
          <w:p w:rsidRPr="000B4D4D" w:rsidR="004814C6" w:rsidP="00800A85" w:rsidRDefault="004814C6" w14:paraId="21472992" w14:textId="77777777">
            <w:pPr>
              <w:spacing w:line="276" w:lineRule="auto"/>
              <w:rPr>
                <w:szCs w:val="18"/>
                <w:highlight w:val="green"/>
              </w:rPr>
            </w:pPr>
            <w:r w:rsidRPr="000B4D4D">
              <w:rPr>
                <w:szCs w:val="18"/>
              </w:rPr>
              <w:t>Completed</w:t>
            </w:r>
          </w:p>
        </w:tc>
      </w:tr>
      <w:tr w:rsidRPr="000B4D4D" w:rsidR="00A448E9" w:rsidTr="00A448E9" w14:paraId="504013BF" w14:textId="77777777">
        <w:trPr>
          <w:trHeight w:val="300"/>
        </w:trPr>
        <w:tc>
          <w:tcPr>
            <w:tcW w:w="310" w:type="pct"/>
          </w:tcPr>
          <w:p w:rsidRPr="000B4D4D" w:rsidR="004814C6" w:rsidP="1A5CB1CB" w:rsidRDefault="004814C6" w14:paraId="5CEBAAAC" w14:textId="77777777">
            <w:pPr>
              <w:rPr>
                <w:szCs w:val="18"/>
              </w:rPr>
            </w:pPr>
            <w:r w:rsidRPr="000B4D4D">
              <w:rPr>
                <w:szCs w:val="18"/>
              </w:rPr>
              <w:t>61</w:t>
            </w:r>
          </w:p>
        </w:tc>
        <w:tc>
          <w:tcPr>
            <w:tcW w:w="1408" w:type="pct"/>
          </w:tcPr>
          <w:p w:rsidRPr="000B4D4D" w:rsidR="004814C6" w:rsidP="1A5CB1CB" w:rsidRDefault="004814C6" w14:paraId="57FF671E" w14:textId="77777777">
            <w:pPr>
              <w:rPr>
                <w:szCs w:val="18"/>
              </w:rPr>
            </w:pPr>
            <w:r w:rsidRPr="000B4D4D">
              <w:rPr>
                <w:szCs w:val="18"/>
              </w:rPr>
              <w:t>Tijdelijk extra personele capaciteit voor de zorg in crisistijd (Nationale Zorgreserve en Sector Plan plus)</w:t>
            </w:r>
          </w:p>
        </w:tc>
        <w:tc>
          <w:tcPr>
            <w:tcW w:w="626" w:type="pct"/>
          </w:tcPr>
          <w:p w:rsidRPr="000B4D4D" w:rsidR="004814C6" w:rsidP="00800A85" w:rsidRDefault="004814C6" w14:paraId="7C23D38B" w14:textId="77777777">
            <w:pPr>
              <w:spacing w:line="276" w:lineRule="auto"/>
              <w:rPr>
                <w:rStyle w:val="normaltextrun"/>
                <w:rFonts w:cs="Segoe UI"/>
                <w:szCs w:val="18"/>
              </w:rPr>
            </w:pPr>
            <w:r w:rsidRPr="000B4D4D">
              <w:rPr>
                <w:rFonts w:cs="Segoe UI"/>
                <w:szCs w:val="18"/>
              </w:rPr>
              <w:t>HVP (C5.1 I1-3)</w:t>
            </w:r>
          </w:p>
        </w:tc>
        <w:tc>
          <w:tcPr>
            <w:tcW w:w="625" w:type="pct"/>
          </w:tcPr>
          <w:p w:rsidRPr="000B4D4D" w:rsidR="004814C6" w:rsidP="002D5F54" w:rsidRDefault="004814C6" w14:paraId="0577800C" w14:textId="77777777">
            <w:pPr>
              <w:autoSpaceDE w:val="0"/>
              <w:autoSpaceDN w:val="0"/>
              <w:adjustRightInd w:val="0"/>
              <w:rPr>
                <w:rStyle w:val="normaltextrun"/>
                <w:rFonts w:eastAsia="Verdana" w:cs="Verdana"/>
                <w:szCs w:val="18"/>
              </w:rPr>
            </w:pPr>
          </w:p>
        </w:tc>
        <w:tc>
          <w:tcPr>
            <w:tcW w:w="1331" w:type="pct"/>
          </w:tcPr>
          <w:p w:rsidRPr="000B4D4D" w:rsidR="004814C6" w:rsidP="1A5CB1CB" w:rsidRDefault="004814C6" w14:paraId="54780C46"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C46270" w14:paraId="1C7BB0F3" w14:textId="03CEE64F">
            <w:pPr>
              <w:spacing w:line="276" w:lineRule="auto"/>
              <w:rPr>
                <w:szCs w:val="18"/>
              </w:rPr>
            </w:pPr>
            <w:r w:rsidRPr="000B4D4D">
              <w:rPr>
                <w:szCs w:val="18"/>
              </w:rPr>
              <w:t>On-track</w:t>
            </w:r>
          </w:p>
        </w:tc>
      </w:tr>
      <w:tr w:rsidRPr="000B4D4D" w:rsidR="00A448E9" w:rsidTr="00A448E9" w14:paraId="71D5E715" w14:textId="77777777">
        <w:trPr>
          <w:trHeight w:val="300"/>
        </w:trPr>
        <w:tc>
          <w:tcPr>
            <w:tcW w:w="310" w:type="pct"/>
          </w:tcPr>
          <w:p w:rsidRPr="000B4D4D" w:rsidR="004814C6" w:rsidP="1A5CB1CB" w:rsidRDefault="004814C6" w14:paraId="45426C70" w14:textId="77777777">
            <w:pPr>
              <w:rPr>
                <w:szCs w:val="18"/>
              </w:rPr>
            </w:pPr>
            <w:r w:rsidRPr="000B4D4D">
              <w:rPr>
                <w:szCs w:val="18"/>
              </w:rPr>
              <w:t>77</w:t>
            </w:r>
          </w:p>
        </w:tc>
        <w:tc>
          <w:tcPr>
            <w:tcW w:w="1408" w:type="pct"/>
          </w:tcPr>
          <w:p w:rsidRPr="000B4D4D" w:rsidR="004814C6" w:rsidP="1A5CB1CB" w:rsidRDefault="004814C6" w14:paraId="2046EDAA" w14:textId="77777777">
            <w:pPr>
              <w:rPr>
                <w:szCs w:val="18"/>
              </w:rPr>
            </w:pPr>
            <w:r w:rsidRPr="000B4D4D">
              <w:rPr>
                <w:szCs w:val="18"/>
              </w:rPr>
              <w:t>Rapport groeimarkten voor Nederland</w:t>
            </w:r>
          </w:p>
        </w:tc>
        <w:tc>
          <w:tcPr>
            <w:tcW w:w="626" w:type="pct"/>
          </w:tcPr>
          <w:p w:rsidRPr="000B4D4D" w:rsidR="004814C6" w:rsidP="002D5F54" w:rsidRDefault="004814C6" w14:paraId="5C185897" w14:textId="77777777">
            <w:pPr>
              <w:spacing w:line="276" w:lineRule="auto"/>
              <w:rPr>
                <w:rStyle w:val="normaltextrun"/>
                <w:rFonts w:cs="Segoe UI"/>
                <w:szCs w:val="18"/>
              </w:rPr>
            </w:pPr>
          </w:p>
        </w:tc>
        <w:tc>
          <w:tcPr>
            <w:tcW w:w="625" w:type="pct"/>
          </w:tcPr>
          <w:p w:rsidRPr="000B4D4D" w:rsidR="004814C6" w:rsidP="002D5F54" w:rsidRDefault="004814C6" w14:paraId="2D0B7DC9" w14:textId="77777777">
            <w:pPr>
              <w:autoSpaceDE w:val="0"/>
              <w:autoSpaceDN w:val="0"/>
              <w:adjustRightInd w:val="0"/>
              <w:rPr>
                <w:rStyle w:val="normaltextrun"/>
                <w:rFonts w:eastAsia="Verdana" w:cs="Verdana"/>
                <w:szCs w:val="18"/>
              </w:rPr>
            </w:pPr>
          </w:p>
        </w:tc>
        <w:tc>
          <w:tcPr>
            <w:tcW w:w="1331" w:type="pct"/>
          </w:tcPr>
          <w:p w:rsidRPr="000B4D4D" w:rsidR="004814C6" w:rsidP="1A5CB1CB" w:rsidRDefault="004814C6" w14:paraId="2CE55532"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75023C72" w14:textId="77777777">
            <w:pPr>
              <w:spacing w:line="276" w:lineRule="auto"/>
              <w:rPr>
                <w:szCs w:val="18"/>
              </w:rPr>
            </w:pPr>
            <w:r w:rsidRPr="000B4D4D">
              <w:rPr>
                <w:szCs w:val="18"/>
              </w:rPr>
              <w:t>Completed</w:t>
            </w:r>
          </w:p>
        </w:tc>
      </w:tr>
      <w:tr w:rsidRPr="000B4D4D" w:rsidR="00A448E9" w:rsidTr="00A448E9" w14:paraId="72D90E1A" w14:textId="77777777">
        <w:trPr>
          <w:trHeight w:val="300"/>
        </w:trPr>
        <w:tc>
          <w:tcPr>
            <w:tcW w:w="310" w:type="pct"/>
          </w:tcPr>
          <w:p w:rsidRPr="000B4D4D" w:rsidR="004814C6" w:rsidP="1A5CB1CB" w:rsidRDefault="004814C6" w14:paraId="360F12A1" w14:textId="77777777">
            <w:pPr>
              <w:rPr>
                <w:szCs w:val="18"/>
              </w:rPr>
            </w:pPr>
            <w:r w:rsidRPr="000B4D4D">
              <w:rPr>
                <w:szCs w:val="18"/>
              </w:rPr>
              <w:t>78</w:t>
            </w:r>
          </w:p>
        </w:tc>
        <w:tc>
          <w:tcPr>
            <w:tcW w:w="1408" w:type="pct"/>
          </w:tcPr>
          <w:p w:rsidRPr="000B4D4D" w:rsidR="004814C6" w:rsidP="1A5CB1CB" w:rsidRDefault="004814C6" w14:paraId="7B4A8A05" w14:textId="77777777">
            <w:pPr>
              <w:rPr>
                <w:szCs w:val="18"/>
              </w:rPr>
            </w:pPr>
            <w:r w:rsidRPr="000B4D4D">
              <w:rPr>
                <w:szCs w:val="18"/>
              </w:rPr>
              <w:t>Project Beethoven</w:t>
            </w:r>
          </w:p>
        </w:tc>
        <w:tc>
          <w:tcPr>
            <w:tcW w:w="626" w:type="pct"/>
          </w:tcPr>
          <w:p w:rsidRPr="000B4D4D" w:rsidR="004814C6" w:rsidP="002D5F54" w:rsidRDefault="004814C6" w14:paraId="759DD25B" w14:textId="77777777">
            <w:pPr>
              <w:spacing w:line="276" w:lineRule="auto"/>
              <w:rPr>
                <w:rStyle w:val="normaltextrun"/>
                <w:rFonts w:cs="Segoe UI"/>
                <w:szCs w:val="18"/>
              </w:rPr>
            </w:pPr>
          </w:p>
        </w:tc>
        <w:tc>
          <w:tcPr>
            <w:tcW w:w="625" w:type="pct"/>
          </w:tcPr>
          <w:p w:rsidRPr="000B4D4D" w:rsidR="004814C6" w:rsidP="002D5F54" w:rsidRDefault="004814C6" w14:paraId="429BE6AB" w14:textId="77777777">
            <w:pPr>
              <w:autoSpaceDE w:val="0"/>
              <w:autoSpaceDN w:val="0"/>
              <w:adjustRightInd w:val="0"/>
              <w:rPr>
                <w:rStyle w:val="normaltextrun"/>
                <w:rFonts w:eastAsia="Verdana" w:cs="Verdana"/>
                <w:szCs w:val="18"/>
              </w:rPr>
            </w:pPr>
          </w:p>
        </w:tc>
        <w:tc>
          <w:tcPr>
            <w:tcW w:w="1331" w:type="pct"/>
          </w:tcPr>
          <w:p w:rsidRPr="000B4D4D" w:rsidR="004814C6" w:rsidP="1A5CB1CB" w:rsidRDefault="004814C6" w14:paraId="71ED0077" w14:textId="77777777">
            <w:pPr>
              <w:spacing w:line="276" w:lineRule="auto"/>
              <w:rPr>
                <w:szCs w:val="18"/>
              </w:rPr>
            </w:pPr>
            <w:r w:rsidRPr="000B4D4D">
              <w:rPr>
                <w:szCs w:val="18"/>
              </w:rPr>
              <w:t>Sociale en economische veerkracht, inclusief de Europese Pijler van Sociale Rechten</w:t>
            </w:r>
          </w:p>
        </w:tc>
        <w:tc>
          <w:tcPr>
            <w:tcW w:w="700" w:type="pct"/>
          </w:tcPr>
          <w:p w:rsidRPr="000B4D4D" w:rsidR="004814C6" w:rsidP="1A5CB1CB" w:rsidRDefault="004814C6" w14:paraId="2C37C6F9" w14:textId="77777777">
            <w:pPr>
              <w:spacing w:line="276" w:lineRule="auto"/>
              <w:rPr>
                <w:szCs w:val="18"/>
              </w:rPr>
            </w:pPr>
            <w:r w:rsidRPr="000B4D4D">
              <w:rPr>
                <w:szCs w:val="18"/>
              </w:rPr>
              <w:t>On-track</w:t>
            </w:r>
          </w:p>
        </w:tc>
      </w:tr>
      <w:tr w:rsidRPr="000B4D4D" w:rsidR="004814C6" w:rsidTr="007A1844" w14:paraId="05853941" w14:textId="77777777">
        <w:trPr>
          <w:trHeight w:val="300"/>
        </w:trPr>
        <w:tc>
          <w:tcPr>
            <w:tcW w:w="4300" w:type="pct"/>
            <w:gridSpan w:val="5"/>
            <w:shd w:val="clear" w:color="auto" w:fill="DDEFF8"/>
          </w:tcPr>
          <w:p w:rsidRPr="000B4D4D" w:rsidR="004814C6" w:rsidP="00800A85" w:rsidRDefault="004814C6" w14:paraId="0BFEFEE0" w14:textId="77777777">
            <w:pPr>
              <w:spacing w:line="276" w:lineRule="auto"/>
              <w:rPr>
                <w:szCs w:val="18"/>
                <w:lang w:eastAsia="nl-NL"/>
              </w:rPr>
            </w:pPr>
            <w:r w:rsidRPr="000B4D4D">
              <w:rPr>
                <w:szCs w:val="18"/>
                <w:lang w:eastAsia="nl-NL"/>
              </w:rPr>
              <w:t>Energiezekerheid</w:t>
            </w:r>
          </w:p>
        </w:tc>
        <w:tc>
          <w:tcPr>
            <w:tcW w:w="700" w:type="pct"/>
            <w:shd w:val="clear" w:color="auto" w:fill="DDEFF8"/>
          </w:tcPr>
          <w:p w:rsidRPr="000B4D4D" w:rsidR="004814C6" w:rsidP="002D5F54" w:rsidRDefault="004814C6" w14:paraId="50847B91" w14:textId="77777777">
            <w:pPr>
              <w:spacing w:line="276" w:lineRule="auto"/>
              <w:rPr>
                <w:szCs w:val="18"/>
                <w:lang w:eastAsia="nl-NL"/>
              </w:rPr>
            </w:pPr>
          </w:p>
        </w:tc>
      </w:tr>
      <w:tr w:rsidRPr="000B4D4D" w:rsidR="004814C6" w:rsidTr="00A448E9" w14:paraId="207BC167" w14:textId="77777777">
        <w:trPr>
          <w:trHeight w:val="300"/>
        </w:trPr>
        <w:tc>
          <w:tcPr>
            <w:tcW w:w="4300" w:type="pct"/>
            <w:gridSpan w:val="5"/>
          </w:tcPr>
          <w:p w:rsidRPr="000B4D4D" w:rsidR="004814C6" w:rsidP="00800A85" w:rsidRDefault="004814C6" w14:paraId="62F22257" w14:textId="77777777">
            <w:pPr>
              <w:spacing w:line="276" w:lineRule="auto"/>
              <w:rPr>
                <w:b/>
                <w:bCs/>
                <w:szCs w:val="18"/>
                <w:lang w:eastAsia="nl-NL"/>
              </w:rPr>
            </w:pPr>
            <w:r w:rsidRPr="000B4D4D">
              <w:rPr>
                <w:b/>
                <w:bCs/>
                <w:szCs w:val="18"/>
                <w:lang w:eastAsia="nl-NL"/>
              </w:rPr>
              <w:t>Elektriciteitsnet</w:t>
            </w:r>
          </w:p>
        </w:tc>
        <w:tc>
          <w:tcPr>
            <w:tcW w:w="700" w:type="pct"/>
          </w:tcPr>
          <w:p w:rsidRPr="000B4D4D" w:rsidR="004814C6" w:rsidP="002D5F54" w:rsidRDefault="004814C6" w14:paraId="7E1C587D" w14:textId="77777777">
            <w:pPr>
              <w:spacing w:line="276" w:lineRule="auto"/>
              <w:rPr>
                <w:b/>
                <w:szCs w:val="18"/>
                <w:lang w:eastAsia="nl-NL"/>
              </w:rPr>
            </w:pPr>
          </w:p>
        </w:tc>
      </w:tr>
      <w:tr w:rsidRPr="000B4D4D" w:rsidR="00A448E9" w:rsidTr="00A448E9" w14:paraId="770930D0" w14:textId="77777777">
        <w:trPr>
          <w:trHeight w:val="300"/>
        </w:trPr>
        <w:tc>
          <w:tcPr>
            <w:tcW w:w="310" w:type="pct"/>
          </w:tcPr>
          <w:p w:rsidRPr="000B4D4D" w:rsidR="004814C6" w:rsidP="1A5CB1CB" w:rsidRDefault="004814C6" w14:paraId="46B747FC" w14:textId="77777777">
            <w:pPr>
              <w:rPr>
                <w:szCs w:val="18"/>
              </w:rPr>
            </w:pPr>
            <w:r w:rsidRPr="000B4D4D">
              <w:rPr>
                <w:szCs w:val="18"/>
              </w:rPr>
              <w:t>3</w:t>
            </w:r>
          </w:p>
        </w:tc>
        <w:tc>
          <w:tcPr>
            <w:tcW w:w="1408" w:type="pct"/>
          </w:tcPr>
          <w:p w:rsidRPr="000B4D4D" w:rsidR="004814C6" w:rsidRDefault="004814C6" w14:paraId="005177E6" w14:textId="5E5A710A">
            <w:pPr>
              <w:rPr>
                <w:szCs w:val="18"/>
                <w:lang w:eastAsia="nl-NL"/>
              </w:rPr>
            </w:pPr>
            <w:r w:rsidRPr="000B4D4D">
              <w:rPr>
                <w:rStyle w:val="normaltextrun"/>
                <w:rFonts w:cs="Segoe UI"/>
                <w:szCs w:val="18"/>
              </w:rPr>
              <w:t>Hervorming: Landelijke Actieprogramma Netcongestie</w:t>
            </w:r>
            <w:r w:rsidRPr="000B4D4D" w:rsidR="000E74B5">
              <w:rPr>
                <w:rStyle w:val="normaltextrun"/>
                <w:rFonts w:cs="Segoe UI"/>
                <w:szCs w:val="18"/>
              </w:rPr>
              <w:t>*</w:t>
            </w:r>
            <w:r w:rsidRPr="000B4D4D">
              <w:rPr>
                <w:rStyle w:val="eop"/>
                <w:rFonts w:cs="Segoe UI"/>
                <w:szCs w:val="18"/>
              </w:rPr>
              <w:t> </w:t>
            </w:r>
          </w:p>
        </w:tc>
        <w:tc>
          <w:tcPr>
            <w:tcW w:w="626" w:type="pct"/>
          </w:tcPr>
          <w:p w:rsidRPr="000B4D4D" w:rsidR="004814C6" w:rsidP="00800A85" w:rsidRDefault="004814C6" w14:paraId="507174DE" w14:textId="0082E7D8">
            <w:pPr>
              <w:spacing w:after="160" w:line="276" w:lineRule="auto"/>
              <w:rPr>
                <w:rFonts w:eastAsia="Verdana" w:cs="Verdana"/>
                <w:szCs w:val="18"/>
              </w:rPr>
            </w:pPr>
            <w:r w:rsidRPr="000B4D4D">
              <w:rPr>
                <w:rFonts w:eastAsia="Verdana" w:cs="Verdana"/>
                <w:szCs w:val="18"/>
              </w:rPr>
              <w:t>HVP (C8-R1)</w:t>
            </w:r>
          </w:p>
          <w:p w:rsidRPr="000B4D4D" w:rsidR="004814C6" w:rsidP="002D5F54" w:rsidRDefault="004814C6" w14:paraId="2B9D38F9" w14:textId="77777777">
            <w:pPr>
              <w:spacing w:line="276" w:lineRule="auto"/>
              <w:rPr>
                <w:szCs w:val="18"/>
                <w:lang w:eastAsia="nl-NL"/>
              </w:rPr>
            </w:pPr>
          </w:p>
        </w:tc>
        <w:tc>
          <w:tcPr>
            <w:tcW w:w="625" w:type="pct"/>
          </w:tcPr>
          <w:p w:rsidRPr="000B4D4D" w:rsidR="004814C6" w:rsidRDefault="004814C6" w14:paraId="499F85E4" w14:textId="492D838C">
            <w:pPr>
              <w:autoSpaceDE w:val="0"/>
              <w:autoSpaceDN w:val="0"/>
              <w:adjustRightInd w:val="0"/>
              <w:rPr>
                <w:szCs w:val="18"/>
                <w:lang w:eastAsia="nl-NL"/>
              </w:rPr>
            </w:pPr>
            <w:r w:rsidRPr="000B4D4D">
              <w:rPr>
                <w:rStyle w:val="normaltextrun"/>
                <w:rFonts w:cs="Segoe UI"/>
                <w:szCs w:val="18"/>
              </w:rPr>
              <w:t xml:space="preserve">2024.4.1 2023.4.2 2022.4.2 </w:t>
            </w:r>
          </w:p>
        </w:tc>
        <w:tc>
          <w:tcPr>
            <w:tcW w:w="1331" w:type="pct"/>
          </w:tcPr>
          <w:p w:rsidRPr="000B4D4D" w:rsidR="004814C6" w:rsidP="00800A85" w:rsidRDefault="004814C6" w14:paraId="07E06914" w14:textId="77777777">
            <w:pPr>
              <w:spacing w:line="276" w:lineRule="auto"/>
              <w:rPr>
                <w:szCs w:val="18"/>
                <w:lang w:eastAsia="nl-NL"/>
              </w:rPr>
            </w:pPr>
            <w:r w:rsidRPr="000B4D4D">
              <w:rPr>
                <w:rStyle w:val="normaltextrun"/>
                <w:rFonts w:cs="Segoe UI"/>
                <w:szCs w:val="18"/>
              </w:rPr>
              <w:t>Een eerlijke groene en digitale transitie, inclusief consistentie met de Europese Klimaatwet</w:t>
            </w:r>
            <w:r w:rsidRPr="000B4D4D">
              <w:rPr>
                <w:rStyle w:val="eop"/>
                <w:rFonts w:cs="Segoe UI"/>
                <w:szCs w:val="18"/>
              </w:rPr>
              <w:t>, Energiezekerheid</w:t>
            </w:r>
          </w:p>
        </w:tc>
        <w:tc>
          <w:tcPr>
            <w:tcW w:w="700" w:type="pct"/>
          </w:tcPr>
          <w:p w:rsidRPr="000B4D4D" w:rsidR="004814C6" w:rsidP="00800A85" w:rsidRDefault="004814C6" w14:paraId="472BD14C" w14:textId="77777777">
            <w:pPr>
              <w:spacing w:line="276" w:lineRule="auto"/>
              <w:rPr>
                <w:rStyle w:val="normaltextrun"/>
                <w:rFonts w:cs="Segoe UI"/>
                <w:szCs w:val="18"/>
                <w:highlight w:val="green"/>
              </w:rPr>
            </w:pPr>
            <w:r w:rsidRPr="000B4D4D">
              <w:rPr>
                <w:rStyle w:val="normaltextrun"/>
                <w:rFonts w:cs="Segoe UI"/>
                <w:szCs w:val="18"/>
              </w:rPr>
              <w:t>On-track</w:t>
            </w:r>
          </w:p>
        </w:tc>
      </w:tr>
      <w:tr w:rsidRPr="000B4D4D" w:rsidR="004814C6" w:rsidTr="00A448E9" w14:paraId="4BA768F4" w14:textId="77777777">
        <w:trPr>
          <w:trHeight w:val="300"/>
        </w:trPr>
        <w:tc>
          <w:tcPr>
            <w:tcW w:w="4300" w:type="pct"/>
            <w:gridSpan w:val="5"/>
          </w:tcPr>
          <w:p w:rsidRPr="000B4D4D" w:rsidR="004814C6" w:rsidP="00800A85" w:rsidRDefault="004814C6" w14:paraId="36A2A475" w14:textId="77777777">
            <w:pPr>
              <w:spacing w:line="276" w:lineRule="auto"/>
              <w:rPr>
                <w:b/>
                <w:bCs/>
                <w:szCs w:val="18"/>
                <w:lang w:eastAsia="nl-NL"/>
              </w:rPr>
            </w:pPr>
            <w:r w:rsidRPr="000B4D4D">
              <w:rPr>
                <w:b/>
                <w:bCs/>
                <w:szCs w:val="18"/>
                <w:lang w:eastAsia="nl-NL"/>
              </w:rPr>
              <w:t>Energie-efficiëntie, met name in de gebouwde omgeving</w:t>
            </w:r>
          </w:p>
        </w:tc>
        <w:tc>
          <w:tcPr>
            <w:tcW w:w="700" w:type="pct"/>
          </w:tcPr>
          <w:p w:rsidRPr="000B4D4D" w:rsidR="004814C6" w:rsidP="002D5F54" w:rsidRDefault="004814C6" w14:paraId="188BF0F3" w14:textId="77777777">
            <w:pPr>
              <w:spacing w:line="276" w:lineRule="auto"/>
              <w:rPr>
                <w:b/>
                <w:szCs w:val="18"/>
                <w:lang w:eastAsia="nl-NL"/>
              </w:rPr>
            </w:pPr>
          </w:p>
        </w:tc>
      </w:tr>
      <w:tr w:rsidRPr="000B4D4D" w:rsidR="00A448E9" w:rsidTr="00A448E9" w14:paraId="1EB05B6B" w14:textId="77777777">
        <w:trPr>
          <w:trHeight w:val="300"/>
        </w:trPr>
        <w:tc>
          <w:tcPr>
            <w:tcW w:w="310" w:type="pct"/>
          </w:tcPr>
          <w:p w:rsidRPr="000B4D4D" w:rsidR="004814C6" w:rsidP="1A5CB1CB" w:rsidRDefault="004814C6" w14:paraId="707227D6" w14:textId="77777777">
            <w:pPr>
              <w:rPr>
                <w:szCs w:val="18"/>
              </w:rPr>
            </w:pPr>
            <w:r w:rsidRPr="000B4D4D">
              <w:rPr>
                <w:szCs w:val="18"/>
              </w:rPr>
              <w:t>10</w:t>
            </w:r>
          </w:p>
        </w:tc>
        <w:tc>
          <w:tcPr>
            <w:tcW w:w="1408" w:type="pct"/>
          </w:tcPr>
          <w:p w:rsidRPr="000B4D4D" w:rsidR="004814C6" w:rsidRDefault="004814C6" w14:paraId="666F3CB8" w14:textId="6BD17AA1">
            <w:pPr>
              <w:rPr>
                <w:szCs w:val="18"/>
                <w:lang w:eastAsia="nl-NL"/>
              </w:rPr>
            </w:pPr>
            <w:r w:rsidRPr="000B4D4D">
              <w:rPr>
                <w:rStyle w:val="normaltextrun"/>
                <w:rFonts w:cs="Segoe UI"/>
                <w:szCs w:val="18"/>
              </w:rPr>
              <w:t xml:space="preserve">Hervorming: </w:t>
            </w:r>
            <w:r w:rsidRPr="000B4D4D">
              <w:rPr>
                <w:rStyle w:val="scxw52732128"/>
                <w:rFonts w:cs="Segoe UI"/>
                <w:szCs w:val="18"/>
              </w:rPr>
              <w:t> </w:t>
            </w:r>
            <w:r w:rsidRPr="000B4D4D">
              <w:rPr>
                <w:szCs w:val="18"/>
              </w:rPr>
              <w:br/>
            </w:r>
            <w:r w:rsidRPr="000B4D4D">
              <w:rPr>
                <w:rStyle w:val="normaltextrun"/>
                <w:rFonts w:cs="Segoe UI"/>
                <w:szCs w:val="18"/>
              </w:rPr>
              <w:t>Actualisering van de Energiebesparingsplicht</w:t>
            </w:r>
            <w:r w:rsidRPr="000B4D4D" w:rsidR="000E74B5">
              <w:rPr>
                <w:rStyle w:val="normaltextrun"/>
                <w:rFonts w:cs="Segoe UI"/>
                <w:szCs w:val="18"/>
              </w:rPr>
              <w:t>*</w:t>
            </w:r>
          </w:p>
        </w:tc>
        <w:tc>
          <w:tcPr>
            <w:tcW w:w="626" w:type="pct"/>
          </w:tcPr>
          <w:p w:rsidRPr="000B4D4D" w:rsidR="004814C6" w:rsidP="00800A85" w:rsidRDefault="004814C6" w14:paraId="547941F9" w14:textId="77777777">
            <w:pPr>
              <w:spacing w:line="276" w:lineRule="auto"/>
              <w:rPr>
                <w:szCs w:val="18"/>
                <w:lang w:eastAsia="nl-NL"/>
              </w:rPr>
            </w:pPr>
            <w:r w:rsidRPr="000B4D4D">
              <w:rPr>
                <w:szCs w:val="18"/>
              </w:rPr>
              <w:t>-</w:t>
            </w:r>
          </w:p>
        </w:tc>
        <w:tc>
          <w:tcPr>
            <w:tcW w:w="625" w:type="pct"/>
          </w:tcPr>
          <w:p w:rsidRPr="000B4D4D" w:rsidR="004814C6" w:rsidP="00800A85" w:rsidRDefault="004814C6" w14:paraId="4AE4D336" w14:textId="77777777">
            <w:pPr>
              <w:pStyle w:val="paragraph"/>
              <w:spacing w:before="0" w:beforeAutospacing="0" w:after="0" w:afterAutospacing="0"/>
              <w:textAlignment w:val="baseline"/>
              <w:rPr>
                <w:rFonts w:ascii="Verdana" w:hAnsi="Verdana" w:cs="Segoe UI"/>
                <w:sz w:val="18"/>
                <w:szCs w:val="18"/>
                <w:lang w:val="en-US"/>
              </w:rPr>
            </w:pPr>
            <w:r w:rsidRPr="000B4D4D">
              <w:rPr>
                <w:rStyle w:val="normaltextrun"/>
                <w:rFonts w:ascii="Verdana" w:hAnsi="Verdana" w:cs="Segoe UI"/>
                <w:sz w:val="18"/>
                <w:szCs w:val="18"/>
                <w:lang w:val="en-US"/>
              </w:rPr>
              <w:t>2023.4.3</w:t>
            </w:r>
            <w:r w:rsidRPr="000B4D4D">
              <w:rPr>
                <w:rStyle w:val="normaltextrun"/>
                <w:rFonts w:ascii="Verdana" w:hAnsi="Verdana"/>
                <w:sz w:val="18"/>
                <w:szCs w:val="18"/>
              </w:rPr>
              <w:t xml:space="preserve"> </w:t>
            </w:r>
          </w:p>
          <w:p w:rsidRPr="000B4D4D" w:rsidR="004814C6" w:rsidRDefault="004814C6" w14:paraId="47878BB8" w14:textId="77777777">
            <w:pPr>
              <w:autoSpaceDE w:val="0"/>
              <w:autoSpaceDN w:val="0"/>
              <w:adjustRightInd w:val="0"/>
              <w:rPr>
                <w:szCs w:val="18"/>
                <w:lang w:eastAsia="nl-NL"/>
              </w:rPr>
            </w:pPr>
            <w:r w:rsidRPr="000B4D4D">
              <w:rPr>
                <w:rStyle w:val="normaltextrun"/>
                <w:rFonts w:cs="Segoe UI"/>
                <w:szCs w:val="18"/>
                <w:lang w:val="en-US"/>
              </w:rPr>
              <w:t xml:space="preserve">2022.4.3 </w:t>
            </w:r>
          </w:p>
        </w:tc>
        <w:tc>
          <w:tcPr>
            <w:tcW w:w="1331" w:type="pct"/>
          </w:tcPr>
          <w:p w:rsidRPr="000B4D4D" w:rsidR="004814C6" w:rsidP="00800A85" w:rsidRDefault="004814C6" w14:paraId="3607E829" w14:textId="77777777">
            <w:pPr>
              <w:spacing w:line="276" w:lineRule="auto"/>
              <w:rPr>
                <w:szCs w:val="18"/>
                <w:lang w:eastAsia="nl-NL"/>
              </w:rPr>
            </w:pPr>
            <w:r w:rsidRPr="000B4D4D">
              <w:rPr>
                <w:rStyle w:val="normaltextrun"/>
                <w:rFonts w:cs="Segoe UI"/>
                <w:szCs w:val="18"/>
                <w:lang w:val="en-US"/>
              </w:rPr>
              <w:t>Energiezekerheid</w:t>
            </w:r>
            <w:r w:rsidRPr="000B4D4D">
              <w:rPr>
                <w:rStyle w:val="eop"/>
                <w:rFonts w:cs="Segoe UI"/>
                <w:szCs w:val="18"/>
              </w:rPr>
              <w:t> </w:t>
            </w:r>
          </w:p>
        </w:tc>
        <w:tc>
          <w:tcPr>
            <w:tcW w:w="700" w:type="pct"/>
          </w:tcPr>
          <w:p w:rsidRPr="000B4D4D" w:rsidR="004814C6" w:rsidP="00800A85" w:rsidRDefault="004814C6" w14:paraId="68625052" w14:textId="77777777">
            <w:pPr>
              <w:spacing w:line="276" w:lineRule="auto"/>
              <w:rPr>
                <w:rStyle w:val="normaltextrun"/>
                <w:rFonts w:cs="Segoe UI"/>
                <w:szCs w:val="18"/>
                <w:highlight w:val="green"/>
                <w:lang w:val="en-US"/>
              </w:rPr>
            </w:pPr>
            <w:r w:rsidRPr="000B4D4D">
              <w:rPr>
                <w:rStyle w:val="normaltextrun"/>
                <w:rFonts w:cs="Segoe UI"/>
                <w:szCs w:val="18"/>
                <w:lang w:val="en-US"/>
              </w:rPr>
              <w:t>Completed</w:t>
            </w:r>
          </w:p>
        </w:tc>
      </w:tr>
      <w:tr w:rsidRPr="000B4D4D" w:rsidR="004814C6" w:rsidTr="00A448E9" w14:paraId="08F1616B" w14:textId="77777777">
        <w:trPr>
          <w:trHeight w:val="300"/>
        </w:trPr>
        <w:tc>
          <w:tcPr>
            <w:tcW w:w="4300" w:type="pct"/>
            <w:gridSpan w:val="5"/>
          </w:tcPr>
          <w:p w:rsidRPr="000B4D4D" w:rsidR="004814C6" w:rsidP="00800A85" w:rsidRDefault="004814C6" w14:paraId="6EAFD47C" w14:textId="77777777">
            <w:pPr>
              <w:spacing w:line="276" w:lineRule="auto"/>
              <w:rPr>
                <w:b/>
                <w:bCs/>
                <w:szCs w:val="18"/>
                <w:lang w:eastAsia="nl-NL"/>
              </w:rPr>
            </w:pPr>
            <w:r w:rsidRPr="000B4D4D">
              <w:rPr>
                <w:b/>
                <w:bCs/>
                <w:szCs w:val="18"/>
                <w:lang w:eastAsia="nl-NL"/>
              </w:rPr>
              <w:t>Overige maatregelen</w:t>
            </w:r>
          </w:p>
        </w:tc>
        <w:tc>
          <w:tcPr>
            <w:tcW w:w="700" w:type="pct"/>
          </w:tcPr>
          <w:p w:rsidRPr="000B4D4D" w:rsidR="004814C6" w:rsidP="002D5F54" w:rsidRDefault="004814C6" w14:paraId="6A779739" w14:textId="77777777">
            <w:pPr>
              <w:spacing w:line="276" w:lineRule="auto"/>
              <w:rPr>
                <w:b/>
                <w:szCs w:val="18"/>
                <w:highlight w:val="green"/>
                <w:lang w:eastAsia="nl-NL"/>
              </w:rPr>
            </w:pPr>
          </w:p>
        </w:tc>
      </w:tr>
      <w:tr w:rsidRPr="000B4D4D" w:rsidR="00A448E9" w:rsidTr="00A448E9" w14:paraId="13518D22" w14:textId="77777777">
        <w:trPr>
          <w:trHeight w:val="300"/>
        </w:trPr>
        <w:tc>
          <w:tcPr>
            <w:tcW w:w="310" w:type="pct"/>
          </w:tcPr>
          <w:p w:rsidRPr="000B4D4D" w:rsidR="004814C6" w:rsidP="1A5CB1CB" w:rsidRDefault="004814C6" w14:paraId="2F32F514" w14:textId="77777777">
            <w:pPr>
              <w:rPr>
                <w:szCs w:val="18"/>
              </w:rPr>
            </w:pPr>
            <w:r w:rsidRPr="000B4D4D">
              <w:rPr>
                <w:szCs w:val="18"/>
              </w:rPr>
              <w:lastRenderedPageBreak/>
              <w:t>63</w:t>
            </w:r>
          </w:p>
        </w:tc>
        <w:tc>
          <w:tcPr>
            <w:tcW w:w="1408" w:type="pct"/>
          </w:tcPr>
          <w:p w:rsidRPr="000B4D4D" w:rsidR="004814C6" w:rsidRDefault="004814C6" w14:paraId="50F0C460" w14:textId="739A38B9">
            <w:pPr>
              <w:rPr>
                <w:szCs w:val="18"/>
                <w:lang w:eastAsia="nl-NL"/>
              </w:rPr>
            </w:pPr>
            <w:r w:rsidRPr="000B4D4D">
              <w:rPr>
                <w:rStyle w:val="normaltextrun"/>
                <w:rFonts w:cs="Segoe UI"/>
                <w:szCs w:val="18"/>
              </w:rPr>
              <w:t>Hervorming: Nieuwe Energiewet</w:t>
            </w:r>
            <w:r w:rsidRPr="000B4D4D" w:rsidR="000E74B5">
              <w:rPr>
                <w:rStyle w:val="normaltextrun"/>
                <w:rFonts w:cs="Segoe UI"/>
                <w:szCs w:val="18"/>
              </w:rPr>
              <w:t>*</w:t>
            </w:r>
          </w:p>
        </w:tc>
        <w:tc>
          <w:tcPr>
            <w:tcW w:w="626" w:type="pct"/>
          </w:tcPr>
          <w:p w:rsidRPr="000B4D4D" w:rsidR="004814C6" w:rsidP="00800A85" w:rsidRDefault="004814C6" w14:paraId="3FAA74FC" w14:textId="77777777">
            <w:pPr>
              <w:spacing w:line="276" w:lineRule="auto"/>
              <w:rPr>
                <w:szCs w:val="18"/>
                <w:lang w:eastAsia="nl-NL"/>
              </w:rPr>
            </w:pPr>
            <w:r w:rsidRPr="000B4D4D">
              <w:rPr>
                <w:rFonts w:eastAsia="Verdana" w:cs="Verdana"/>
                <w:szCs w:val="18"/>
              </w:rPr>
              <w:t>HVP (C1.1 R5-1)</w:t>
            </w:r>
          </w:p>
        </w:tc>
        <w:tc>
          <w:tcPr>
            <w:tcW w:w="625" w:type="pct"/>
          </w:tcPr>
          <w:p w:rsidRPr="000B4D4D" w:rsidR="004814C6" w:rsidRDefault="004814C6" w14:paraId="0956C6C9" w14:textId="77777777">
            <w:pPr>
              <w:autoSpaceDE w:val="0"/>
              <w:autoSpaceDN w:val="0"/>
              <w:adjustRightInd w:val="0"/>
              <w:rPr>
                <w:szCs w:val="18"/>
                <w:lang w:eastAsia="nl-NL"/>
              </w:rPr>
            </w:pPr>
            <w:r w:rsidRPr="000B4D4D">
              <w:rPr>
                <w:rStyle w:val="eop"/>
                <w:rFonts w:cs="Segoe UI"/>
                <w:szCs w:val="18"/>
              </w:rPr>
              <w:t>2023.4.2</w:t>
            </w:r>
          </w:p>
          <w:p w:rsidRPr="000B4D4D" w:rsidR="004814C6" w:rsidRDefault="004814C6" w14:paraId="6114BB53" w14:textId="77777777">
            <w:pPr>
              <w:autoSpaceDE w:val="0"/>
              <w:autoSpaceDN w:val="0"/>
              <w:adjustRightInd w:val="0"/>
              <w:rPr>
                <w:rStyle w:val="eop"/>
                <w:rFonts w:cs="Segoe UI"/>
                <w:szCs w:val="18"/>
              </w:rPr>
            </w:pPr>
            <w:r w:rsidRPr="000B4D4D">
              <w:rPr>
                <w:rStyle w:val="eop"/>
                <w:rFonts w:cs="Segoe UI"/>
                <w:szCs w:val="18"/>
              </w:rPr>
              <w:t>2023.4.1</w:t>
            </w:r>
          </w:p>
          <w:p w:rsidRPr="000B4D4D" w:rsidR="004814C6" w:rsidRDefault="004814C6" w14:paraId="736342BB" w14:textId="77777777">
            <w:pPr>
              <w:autoSpaceDE w:val="0"/>
              <w:autoSpaceDN w:val="0"/>
              <w:adjustRightInd w:val="0"/>
              <w:rPr>
                <w:rStyle w:val="eop"/>
                <w:rFonts w:cs="Segoe UI"/>
                <w:szCs w:val="18"/>
              </w:rPr>
            </w:pPr>
            <w:r w:rsidRPr="000B4D4D">
              <w:rPr>
                <w:rStyle w:val="eop"/>
                <w:rFonts w:cs="Segoe UI"/>
                <w:szCs w:val="18"/>
              </w:rPr>
              <w:t>2022.4.1</w:t>
            </w:r>
          </w:p>
          <w:p w:rsidRPr="000B4D4D" w:rsidR="004814C6" w:rsidRDefault="004814C6" w14:paraId="4203E922" w14:textId="77777777">
            <w:pPr>
              <w:autoSpaceDE w:val="0"/>
              <w:autoSpaceDN w:val="0"/>
              <w:adjustRightInd w:val="0"/>
              <w:rPr>
                <w:rStyle w:val="eop"/>
                <w:rFonts w:cs="Segoe UI"/>
                <w:szCs w:val="18"/>
              </w:rPr>
            </w:pPr>
            <w:r w:rsidRPr="000B4D4D">
              <w:rPr>
                <w:rStyle w:val="eop"/>
                <w:rFonts w:cs="Segoe UI"/>
                <w:szCs w:val="18"/>
              </w:rPr>
              <w:t>2022.4.2</w:t>
            </w:r>
          </w:p>
          <w:p w:rsidRPr="000B4D4D" w:rsidR="004814C6" w:rsidRDefault="004814C6" w14:paraId="2B139817" w14:textId="77777777">
            <w:pPr>
              <w:autoSpaceDE w:val="0"/>
              <w:autoSpaceDN w:val="0"/>
              <w:adjustRightInd w:val="0"/>
              <w:rPr>
                <w:rStyle w:val="eop"/>
                <w:rFonts w:cs="Segoe UI"/>
                <w:szCs w:val="18"/>
              </w:rPr>
            </w:pPr>
            <w:r w:rsidRPr="000B4D4D">
              <w:rPr>
                <w:rStyle w:val="eop"/>
                <w:rFonts w:cs="Segoe UI"/>
                <w:szCs w:val="18"/>
              </w:rPr>
              <w:t>2020.3.4</w:t>
            </w:r>
          </w:p>
          <w:p w:rsidRPr="000B4D4D" w:rsidR="004814C6" w:rsidRDefault="004814C6" w14:paraId="29BE82EC" w14:textId="77777777">
            <w:pPr>
              <w:autoSpaceDE w:val="0"/>
              <w:autoSpaceDN w:val="0"/>
              <w:adjustRightInd w:val="0"/>
              <w:rPr>
                <w:rStyle w:val="eop"/>
                <w:rFonts w:cs="Segoe UI"/>
                <w:szCs w:val="18"/>
              </w:rPr>
            </w:pPr>
            <w:r w:rsidRPr="000B4D4D">
              <w:rPr>
                <w:rStyle w:val="eop"/>
                <w:rFonts w:cs="Segoe UI"/>
                <w:szCs w:val="18"/>
              </w:rPr>
              <w:t>2019.3.3</w:t>
            </w:r>
          </w:p>
        </w:tc>
        <w:tc>
          <w:tcPr>
            <w:tcW w:w="1331" w:type="pct"/>
          </w:tcPr>
          <w:p w:rsidRPr="000B4D4D" w:rsidR="004814C6" w:rsidP="00800A85" w:rsidRDefault="004814C6" w14:paraId="0CB1660A" w14:textId="77777777">
            <w:pPr>
              <w:spacing w:line="276" w:lineRule="auto"/>
              <w:rPr>
                <w:szCs w:val="18"/>
                <w:lang w:eastAsia="nl-NL"/>
              </w:rPr>
            </w:pPr>
            <w:r w:rsidRPr="000B4D4D">
              <w:rPr>
                <w:rStyle w:val="normaltextrun"/>
                <w:rFonts w:cs="Segoe UI"/>
                <w:szCs w:val="18"/>
              </w:rPr>
              <w:t>Energiezekerheid</w:t>
            </w:r>
            <w:r w:rsidRPr="000B4D4D">
              <w:rPr>
                <w:rStyle w:val="eop"/>
                <w:rFonts w:cs="Segoe UI"/>
                <w:szCs w:val="18"/>
              </w:rPr>
              <w:t> </w:t>
            </w:r>
          </w:p>
        </w:tc>
        <w:tc>
          <w:tcPr>
            <w:tcW w:w="700" w:type="pct"/>
          </w:tcPr>
          <w:p w:rsidRPr="000B4D4D" w:rsidR="004814C6" w:rsidP="00800A85" w:rsidRDefault="004814C6" w14:paraId="0CA439FE" w14:textId="77777777">
            <w:pPr>
              <w:spacing w:line="276" w:lineRule="auto"/>
              <w:rPr>
                <w:rStyle w:val="normaltextrun"/>
                <w:rFonts w:cs="Segoe UI"/>
                <w:szCs w:val="18"/>
                <w:highlight w:val="green"/>
              </w:rPr>
            </w:pPr>
            <w:r w:rsidRPr="000B4D4D">
              <w:rPr>
                <w:rStyle w:val="normaltextrun"/>
                <w:rFonts w:cs="Segoe UI"/>
                <w:szCs w:val="18"/>
              </w:rPr>
              <w:t>Completed</w:t>
            </w:r>
          </w:p>
        </w:tc>
      </w:tr>
      <w:tr w:rsidRPr="000B4D4D" w:rsidR="00A448E9" w:rsidTr="00A448E9" w14:paraId="748A103D" w14:textId="77777777">
        <w:trPr>
          <w:trHeight w:val="300"/>
        </w:trPr>
        <w:tc>
          <w:tcPr>
            <w:tcW w:w="310" w:type="pct"/>
          </w:tcPr>
          <w:p w:rsidRPr="000B4D4D" w:rsidR="004814C6" w:rsidP="1A5CB1CB" w:rsidRDefault="004814C6" w14:paraId="3AA00C3F" w14:textId="77777777">
            <w:pPr>
              <w:rPr>
                <w:szCs w:val="18"/>
              </w:rPr>
            </w:pPr>
            <w:r w:rsidRPr="000B4D4D">
              <w:rPr>
                <w:szCs w:val="18"/>
              </w:rPr>
              <w:t>64</w:t>
            </w:r>
          </w:p>
        </w:tc>
        <w:tc>
          <w:tcPr>
            <w:tcW w:w="1408" w:type="pct"/>
          </w:tcPr>
          <w:p w:rsidRPr="000B4D4D" w:rsidR="004814C6" w:rsidRDefault="004814C6" w14:paraId="29029DE3" w14:textId="77777777">
            <w:pPr>
              <w:rPr>
                <w:szCs w:val="18"/>
                <w:lang w:eastAsia="nl-NL"/>
              </w:rPr>
            </w:pPr>
            <w:r w:rsidRPr="000B4D4D">
              <w:rPr>
                <w:rStyle w:val="normaltextrun"/>
                <w:rFonts w:cs="Segoe UI"/>
                <w:szCs w:val="18"/>
              </w:rPr>
              <w:t>Hervorming: Wet bestrijding Energieleveringscrisis</w:t>
            </w:r>
            <w:r w:rsidRPr="000B4D4D">
              <w:rPr>
                <w:rStyle w:val="eop"/>
                <w:rFonts w:cs="Segoe UI"/>
                <w:szCs w:val="18"/>
              </w:rPr>
              <w:t> </w:t>
            </w:r>
          </w:p>
        </w:tc>
        <w:tc>
          <w:tcPr>
            <w:tcW w:w="626" w:type="pct"/>
          </w:tcPr>
          <w:p w:rsidRPr="000B4D4D" w:rsidR="004814C6" w:rsidP="00800A85" w:rsidRDefault="004814C6" w14:paraId="646FCE80"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3051F7D1" w14:textId="77777777">
            <w:pPr>
              <w:autoSpaceDE w:val="0"/>
              <w:autoSpaceDN w:val="0"/>
              <w:adjustRightInd w:val="0"/>
              <w:rPr>
                <w:szCs w:val="18"/>
                <w:lang w:eastAsia="nl-NL"/>
              </w:rPr>
            </w:pPr>
            <w:r w:rsidRPr="000B4D4D">
              <w:rPr>
                <w:rStyle w:val="eop"/>
                <w:rFonts w:cs="Segoe UI"/>
                <w:szCs w:val="18"/>
              </w:rPr>
              <w:t> -</w:t>
            </w:r>
          </w:p>
        </w:tc>
        <w:tc>
          <w:tcPr>
            <w:tcW w:w="1331" w:type="pct"/>
          </w:tcPr>
          <w:p w:rsidRPr="000B4D4D" w:rsidR="004814C6" w:rsidP="00800A85" w:rsidRDefault="004814C6" w14:paraId="539CD54E" w14:textId="77777777">
            <w:pPr>
              <w:spacing w:line="276" w:lineRule="auto"/>
              <w:rPr>
                <w:szCs w:val="18"/>
                <w:lang w:eastAsia="nl-NL"/>
              </w:rPr>
            </w:pPr>
            <w:r w:rsidRPr="000B4D4D">
              <w:rPr>
                <w:rStyle w:val="normaltextrun"/>
                <w:rFonts w:cs="Segoe UI"/>
                <w:szCs w:val="18"/>
              </w:rPr>
              <w:t>Energiezekerheid</w:t>
            </w:r>
            <w:r w:rsidRPr="000B4D4D">
              <w:rPr>
                <w:rStyle w:val="eop"/>
                <w:rFonts w:cs="Segoe UI"/>
                <w:szCs w:val="18"/>
              </w:rPr>
              <w:t> </w:t>
            </w:r>
          </w:p>
        </w:tc>
        <w:tc>
          <w:tcPr>
            <w:tcW w:w="700" w:type="pct"/>
          </w:tcPr>
          <w:p w:rsidRPr="000B4D4D" w:rsidR="004814C6" w:rsidRDefault="004814C6" w14:paraId="42AFFD02" w14:textId="77777777">
            <w:pPr>
              <w:rPr>
                <w:rFonts w:cs="Segoe UI"/>
                <w:szCs w:val="18"/>
              </w:rPr>
            </w:pPr>
            <w:r w:rsidRPr="000B4D4D">
              <w:rPr>
                <w:rFonts w:cs="Segoe UI"/>
                <w:szCs w:val="18"/>
              </w:rPr>
              <w:t>On-track</w:t>
            </w:r>
          </w:p>
        </w:tc>
      </w:tr>
      <w:tr w:rsidRPr="000B4D4D" w:rsidR="00A448E9" w:rsidTr="00A448E9" w14:paraId="782561E1" w14:textId="77777777">
        <w:trPr>
          <w:trHeight w:val="300"/>
        </w:trPr>
        <w:tc>
          <w:tcPr>
            <w:tcW w:w="310" w:type="pct"/>
          </w:tcPr>
          <w:p w:rsidRPr="000B4D4D" w:rsidR="004814C6" w:rsidP="1A5CB1CB" w:rsidRDefault="004814C6" w14:paraId="6F9DDE2E" w14:textId="77777777">
            <w:pPr>
              <w:rPr>
                <w:szCs w:val="18"/>
              </w:rPr>
            </w:pPr>
            <w:r w:rsidRPr="000B4D4D">
              <w:rPr>
                <w:szCs w:val="18"/>
              </w:rPr>
              <w:t>65</w:t>
            </w:r>
          </w:p>
        </w:tc>
        <w:tc>
          <w:tcPr>
            <w:tcW w:w="1408" w:type="pct"/>
          </w:tcPr>
          <w:p w:rsidRPr="000B4D4D" w:rsidR="004814C6" w:rsidRDefault="004814C6" w14:paraId="16618BD1" w14:textId="2C0CF38D">
            <w:pPr>
              <w:rPr>
                <w:szCs w:val="18"/>
                <w:lang w:eastAsia="nl-NL"/>
              </w:rPr>
            </w:pPr>
            <w:r w:rsidRPr="000B4D4D">
              <w:rPr>
                <w:rStyle w:val="normaltextrun"/>
                <w:rFonts w:cs="Segoe UI"/>
                <w:szCs w:val="18"/>
              </w:rPr>
              <w:t>Hervorming/Investering: Aanpassing Wet Voorraadvorming Aardolieproducten</w:t>
            </w:r>
            <w:r w:rsidRPr="000B4D4D" w:rsidR="000E74B5">
              <w:rPr>
                <w:rStyle w:val="normaltextrun"/>
                <w:rFonts w:cs="Segoe UI"/>
                <w:szCs w:val="18"/>
              </w:rPr>
              <w:t>*</w:t>
            </w:r>
          </w:p>
        </w:tc>
        <w:tc>
          <w:tcPr>
            <w:tcW w:w="626" w:type="pct"/>
          </w:tcPr>
          <w:p w:rsidRPr="000B4D4D" w:rsidR="004814C6" w:rsidP="00800A85" w:rsidRDefault="004814C6" w14:paraId="373D8334"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4DDF3729" w14:textId="77777777">
            <w:pPr>
              <w:autoSpaceDE w:val="0"/>
              <w:autoSpaceDN w:val="0"/>
              <w:adjustRightInd w:val="0"/>
              <w:rPr>
                <w:szCs w:val="18"/>
                <w:lang w:eastAsia="nl-NL"/>
              </w:rPr>
            </w:pPr>
            <w:r w:rsidRPr="000B4D4D">
              <w:rPr>
                <w:rStyle w:val="eop"/>
                <w:rFonts w:cs="Segoe UI"/>
                <w:szCs w:val="18"/>
              </w:rPr>
              <w:t> -</w:t>
            </w:r>
          </w:p>
        </w:tc>
        <w:tc>
          <w:tcPr>
            <w:tcW w:w="1331" w:type="pct"/>
          </w:tcPr>
          <w:p w:rsidRPr="000B4D4D" w:rsidR="004814C6" w:rsidP="00800A85" w:rsidRDefault="004814C6" w14:paraId="0753EE80" w14:textId="77777777">
            <w:pPr>
              <w:spacing w:line="276" w:lineRule="auto"/>
              <w:rPr>
                <w:szCs w:val="18"/>
                <w:lang w:eastAsia="nl-NL"/>
              </w:rPr>
            </w:pPr>
            <w:r w:rsidRPr="000B4D4D">
              <w:rPr>
                <w:rStyle w:val="normaltextrun"/>
                <w:rFonts w:cs="Segoe UI"/>
                <w:szCs w:val="18"/>
              </w:rPr>
              <w:t>Energiezekerheid</w:t>
            </w:r>
            <w:r w:rsidRPr="000B4D4D">
              <w:rPr>
                <w:rStyle w:val="eop"/>
                <w:rFonts w:cs="Segoe UI"/>
                <w:szCs w:val="18"/>
              </w:rPr>
              <w:t> </w:t>
            </w:r>
          </w:p>
        </w:tc>
        <w:tc>
          <w:tcPr>
            <w:tcW w:w="700" w:type="pct"/>
          </w:tcPr>
          <w:p w:rsidRPr="000B4D4D" w:rsidR="004814C6" w:rsidP="00800A85" w:rsidRDefault="00CB6EEF" w14:paraId="39F1465E" w14:textId="624BB5E7">
            <w:pPr>
              <w:spacing w:line="276" w:lineRule="auto"/>
              <w:rPr>
                <w:rStyle w:val="normaltextrun"/>
                <w:rFonts w:cs="Segoe UI"/>
                <w:szCs w:val="18"/>
              </w:rPr>
            </w:pPr>
            <w:r w:rsidRPr="000B4D4D">
              <w:rPr>
                <w:rStyle w:val="normaltextrun"/>
                <w:rFonts w:cs="Segoe UI"/>
                <w:szCs w:val="18"/>
              </w:rPr>
              <w:t>Delayed</w:t>
            </w:r>
          </w:p>
        </w:tc>
      </w:tr>
      <w:tr w:rsidRPr="000B4D4D" w:rsidR="00A448E9" w:rsidTr="00A448E9" w14:paraId="107D9BFA" w14:textId="77777777">
        <w:trPr>
          <w:trHeight w:val="300"/>
        </w:trPr>
        <w:tc>
          <w:tcPr>
            <w:tcW w:w="310" w:type="pct"/>
          </w:tcPr>
          <w:p w:rsidRPr="000B4D4D" w:rsidR="004814C6" w:rsidP="1A5CB1CB" w:rsidRDefault="004814C6" w14:paraId="4D28FDDB" w14:textId="77777777">
            <w:pPr>
              <w:rPr>
                <w:szCs w:val="18"/>
              </w:rPr>
            </w:pPr>
            <w:r w:rsidRPr="000B4D4D">
              <w:rPr>
                <w:szCs w:val="18"/>
              </w:rPr>
              <w:t>66</w:t>
            </w:r>
          </w:p>
        </w:tc>
        <w:tc>
          <w:tcPr>
            <w:tcW w:w="1408" w:type="pct"/>
          </w:tcPr>
          <w:p w:rsidRPr="000B4D4D" w:rsidR="004814C6" w:rsidRDefault="004814C6" w14:paraId="389FA3FC" w14:textId="77DACBF8">
            <w:pPr>
              <w:rPr>
                <w:szCs w:val="18"/>
                <w:lang w:eastAsia="nl-NL"/>
              </w:rPr>
            </w:pPr>
            <w:r w:rsidRPr="000B4D4D">
              <w:rPr>
                <w:rStyle w:val="normaltextrun"/>
                <w:rFonts w:cs="Segoe UI"/>
                <w:szCs w:val="18"/>
              </w:rPr>
              <w:t>Hervorming/Investering: CER/NIS</w:t>
            </w:r>
            <w:r w:rsidRPr="000B4D4D" w:rsidR="000E74B5">
              <w:rPr>
                <w:rStyle w:val="normaltextrun"/>
                <w:rFonts w:cs="Segoe UI"/>
                <w:szCs w:val="18"/>
              </w:rPr>
              <w:t>*</w:t>
            </w:r>
            <w:r w:rsidRPr="000B4D4D">
              <w:rPr>
                <w:rStyle w:val="eop"/>
                <w:rFonts w:cs="Segoe UI"/>
                <w:szCs w:val="18"/>
              </w:rPr>
              <w:t> </w:t>
            </w:r>
          </w:p>
        </w:tc>
        <w:tc>
          <w:tcPr>
            <w:tcW w:w="626" w:type="pct"/>
          </w:tcPr>
          <w:p w:rsidRPr="000B4D4D" w:rsidR="004814C6" w:rsidP="00800A85" w:rsidRDefault="004814C6" w14:paraId="5F62C3D3" w14:textId="77777777">
            <w:pPr>
              <w:spacing w:line="276" w:lineRule="auto"/>
              <w:rPr>
                <w:szCs w:val="18"/>
                <w:lang w:eastAsia="nl-NL"/>
              </w:rPr>
            </w:pPr>
            <w:r w:rsidRPr="000B4D4D">
              <w:rPr>
                <w:rStyle w:val="normaltextrun"/>
                <w:rFonts w:cs="Segoe UI"/>
                <w:szCs w:val="18"/>
              </w:rPr>
              <w:t>-</w:t>
            </w:r>
            <w:r w:rsidRPr="000B4D4D">
              <w:rPr>
                <w:rStyle w:val="eop"/>
                <w:rFonts w:cs="Segoe UI"/>
                <w:szCs w:val="18"/>
              </w:rPr>
              <w:t> </w:t>
            </w:r>
          </w:p>
        </w:tc>
        <w:tc>
          <w:tcPr>
            <w:tcW w:w="625" w:type="pct"/>
          </w:tcPr>
          <w:p w:rsidRPr="000B4D4D" w:rsidR="004814C6" w:rsidRDefault="004814C6" w14:paraId="6AFF6837" w14:textId="77777777">
            <w:pPr>
              <w:autoSpaceDE w:val="0"/>
              <w:autoSpaceDN w:val="0"/>
              <w:adjustRightInd w:val="0"/>
              <w:rPr>
                <w:szCs w:val="18"/>
                <w:lang w:eastAsia="nl-NL"/>
              </w:rPr>
            </w:pPr>
            <w:r w:rsidRPr="000B4D4D">
              <w:rPr>
                <w:rStyle w:val="eop"/>
                <w:rFonts w:cs="Segoe UI"/>
                <w:szCs w:val="18"/>
              </w:rPr>
              <w:t> -</w:t>
            </w:r>
          </w:p>
        </w:tc>
        <w:tc>
          <w:tcPr>
            <w:tcW w:w="1331" w:type="pct"/>
          </w:tcPr>
          <w:p w:rsidRPr="000B4D4D" w:rsidR="004814C6" w:rsidP="00800A85" w:rsidRDefault="004814C6" w14:paraId="634DFBC4" w14:textId="77777777">
            <w:pPr>
              <w:spacing w:line="276" w:lineRule="auto"/>
              <w:rPr>
                <w:szCs w:val="18"/>
                <w:lang w:eastAsia="nl-NL"/>
              </w:rPr>
            </w:pPr>
            <w:r w:rsidRPr="000B4D4D">
              <w:rPr>
                <w:rStyle w:val="normaltextrun"/>
                <w:rFonts w:cs="Segoe UI"/>
                <w:szCs w:val="18"/>
              </w:rPr>
              <w:t>Energiezekerheid</w:t>
            </w:r>
            <w:r w:rsidRPr="000B4D4D">
              <w:rPr>
                <w:rStyle w:val="eop"/>
                <w:rFonts w:cs="Segoe UI"/>
                <w:szCs w:val="18"/>
              </w:rPr>
              <w:t> </w:t>
            </w:r>
          </w:p>
        </w:tc>
        <w:tc>
          <w:tcPr>
            <w:tcW w:w="700" w:type="pct"/>
          </w:tcPr>
          <w:p w:rsidRPr="000B4D4D" w:rsidR="004814C6" w:rsidP="00800A85" w:rsidRDefault="004814C6" w14:paraId="41C07CB9" w14:textId="77777777">
            <w:pPr>
              <w:spacing w:line="276" w:lineRule="auto"/>
              <w:rPr>
                <w:rStyle w:val="normaltextrun"/>
                <w:rFonts w:cs="Segoe UI"/>
                <w:szCs w:val="18"/>
              </w:rPr>
            </w:pPr>
            <w:r w:rsidRPr="000B4D4D">
              <w:rPr>
                <w:szCs w:val="18"/>
              </w:rPr>
              <w:t>On-track</w:t>
            </w:r>
          </w:p>
        </w:tc>
      </w:tr>
      <w:tr w:rsidRPr="000B4D4D" w:rsidR="00A448E9" w:rsidTr="00A448E9" w14:paraId="7E029D4B" w14:textId="77777777">
        <w:trPr>
          <w:trHeight w:val="300"/>
        </w:trPr>
        <w:tc>
          <w:tcPr>
            <w:tcW w:w="310" w:type="pct"/>
          </w:tcPr>
          <w:p w:rsidRPr="000B4D4D" w:rsidR="004814C6" w:rsidP="1A5CB1CB" w:rsidRDefault="004814C6" w14:paraId="3DD58656" w14:textId="77777777">
            <w:pPr>
              <w:rPr>
                <w:szCs w:val="18"/>
              </w:rPr>
            </w:pPr>
            <w:r w:rsidRPr="000B4D4D">
              <w:rPr>
                <w:szCs w:val="18"/>
              </w:rPr>
              <w:t>67</w:t>
            </w:r>
          </w:p>
        </w:tc>
        <w:tc>
          <w:tcPr>
            <w:tcW w:w="1408" w:type="pct"/>
          </w:tcPr>
          <w:p w:rsidRPr="000B4D4D" w:rsidR="004814C6" w:rsidRDefault="004814C6" w14:paraId="438F53C7" w14:textId="04784E55">
            <w:pPr>
              <w:rPr>
                <w:szCs w:val="18"/>
                <w:lang w:eastAsia="nl-NL"/>
              </w:rPr>
            </w:pPr>
            <w:r w:rsidRPr="000B4D4D">
              <w:rPr>
                <w:rStyle w:val="normaltextrun"/>
                <w:rFonts w:cs="Segoe UI"/>
                <w:szCs w:val="18"/>
              </w:rPr>
              <w:t>Hervorming/Investering: Waterstof</w:t>
            </w:r>
            <w:r w:rsidRPr="000B4D4D" w:rsidR="000E74B5">
              <w:rPr>
                <w:rStyle w:val="normaltextrun"/>
                <w:rFonts w:cs="Segoe UI"/>
                <w:szCs w:val="18"/>
              </w:rPr>
              <w:t>*</w:t>
            </w:r>
          </w:p>
        </w:tc>
        <w:tc>
          <w:tcPr>
            <w:tcW w:w="626" w:type="pct"/>
          </w:tcPr>
          <w:p w:rsidRPr="000B4D4D" w:rsidR="004814C6" w:rsidP="00800A85" w:rsidRDefault="004814C6" w14:paraId="6C8DDE85" w14:textId="77777777">
            <w:pPr>
              <w:spacing w:line="276" w:lineRule="auto"/>
              <w:rPr>
                <w:szCs w:val="18"/>
                <w:lang w:eastAsia="nl-NL"/>
              </w:rPr>
            </w:pPr>
            <w:r w:rsidRPr="000B4D4D">
              <w:rPr>
                <w:rFonts w:eastAsia="Verdana" w:cs="Verdana"/>
                <w:szCs w:val="18"/>
              </w:rPr>
              <w:t>HVP (C1.1 I2-2)</w:t>
            </w:r>
          </w:p>
        </w:tc>
        <w:tc>
          <w:tcPr>
            <w:tcW w:w="625" w:type="pct"/>
          </w:tcPr>
          <w:p w:rsidRPr="000B4D4D" w:rsidR="004814C6" w:rsidRDefault="004814C6" w14:paraId="199E7D5E" w14:textId="77777777">
            <w:pPr>
              <w:autoSpaceDE w:val="0"/>
              <w:autoSpaceDN w:val="0"/>
              <w:adjustRightInd w:val="0"/>
              <w:rPr>
                <w:szCs w:val="18"/>
                <w:lang w:eastAsia="nl-NL"/>
              </w:rPr>
            </w:pPr>
            <w:r w:rsidRPr="000B4D4D">
              <w:rPr>
                <w:rStyle w:val="eop"/>
                <w:rFonts w:cs="Segoe UI"/>
                <w:szCs w:val="18"/>
              </w:rPr>
              <w:t>2023.4.5</w:t>
            </w:r>
          </w:p>
          <w:p w:rsidRPr="000B4D4D" w:rsidR="004814C6" w:rsidRDefault="004814C6" w14:paraId="703C4C19" w14:textId="77777777">
            <w:pPr>
              <w:autoSpaceDE w:val="0"/>
              <w:autoSpaceDN w:val="0"/>
              <w:adjustRightInd w:val="0"/>
              <w:rPr>
                <w:rStyle w:val="eop"/>
                <w:rFonts w:cs="Segoe UI"/>
                <w:szCs w:val="18"/>
              </w:rPr>
            </w:pPr>
            <w:r w:rsidRPr="000B4D4D">
              <w:rPr>
                <w:rStyle w:val="eop"/>
                <w:rFonts w:cs="Segoe UI"/>
                <w:szCs w:val="18"/>
              </w:rPr>
              <w:t>2023.4.2</w:t>
            </w:r>
          </w:p>
          <w:p w:rsidRPr="000B4D4D" w:rsidR="004814C6" w:rsidRDefault="004814C6" w14:paraId="544049D3" w14:textId="11E8701D">
            <w:pPr>
              <w:autoSpaceDE w:val="0"/>
              <w:autoSpaceDN w:val="0"/>
              <w:adjustRightInd w:val="0"/>
              <w:rPr>
                <w:rStyle w:val="eop"/>
                <w:rFonts w:cs="Segoe UI"/>
                <w:szCs w:val="18"/>
              </w:rPr>
            </w:pPr>
            <w:r w:rsidRPr="000B4D4D">
              <w:rPr>
                <w:rStyle w:val="eop"/>
                <w:rFonts w:cs="Segoe UI"/>
                <w:szCs w:val="18"/>
              </w:rPr>
              <w:t>2023.4.1</w:t>
            </w:r>
          </w:p>
          <w:p w:rsidRPr="000B4D4D" w:rsidR="004814C6" w:rsidRDefault="004814C6" w14:paraId="415D0F79" w14:textId="1D21CAB3">
            <w:pPr>
              <w:autoSpaceDE w:val="0"/>
              <w:autoSpaceDN w:val="0"/>
              <w:adjustRightInd w:val="0"/>
              <w:rPr>
                <w:rStyle w:val="eop"/>
                <w:rFonts w:cs="Segoe UI"/>
                <w:szCs w:val="18"/>
              </w:rPr>
            </w:pPr>
            <w:r w:rsidRPr="000B4D4D">
              <w:rPr>
                <w:rStyle w:val="eop"/>
                <w:rFonts w:cs="Segoe UI"/>
                <w:szCs w:val="18"/>
              </w:rPr>
              <w:t>2022.4.1</w:t>
            </w:r>
          </w:p>
          <w:p w:rsidRPr="000B4D4D" w:rsidR="004814C6" w:rsidRDefault="004814C6" w14:paraId="2A277D69" w14:textId="3469F76A">
            <w:pPr>
              <w:autoSpaceDE w:val="0"/>
              <w:autoSpaceDN w:val="0"/>
              <w:adjustRightInd w:val="0"/>
              <w:rPr>
                <w:rStyle w:val="eop"/>
                <w:rFonts w:cs="Segoe UI"/>
                <w:szCs w:val="18"/>
              </w:rPr>
            </w:pPr>
            <w:r w:rsidRPr="000B4D4D">
              <w:rPr>
                <w:rStyle w:val="eop"/>
                <w:rFonts w:cs="Segoe UI"/>
                <w:szCs w:val="18"/>
              </w:rPr>
              <w:t>2022.4.2</w:t>
            </w:r>
          </w:p>
          <w:p w:rsidRPr="000B4D4D" w:rsidR="004814C6" w:rsidRDefault="004814C6" w14:paraId="4802E090" w14:textId="604574CC">
            <w:pPr>
              <w:autoSpaceDE w:val="0"/>
              <w:autoSpaceDN w:val="0"/>
              <w:adjustRightInd w:val="0"/>
              <w:rPr>
                <w:rStyle w:val="eop"/>
                <w:rFonts w:cs="Segoe UI"/>
                <w:szCs w:val="18"/>
              </w:rPr>
            </w:pPr>
            <w:r w:rsidRPr="000B4D4D">
              <w:rPr>
                <w:rStyle w:val="eop"/>
                <w:rFonts w:cs="Segoe UI"/>
                <w:szCs w:val="18"/>
              </w:rPr>
              <w:t>2020.3.2</w:t>
            </w:r>
          </w:p>
          <w:p w:rsidRPr="000B4D4D" w:rsidR="004814C6" w:rsidRDefault="004814C6" w14:paraId="316DCFBA" w14:textId="639EA766">
            <w:pPr>
              <w:autoSpaceDE w:val="0"/>
              <w:autoSpaceDN w:val="0"/>
              <w:adjustRightInd w:val="0"/>
              <w:rPr>
                <w:rStyle w:val="eop"/>
                <w:rFonts w:cs="Segoe UI"/>
                <w:szCs w:val="18"/>
              </w:rPr>
            </w:pPr>
            <w:r w:rsidRPr="000B4D4D">
              <w:rPr>
                <w:rStyle w:val="eop"/>
                <w:rFonts w:cs="Segoe UI"/>
                <w:szCs w:val="18"/>
              </w:rPr>
              <w:t>2020.3.5</w:t>
            </w:r>
          </w:p>
          <w:p w:rsidRPr="000B4D4D" w:rsidR="004814C6" w:rsidRDefault="004814C6" w14:paraId="5CC6DD1F" w14:textId="5888E678">
            <w:pPr>
              <w:autoSpaceDE w:val="0"/>
              <w:autoSpaceDN w:val="0"/>
              <w:adjustRightInd w:val="0"/>
              <w:rPr>
                <w:rStyle w:val="eop"/>
                <w:rFonts w:cs="Segoe UI"/>
                <w:szCs w:val="18"/>
              </w:rPr>
            </w:pPr>
            <w:r w:rsidRPr="000B4D4D">
              <w:rPr>
                <w:rStyle w:val="eop"/>
                <w:rFonts w:cs="Segoe UI"/>
                <w:szCs w:val="18"/>
              </w:rPr>
              <w:t>2020.3.4</w:t>
            </w:r>
          </w:p>
          <w:p w:rsidRPr="000B4D4D" w:rsidR="004814C6" w:rsidRDefault="004814C6" w14:paraId="541DE433" w14:textId="16FE7172">
            <w:pPr>
              <w:autoSpaceDE w:val="0"/>
              <w:autoSpaceDN w:val="0"/>
              <w:adjustRightInd w:val="0"/>
              <w:rPr>
                <w:rStyle w:val="eop"/>
                <w:rFonts w:cs="Segoe UI"/>
                <w:szCs w:val="18"/>
              </w:rPr>
            </w:pPr>
            <w:r w:rsidRPr="000B4D4D">
              <w:rPr>
                <w:rStyle w:val="eop"/>
                <w:rFonts w:cs="Segoe UI"/>
                <w:szCs w:val="18"/>
              </w:rPr>
              <w:t>2019.3.2</w:t>
            </w:r>
          </w:p>
          <w:p w:rsidRPr="000B4D4D" w:rsidR="004814C6" w:rsidRDefault="004814C6" w14:paraId="19C84E9F" w14:textId="77777777">
            <w:pPr>
              <w:autoSpaceDE w:val="0"/>
              <w:autoSpaceDN w:val="0"/>
              <w:adjustRightInd w:val="0"/>
              <w:rPr>
                <w:rStyle w:val="eop"/>
                <w:rFonts w:cs="Segoe UI"/>
                <w:szCs w:val="18"/>
              </w:rPr>
            </w:pPr>
            <w:r w:rsidRPr="000B4D4D">
              <w:rPr>
                <w:rStyle w:val="eop"/>
                <w:rFonts w:cs="Segoe UI"/>
                <w:szCs w:val="18"/>
              </w:rPr>
              <w:t>2019.3.3</w:t>
            </w:r>
          </w:p>
        </w:tc>
        <w:tc>
          <w:tcPr>
            <w:tcW w:w="1331" w:type="pct"/>
          </w:tcPr>
          <w:p w:rsidRPr="000B4D4D" w:rsidR="004814C6" w:rsidP="00800A85" w:rsidRDefault="004814C6" w14:paraId="347CF84A" w14:textId="77777777">
            <w:pPr>
              <w:spacing w:line="276" w:lineRule="auto"/>
              <w:rPr>
                <w:szCs w:val="18"/>
                <w:lang w:eastAsia="nl-NL"/>
              </w:rPr>
            </w:pPr>
            <w:r w:rsidRPr="000B4D4D">
              <w:rPr>
                <w:rStyle w:val="normaltextrun"/>
                <w:rFonts w:cs="Segoe UI"/>
                <w:szCs w:val="18"/>
              </w:rPr>
              <w:t>Energiezekerheid</w:t>
            </w:r>
            <w:r w:rsidRPr="000B4D4D">
              <w:rPr>
                <w:rStyle w:val="eop"/>
                <w:rFonts w:cs="Segoe UI"/>
                <w:szCs w:val="18"/>
              </w:rPr>
              <w:t> </w:t>
            </w:r>
          </w:p>
        </w:tc>
        <w:tc>
          <w:tcPr>
            <w:tcW w:w="700" w:type="pct"/>
          </w:tcPr>
          <w:p w:rsidRPr="000B4D4D" w:rsidR="004814C6" w:rsidP="00800A85" w:rsidRDefault="004814C6" w14:paraId="394DF025" w14:textId="77777777">
            <w:pPr>
              <w:spacing w:line="276" w:lineRule="auto"/>
              <w:rPr>
                <w:rStyle w:val="normaltextrun"/>
                <w:rFonts w:cs="Segoe UI"/>
                <w:szCs w:val="18"/>
              </w:rPr>
            </w:pPr>
            <w:r w:rsidRPr="000B4D4D">
              <w:rPr>
                <w:rStyle w:val="normaltextrun"/>
                <w:rFonts w:cs="Segoe UI"/>
                <w:szCs w:val="18"/>
              </w:rPr>
              <w:t>On-track</w:t>
            </w:r>
          </w:p>
        </w:tc>
      </w:tr>
      <w:tr w:rsidRPr="000B4D4D" w:rsidR="00A448E9" w:rsidTr="00A448E9" w14:paraId="502B2E11" w14:textId="77777777">
        <w:trPr>
          <w:trHeight w:val="300"/>
        </w:trPr>
        <w:tc>
          <w:tcPr>
            <w:tcW w:w="310" w:type="pct"/>
          </w:tcPr>
          <w:p w:rsidRPr="000B4D4D" w:rsidR="004814C6" w:rsidP="1A5CB1CB" w:rsidRDefault="004814C6" w14:paraId="45594EFD" w14:textId="77777777">
            <w:pPr>
              <w:rPr>
                <w:szCs w:val="18"/>
              </w:rPr>
            </w:pPr>
            <w:r w:rsidRPr="000B4D4D">
              <w:rPr>
                <w:szCs w:val="18"/>
              </w:rPr>
              <w:t>75</w:t>
            </w:r>
          </w:p>
        </w:tc>
        <w:tc>
          <w:tcPr>
            <w:tcW w:w="1408" w:type="pct"/>
          </w:tcPr>
          <w:p w:rsidRPr="000B4D4D" w:rsidR="004814C6" w:rsidRDefault="004814C6" w14:paraId="0E382CC9" w14:textId="77777777">
            <w:pPr>
              <w:rPr>
                <w:rStyle w:val="normaltextrun"/>
                <w:rFonts w:cs="Segoe UI"/>
                <w:szCs w:val="18"/>
              </w:rPr>
            </w:pPr>
            <w:r w:rsidRPr="000B4D4D">
              <w:rPr>
                <w:rStyle w:val="normaltextrun"/>
                <w:rFonts w:cs="Segoe UI"/>
                <w:szCs w:val="18"/>
              </w:rPr>
              <w:t>Aanstelling Speciaal Vertegenwoordiger Grondstoffenstrategie</w:t>
            </w:r>
          </w:p>
        </w:tc>
        <w:tc>
          <w:tcPr>
            <w:tcW w:w="626" w:type="pct"/>
          </w:tcPr>
          <w:p w:rsidRPr="000B4D4D" w:rsidR="004814C6" w:rsidP="002D5F54" w:rsidRDefault="004814C6" w14:paraId="1C1ACB93" w14:textId="77777777">
            <w:pPr>
              <w:spacing w:line="276" w:lineRule="auto"/>
              <w:rPr>
                <w:rFonts w:eastAsia="Verdana" w:cs="Verdana"/>
                <w:szCs w:val="18"/>
              </w:rPr>
            </w:pPr>
          </w:p>
        </w:tc>
        <w:tc>
          <w:tcPr>
            <w:tcW w:w="625" w:type="pct"/>
          </w:tcPr>
          <w:p w:rsidRPr="000B4D4D" w:rsidR="004814C6" w:rsidP="002D5F54" w:rsidRDefault="004814C6" w14:paraId="4B0094DA" w14:textId="77777777">
            <w:pPr>
              <w:autoSpaceDE w:val="0"/>
              <w:autoSpaceDN w:val="0"/>
              <w:adjustRightInd w:val="0"/>
              <w:rPr>
                <w:rStyle w:val="eop"/>
                <w:rFonts w:cs="Segoe UI"/>
                <w:szCs w:val="18"/>
              </w:rPr>
            </w:pPr>
          </w:p>
        </w:tc>
        <w:tc>
          <w:tcPr>
            <w:tcW w:w="1331" w:type="pct"/>
          </w:tcPr>
          <w:p w:rsidRPr="000B4D4D" w:rsidR="004814C6" w:rsidP="00800A85" w:rsidRDefault="004814C6" w14:paraId="705B4FDA" w14:textId="77777777">
            <w:pPr>
              <w:spacing w:line="276" w:lineRule="auto"/>
              <w:rPr>
                <w:rStyle w:val="normaltextrun"/>
                <w:rFonts w:cs="Segoe UI"/>
                <w:szCs w:val="18"/>
              </w:rPr>
            </w:pPr>
            <w:r w:rsidRPr="000B4D4D">
              <w:rPr>
                <w:rStyle w:val="normaltextrun"/>
                <w:rFonts w:cs="Segoe UI"/>
                <w:szCs w:val="18"/>
              </w:rPr>
              <w:t>Energiezekerheid</w:t>
            </w:r>
            <w:r w:rsidRPr="000B4D4D">
              <w:rPr>
                <w:rStyle w:val="eop"/>
                <w:rFonts w:cs="Segoe UI"/>
                <w:szCs w:val="18"/>
              </w:rPr>
              <w:t> </w:t>
            </w:r>
          </w:p>
        </w:tc>
        <w:tc>
          <w:tcPr>
            <w:tcW w:w="700" w:type="pct"/>
          </w:tcPr>
          <w:p w:rsidRPr="000B4D4D" w:rsidR="004814C6" w:rsidP="00800A85" w:rsidRDefault="004814C6" w14:paraId="7A13442B" w14:textId="77777777">
            <w:pPr>
              <w:spacing w:line="276" w:lineRule="auto"/>
              <w:rPr>
                <w:rStyle w:val="normaltextrun"/>
                <w:rFonts w:cs="Segoe UI"/>
                <w:szCs w:val="18"/>
              </w:rPr>
            </w:pPr>
            <w:r w:rsidRPr="000B4D4D">
              <w:rPr>
                <w:rStyle w:val="normaltextrun"/>
                <w:rFonts w:cs="Segoe UI"/>
                <w:szCs w:val="18"/>
              </w:rPr>
              <w:t>Completed</w:t>
            </w:r>
          </w:p>
        </w:tc>
      </w:tr>
      <w:tr w:rsidRPr="000B4D4D" w:rsidR="00A448E9" w:rsidTr="00A448E9" w14:paraId="2E777269" w14:textId="77777777">
        <w:trPr>
          <w:trHeight w:val="300"/>
        </w:trPr>
        <w:tc>
          <w:tcPr>
            <w:tcW w:w="310" w:type="pct"/>
          </w:tcPr>
          <w:p w:rsidRPr="000B4D4D" w:rsidR="004814C6" w:rsidP="1A5CB1CB" w:rsidRDefault="004814C6" w14:paraId="2393132D" w14:textId="77777777">
            <w:pPr>
              <w:rPr>
                <w:szCs w:val="18"/>
              </w:rPr>
            </w:pPr>
            <w:r w:rsidRPr="000B4D4D">
              <w:rPr>
                <w:szCs w:val="18"/>
              </w:rPr>
              <w:t>76</w:t>
            </w:r>
          </w:p>
        </w:tc>
        <w:tc>
          <w:tcPr>
            <w:tcW w:w="1408" w:type="pct"/>
          </w:tcPr>
          <w:p w:rsidRPr="000B4D4D" w:rsidR="004814C6" w:rsidRDefault="004814C6" w14:paraId="5C536662" w14:textId="77777777">
            <w:pPr>
              <w:rPr>
                <w:rStyle w:val="normaltextrun"/>
                <w:rFonts w:cs="Segoe UI"/>
                <w:szCs w:val="18"/>
              </w:rPr>
            </w:pPr>
            <w:r w:rsidRPr="000B4D4D">
              <w:rPr>
                <w:rStyle w:val="normaltextrun"/>
                <w:rFonts w:cs="Segoe UI"/>
                <w:szCs w:val="18"/>
              </w:rPr>
              <w:t>Oprichting Nederlands Materialen Observatorium</w:t>
            </w:r>
          </w:p>
        </w:tc>
        <w:tc>
          <w:tcPr>
            <w:tcW w:w="626" w:type="pct"/>
          </w:tcPr>
          <w:p w:rsidRPr="000B4D4D" w:rsidR="004814C6" w:rsidP="002D5F54" w:rsidRDefault="004814C6" w14:paraId="068BB0EC" w14:textId="77777777">
            <w:pPr>
              <w:spacing w:line="276" w:lineRule="auto"/>
              <w:rPr>
                <w:rFonts w:eastAsia="Verdana" w:cs="Verdana"/>
                <w:szCs w:val="18"/>
              </w:rPr>
            </w:pPr>
          </w:p>
        </w:tc>
        <w:tc>
          <w:tcPr>
            <w:tcW w:w="625" w:type="pct"/>
          </w:tcPr>
          <w:p w:rsidRPr="000B4D4D" w:rsidR="004814C6" w:rsidP="002D5F54" w:rsidRDefault="004814C6" w14:paraId="380EEFC1" w14:textId="77777777">
            <w:pPr>
              <w:autoSpaceDE w:val="0"/>
              <w:autoSpaceDN w:val="0"/>
              <w:adjustRightInd w:val="0"/>
              <w:rPr>
                <w:rStyle w:val="eop"/>
                <w:rFonts w:cs="Segoe UI"/>
                <w:szCs w:val="18"/>
              </w:rPr>
            </w:pPr>
          </w:p>
        </w:tc>
        <w:tc>
          <w:tcPr>
            <w:tcW w:w="1331" w:type="pct"/>
          </w:tcPr>
          <w:p w:rsidRPr="000B4D4D" w:rsidR="004814C6" w:rsidP="00800A85" w:rsidRDefault="004814C6" w14:paraId="3010846C" w14:textId="77777777">
            <w:pPr>
              <w:spacing w:line="276" w:lineRule="auto"/>
              <w:rPr>
                <w:rStyle w:val="normaltextrun"/>
                <w:rFonts w:cs="Segoe UI"/>
                <w:szCs w:val="18"/>
              </w:rPr>
            </w:pPr>
            <w:r w:rsidRPr="000B4D4D">
              <w:rPr>
                <w:rStyle w:val="normaltextrun"/>
                <w:rFonts w:cs="Segoe UI"/>
                <w:szCs w:val="18"/>
              </w:rPr>
              <w:t>Energiezekerheid</w:t>
            </w:r>
            <w:r w:rsidRPr="000B4D4D">
              <w:rPr>
                <w:rStyle w:val="eop"/>
                <w:rFonts w:cs="Segoe UI"/>
                <w:szCs w:val="18"/>
              </w:rPr>
              <w:t> </w:t>
            </w:r>
          </w:p>
        </w:tc>
        <w:tc>
          <w:tcPr>
            <w:tcW w:w="700" w:type="pct"/>
          </w:tcPr>
          <w:p w:rsidRPr="000B4D4D" w:rsidR="004814C6" w:rsidP="00800A85" w:rsidRDefault="004814C6" w14:paraId="04B4FDC0" w14:textId="77777777">
            <w:pPr>
              <w:spacing w:line="276" w:lineRule="auto"/>
              <w:rPr>
                <w:rStyle w:val="normaltextrun"/>
                <w:rFonts w:cs="Segoe UI"/>
                <w:szCs w:val="18"/>
              </w:rPr>
            </w:pPr>
            <w:r w:rsidRPr="000B4D4D">
              <w:rPr>
                <w:rStyle w:val="normaltextrun"/>
                <w:rFonts w:cs="Segoe UI"/>
                <w:szCs w:val="18"/>
              </w:rPr>
              <w:t>Completed</w:t>
            </w:r>
          </w:p>
        </w:tc>
      </w:tr>
      <w:tr w:rsidRPr="000B4D4D" w:rsidR="004814C6" w:rsidTr="007A1844" w14:paraId="79712287" w14:textId="77777777">
        <w:trPr>
          <w:trHeight w:val="300"/>
        </w:trPr>
        <w:tc>
          <w:tcPr>
            <w:tcW w:w="4300" w:type="pct"/>
            <w:gridSpan w:val="5"/>
            <w:shd w:val="clear" w:color="auto" w:fill="DDEFF8"/>
          </w:tcPr>
          <w:p w:rsidRPr="000B4D4D" w:rsidR="004814C6" w:rsidP="00800A85" w:rsidRDefault="004814C6" w14:paraId="376D00CF" w14:textId="77777777">
            <w:pPr>
              <w:spacing w:line="276" w:lineRule="auto"/>
              <w:rPr>
                <w:szCs w:val="18"/>
                <w:lang w:eastAsia="nl-NL"/>
              </w:rPr>
            </w:pPr>
            <w:r w:rsidRPr="000B4D4D">
              <w:rPr>
                <w:szCs w:val="18"/>
                <w:lang w:eastAsia="nl-NL"/>
              </w:rPr>
              <w:t>Opbouw van defensiecapaciteiten</w:t>
            </w:r>
          </w:p>
        </w:tc>
        <w:tc>
          <w:tcPr>
            <w:tcW w:w="700" w:type="pct"/>
            <w:shd w:val="clear" w:color="auto" w:fill="DDEFF8"/>
          </w:tcPr>
          <w:p w:rsidRPr="000B4D4D" w:rsidR="004814C6" w:rsidP="002D5F54" w:rsidRDefault="004814C6" w14:paraId="6BC4D6CB" w14:textId="77777777">
            <w:pPr>
              <w:spacing w:line="276" w:lineRule="auto"/>
              <w:rPr>
                <w:szCs w:val="18"/>
                <w:lang w:eastAsia="nl-NL"/>
              </w:rPr>
            </w:pPr>
          </w:p>
        </w:tc>
      </w:tr>
      <w:tr w:rsidRPr="000B4D4D" w:rsidR="004814C6" w:rsidTr="00A448E9" w14:paraId="4EF1C124" w14:textId="77777777">
        <w:trPr>
          <w:trHeight w:val="300"/>
        </w:trPr>
        <w:tc>
          <w:tcPr>
            <w:tcW w:w="4300" w:type="pct"/>
            <w:gridSpan w:val="5"/>
          </w:tcPr>
          <w:p w:rsidRPr="000B4D4D" w:rsidR="004814C6" w:rsidP="00800A85" w:rsidRDefault="004814C6" w14:paraId="04468DC2" w14:textId="77777777">
            <w:pPr>
              <w:spacing w:line="276" w:lineRule="auto"/>
              <w:rPr>
                <w:b/>
                <w:bCs/>
                <w:szCs w:val="18"/>
                <w:lang w:eastAsia="nl-NL"/>
              </w:rPr>
            </w:pPr>
            <w:r w:rsidRPr="000B4D4D">
              <w:rPr>
                <w:b/>
                <w:bCs/>
                <w:szCs w:val="18"/>
                <w:lang w:eastAsia="nl-NL"/>
              </w:rPr>
              <w:t>Overige maatregelen</w:t>
            </w:r>
          </w:p>
        </w:tc>
        <w:tc>
          <w:tcPr>
            <w:tcW w:w="700" w:type="pct"/>
          </w:tcPr>
          <w:p w:rsidRPr="000B4D4D" w:rsidR="004814C6" w:rsidP="002D5F54" w:rsidRDefault="004814C6" w14:paraId="21B8F091" w14:textId="77777777">
            <w:pPr>
              <w:spacing w:line="276" w:lineRule="auto"/>
              <w:rPr>
                <w:b/>
                <w:szCs w:val="18"/>
                <w:lang w:eastAsia="nl-NL"/>
              </w:rPr>
            </w:pPr>
          </w:p>
        </w:tc>
      </w:tr>
      <w:tr w:rsidRPr="000B4D4D" w:rsidR="00A448E9" w:rsidTr="00A448E9" w14:paraId="1776569E" w14:textId="77777777">
        <w:trPr>
          <w:trHeight w:val="300"/>
        </w:trPr>
        <w:tc>
          <w:tcPr>
            <w:tcW w:w="310" w:type="pct"/>
          </w:tcPr>
          <w:p w:rsidRPr="000B4D4D" w:rsidR="004814C6" w:rsidP="1A5CB1CB" w:rsidRDefault="004814C6" w14:paraId="2B8B7372" w14:textId="77777777">
            <w:pPr>
              <w:rPr>
                <w:szCs w:val="18"/>
              </w:rPr>
            </w:pPr>
            <w:r w:rsidRPr="000B4D4D">
              <w:rPr>
                <w:szCs w:val="18"/>
              </w:rPr>
              <w:t>68</w:t>
            </w:r>
          </w:p>
        </w:tc>
        <w:tc>
          <w:tcPr>
            <w:tcW w:w="1408" w:type="pct"/>
          </w:tcPr>
          <w:p w:rsidRPr="000B4D4D" w:rsidR="004814C6" w:rsidP="1A5CB1CB" w:rsidRDefault="004814C6" w14:paraId="1FD8AF70" w14:textId="77777777">
            <w:pPr>
              <w:spacing w:line="276" w:lineRule="auto"/>
              <w:rPr>
                <w:szCs w:val="18"/>
              </w:rPr>
            </w:pPr>
            <w:r w:rsidRPr="000B4D4D">
              <w:rPr>
                <w:szCs w:val="18"/>
              </w:rPr>
              <w:t>Investering 1: Investeringen Defensiebreed materieel</w:t>
            </w:r>
          </w:p>
          <w:p w:rsidRPr="000B4D4D" w:rsidR="004814C6" w:rsidRDefault="004814C6" w14:paraId="56CF190D" w14:textId="77777777">
            <w:pPr>
              <w:rPr>
                <w:szCs w:val="18"/>
                <w:lang w:eastAsia="nl-NL"/>
              </w:rPr>
            </w:pPr>
            <w:r w:rsidRPr="000B4D4D">
              <w:rPr>
                <w:szCs w:val="18"/>
              </w:rPr>
              <w:t>2024-2028 €9,6 mld</w:t>
            </w:r>
          </w:p>
        </w:tc>
        <w:tc>
          <w:tcPr>
            <w:tcW w:w="626" w:type="pct"/>
          </w:tcPr>
          <w:p w:rsidRPr="000B4D4D" w:rsidR="004814C6" w:rsidP="00800A85" w:rsidRDefault="004814C6" w14:paraId="6200FEDB" w14:textId="77777777">
            <w:pPr>
              <w:spacing w:line="276" w:lineRule="auto"/>
              <w:rPr>
                <w:szCs w:val="18"/>
                <w:lang w:eastAsia="nl-NL"/>
              </w:rPr>
            </w:pPr>
            <w:r w:rsidRPr="000B4D4D">
              <w:rPr>
                <w:szCs w:val="18"/>
              </w:rPr>
              <w:t>-</w:t>
            </w:r>
          </w:p>
        </w:tc>
        <w:tc>
          <w:tcPr>
            <w:tcW w:w="625" w:type="pct"/>
          </w:tcPr>
          <w:p w:rsidRPr="000B4D4D" w:rsidR="004814C6" w:rsidRDefault="004814C6" w14:paraId="5B3E106B" w14:textId="77777777">
            <w:pPr>
              <w:autoSpaceDE w:val="0"/>
              <w:autoSpaceDN w:val="0"/>
              <w:adjustRightInd w:val="0"/>
              <w:rPr>
                <w:szCs w:val="18"/>
                <w:lang w:eastAsia="nl-NL"/>
              </w:rPr>
            </w:pPr>
            <w:r w:rsidRPr="000B4D4D">
              <w:rPr>
                <w:szCs w:val="18"/>
              </w:rPr>
              <w:t>-</w:t>
            </w:r>
          </w:p>
        </w:tc>
        <w:tc>
          <w:tcPr>
            <w:tcW w:w="1331" w:type="pct"/>
          </w:tcPr>
          <w:p w:rsidRPr="000B4D4D" w:rsidR="004814C6" w:rsidP="00800A85" w:rsidRDefault="004814C6" w14:paraId="7708B22F" w14:textId="77777777">
            <w:pPr>
              <w:spacing w:line="276" w:lineRule="auto"/>
              <w:rPr>
                <w:szCs w:val="18"/>
                <w:lang w:eastAsia="nl-NL"/>
              </w:rPr>
            </w:pPr>
            <w:r w:rsidRPr="000B4D4D">
              <w:rPr>
                <w:szCs w:val="18"/>
              </w:rPr>
              <w:t>de opbouw van defensiecapaciteiten</w:t>
            </w:r>
          </w:p>
        </w:tc>
        <w:tc>
          <w:tcPr>
            <w:tcW w:w="700" w:type="pct"/>
          </w:tcPr>
          <w:p w:rsidRPr="000B4D4D" w:rsidR="004814C6" w:rsidP="1A5CB1CB" w:rsidRDefault="004814C6" w14:paraId="23A8A2B2" w14:textId="77777777">
            <w:pPr>
              <w:spacing w:line="276" w:lineRule="auto"/>
              <w:rPr>
                <w:szCs w:val="18"/>
              </w:rPr>
            </w:pPr>
            <w:r w:rsidRPr="000B4D4D">
              <w:rPr>
                <w:szCs w:val="18"/>
              </w:rPr>
              <w:t>On-track</w:t>
            </w:r>
          </w:p>
        </w:tc>
      </w:tr>
      <w:tr w:rsidRPr="000B4D4D" w:rsidR="00A448E9" w:rsidTr="00A448E9" w14:paraId="2CDCD03E" w14:textId="77777777">
        <w:trPr>
          <w:trHeight w:val="300"/>
        </w:trPr>
        <w:tc>
          <w:tcPr>
            <w:tcW w:w="310" w:type="pct"/>
          </w:tcPr>
          <w:p w:rsidRPr="000B4D4D" w:rsidR="004814C6" w:rsidP="1A5CB1CB" w:rsidRDefault="004814C6" w14:paraId="31E5979B" w14:textId="77777777">
            <w:pPr>
              <w:rPr>
                <w:szCs w:val="18"/>
              </w:rPr>
            </w:pPr>
            <w:r w:rsidRPr="000B4D4D">
              <w:rPr>
                <w:szCs w:val="18"/>
              </w:rPr>
              <w:t>69</w:t>
            </w:r>
          </w:p>
        </w:tc>
        <w:tc>
          <w:tcPr>
            <w:tcW w:w="1408" w:type="pct"/>
          </w:tcPr>
          <w:p w:rsidRPr="000B4D4D" w:rsidR="004814C6" w:rsidP="1A5CB1CB" w:rsidRDefault="004814C6" w14:paraId="4FF5F597" w14:textId="77777777">
            <w:pPr>
              <w:spacing w:line="276" w:lineRule="auto"/>
              <w:rPr>
                <w:szCs w:val="18"/>
              </w:rPr>
            </w:pPr>
            <w:r w:rsidRPr="000B4D4D">
              <w:rPr>
                <w:szCs w:val="18"/>
              </w:rPr>
              <w:t>Investering 2: Investeringen Maritiem materieel</w:t>
            </w:r>
          </w:p>
          <w:p w:rsidRPr="000B4D4D" w:rsidR="004814C6" w:rsidRDefault="004814C6" w14:paraId="29DB8B5B" w14:textId="77777777">
            <w:pPr>
              <w:rPr>
                <w:szCs w:val="18"/>
                <w:lang w:eastAsia="nl-NL"/>
              </w:rPr>
            </w:pPr>
            <w:r w:rsidRPr="000B4D4D">
              <w:rPr>
                <w:szCs w:val="18"/>
              </w:rPr>
              <w:t>2024-2028 €8,6 mld</w:t>
            </w:r>
          </w:p>
        </w:tc>
        <w:tc>
          <w:tcPr>
            <w:tcW w:w="626" w:type="pct"/>
          </w:tcPr>
          <w:p w:rsidRPr="000B4D4D" w:rsidR="004814C6" w:rsidP="00800A85" w:rsidRDefault="004814C6" w14:paraId="667DF24E" w14:textId="77777777">
            <w:pPr>
              <w:spacing w:line="276" w:lineRule="auto"/>
              <w:rPr>
                <w:szCs w:val="18"/>
                <w:lang w:eastAsia="nl-NL"/>
              </w:rPr>
            </w:pPr>
            <w:r w:rsidRPr="000B4D4D">
              <w:rPr>
                <w:szCs w:val="18"/>
              </w:rPr>
              <w:t>-</w:t>
            </w:r>
          </w:p>
        </w:tc>
        <w:tc>
          <w:tcPr>
            <w:tcW w:w="625" w:type="pct"/>
          </w:tcPr>
          <w:p w:rsidRPr="000B4D4D" w:rsidR="004814C6" w:rsidRDefault="004814C6" w14:paraId="08C588C9" w14:textId="77777777">
            <w:pPr>
              <w:autoSpaceDE w:val="0"/>
              <w:autoSpaceDN w:val="0"/>
              <w:adjustRightInd w:val="0"/>
              <w:rPr>
                <w:szCs w:val="18"/>
                <w:lang w:eastAsia="nl-NL"/>
              </w:rPr>
            </w:pPr>
            <w:r w:rsidRPr="000B4D4D">
              <w:rPr>
                <w:szCs w:val="18"/>
              </w:rPr>
              <w:t>-</w:t>
            </w:r>
          </w:p>
        </w:tc>
        <w:tc>
          <w:tcPr>
            <w:tcW w:w="1331" w:type="pct"/>
          </w:tcPr>
          <w:p w:rsidRPr="000B4D4D" w:rsidR="004814C6" w:rsidP="00800A85" w:rsidRDefault="004814C6" w14:paraId="1D1D3075" w14:textId="77777777">
            <w:pPr>
              <w:spacing w:line="276" w:lineRule="auto"/>
              <w:rPr>
                <w:szCs w:val="18"/>
                <w:lang w:eastAsia="nl-NL"/>
              </w:rPr>
            </w:pPr>
            <w:r w:rsidRPr="000B4D4D">
              <w:rPr>
                <w:szCs w:val="18"/>
              </w:rPr>
              <w:t>de opbouw van defensiecapaciteiten</w:t>
            </w:r>
          </w:p>
        </w:tc>
        <w:tc>
          <w:tcPr>
            <w:tcW w:w="700" w:type="pct"/>
          </w:tcPr>
          <w:p w:rsidRPr="000B4D4D" w:rsidR="004814C6" w:rsidP="1A5CB1CB" w:rsidRDefault="004814C6" w14:paraId="03D8BD24" w14:textId="77777777">
            <w:pPr>
              <w:spacing w:line="276" w:lineRule="auto"/>
              <w:rPr>
                <w:szCs w:val="18"/>
              </w:rPr>
            </w:pPr>
            <w:r w:rsidRPr="000B4D4D">
              <w:rPr>
                <w:szCs w:val="18"/>
              </w:rPr>
              <w:t>On-track</w:t>
            </w:r>
          </w:p>
        </w:tc>
      </w:tr>
      <w:tr w:rsidRPr="000B4D4D" w:rsidR="00A448E9" w:rsidTr="00A448E9" w14:paraId="683B12E2" w14:textId="77777777">
        <w:trPr>
          <w:trHeight w:val="300"/>
        </w:trPr>
        <w:tc>
          <w:tcPr>
            <w:tcW w:w="310" w:type="pct"/>
          </w:tcPr>
          <w:p w:rsidRPr="000B4D4D" w:rsidR="004814C6" w:rsidP="1A5CB1CB" w:rsidRDefault="004814C6" w14:paraId="2E2D9CE9" w14:textId="77777777">
            <w:pPr>
              <w:rPr>
                <w:szCs w:val="18"/>
              </w:rPr>
            </w:pPr>
            <w:r w:rsidRPr="000B4D4D">
              <w:rPr>
                <w:szCs w:val="18"/>
              </w:rPr>
              <w:t>70</w:t>
            </w:r>
          </w:p>
        </w:tc>
        <w:tc>
          <w:tcPr>
            <w:tcW w:w="1408" w:type="pct"/>
          </w:tcPr>
          <w:p w:rsidRPr="000B4D4D" w:rsidR="004814C6" w:rsidP="1A5CB1CB" w:rsidRDefault="004814C6" w14:paraId="26E96DF0" w14:textId="77777777">
            <w:pPr>
              <w:spacing w:line="276" w:lineRule="auto"/>
              <w:rPr>
                <w:szCs w:val="18"/>
              </w:rPr>
            </w:pPr>
            <w:r w:rsidRPr="000B4D4D">
              <w:rPr>
                <w:szCs w:val="18"/>
              </w:rPr>
              <w:t>Investering 3: Investeringen Land materieel</w:t>
            </w:r>
          </w:p>
          <w:p w:rsidRPr="000B4D4D" w:rsidR="004814C6" w:rsidRDefault="004814C6" w14:paraId="642B5B1D" w14:textId="77777777">
            <w:pPr>
              <w:rPr>
                <w:szCs w:val="18"/>
                <w:lang w:eastAsia="nl-NL"/>
              </w:rPr>
            </w:pPr>
            <w:r w:rsidRPr="000B4D4D">
              <w:rPr>
                <w:szCs w:val="18"/>
              </w:rPr>
              <w:t>2024-2028 €11,6 mld</w:t>
            </w:r>
          </w:p>
        </w:tc>
        <w:tc>
          <w:tcPr>
            <w:tcW w:w="626" w:type="pct"/>
          </w:tcPr>
          <w:p w:rsidRPr="000B4D4D" w:rsidR="004814C6" w:rsidP="00800A85" w:rsidRDefault="004814C6" w14:paraId="6E5359F3" w14:textId="77777777">
            <w:pPr>
              <w:spacing w:line="276" w:lineRule="auto"/>
              <w:rPr>
                <w:szCs w:val="18"/>
                <w:lang w:eastAsia="nl-NL"/>
              </w:rPr>
            </w:pPr>
            <w:r w:rsidRPr="000B4D4D">
              <w:rPr>
                <w:szCs w:val="18"/>
              </w:rPr>
              <w:t>-</w:t>
            </w:r>
          </w:p>
        </w:tc>
        <w:tc>
          <w:tcPr>
            <w:tcW w:w="625" w:type="pct"/>
          </w:tcPr>
          <w:p w:rsidRPr="000B4D4D" w:rsidR="004814C6" w:rsidRDefault="004814C6" w14:paraId="0EAEA722" w14:textId="77777777">
            <w:pPr>
              <w:autoSpaceDE w:val="0"/>
              <w:autoSpaceDN w:val="0"/>
              <w:adjustRightInd w:val="0"/>
              <w:rPr>
                <w:szCs w:val="18"/>
                <w:lang w:eastAsia="nl-NL"/>
              </w:rPr>
            </w:pPr>
            <w:r w:rsidRPr="000B4D4D">
              <w:rPr>
                <w:szCs w:val="18"/>
              </w:rPr>
              <w:t>-</w:t>
            </w:r>
          </w:p>
        </w:tc>
        <w:tc>
          <w:tcPr>
            <w:tcW w:w="1331" w:type="pct"/>
          </w:tcPr>
          <w:p w:rsidRPr="000B4D4D" w:rsidR="004814C6" w:rsidP="00800A85" w:rsidRDefault="004814C6" w14:paraId="5D4E6D89" w14:textId="77777777">
            <w:pPr>
              <w:spacing w:line="276" w:lineRule="auto"/>
              <w:rPr>
                <w:szCs w:val="18"/>
                <w:lang w:eastAsia="nl-NL"/>
              </w:rPr>
            </w:pPr>
            <w:r w:rsidRPr="000B4D4D">
              <w:rPr>
                <w:szCs w:val="18"/>
              </w:rPr>
              <w:t>de opbouw van defensiecapaciteiten</w:t>
            </w:r>
          </w:p>
        </w:tc>
        <w:tc>
          <w:tcPr>
            <w:tcW w:w="700" w:type="pct"/>
          </w:tcPr>
          <w:p w:rsidRPr="000B4D4D" w:rsidR="004814C6" w:rsidP="1A5CB1CB" w:rsidRDefault="004814C6" w14:paraId="24CD04BA" w14:textId="77777777">
            <w:pPr>
              <w:spacing w:line="276" w:lineRule="auto"/>
              <w:rPr>
                <w:szCs w:val="18"/>
              </w:rPr>
            </w:pPr>
            <w:r w:rsidRPr="000B4D4D">
              <w:rPr>
                <w:szCs w:val="18"/>
              </w:rPr>
              <w:t>On-track</w:t>
            </w:r>
          </w:p>
        </w:tc>
      </w:tr>
      <w:tr w:rsidRPr="000B4D4D" w:rsidR="00A448E9" w:rsidTr="00A448E9" w14:paraId="399E272E" w14:textId="77777777">
        <w:trPr>
          <w:trHeight w:val="300"/>
        </w:trPr>
        <w:tc>
          <w:tcPr>
            <w:tcW w:w="310" w:type="pct"/>
          </w:tcPr>
          <w:p w:rsidRPr="000B4D4D" w:rsidR="004814C6" w:rsidP="1A5CB1CB" w:rsidRDefault="004814C6" w14:paraId="3D505499" w14:textId="77777777">
            <w:pPr>
              <w:rPr>
                <w:szCs w:val="18"/>
              </w:rPr>
            </w:pPr>
            <w:r w:rsidRPr="000B4D4D">
              <w:rPr>
                <w:szCs w:val="18"/>
              </w:rPr>
              <w:t>71</w:t>
            </w:r>
          </w:p>
        </w:tc>
        <w:tc>
          <w:tcPr>
            <w:tcW w:w="1408" w:type="pct"/>
          </w:tcPr>
          <w:p w:rsidRPr="000B4D4D" w:rsidR="004814C6" w:rsidP="1A5CB1CB" w:rsidRDefault="004814C6" w14:paraId="4DCA4C05" w14:textId="77777777">
            <w:pPr>
              <w:spacing w:line="276" w:lineRule="auto"/>
              <w:rPr>
                <w:szCs w:val="18"/>
              </w:rPr>
            </w:pPr>
            <w:r w:rsidRPr="000B4D4D">
              <w:rPr>
                <w:szCs w:val="18"/>
              </w:rPr>
              <w:t>Investering 4: Investeringen Lucht materieel</w:t>
            </w:r>
          </w:p>
          <w:p w:rsidRPr="000B4D4D" w:rsidR="004814C6" w:rsidRDefault="004814C6" w14:paraId="64D33EDF" w14:textId="77777777">
            <w:pPr>
              <w:rPr>
                <w:szCs w:val="18"/>
                <w:lang w:eastAsia="nl-NL"/>
              </w:rPr>
            </w:pPr>
            <w:r w:rsidRPr="000B4D4D">
              <w:rPr>
                <w:szCs w:val="18"/>
              </w:rPr>
              <w:t>2024-2028 €11,8 mld</w:t>
            </w:r>
          </w:p>
        </w:tc>
        <w:tc>
          <w:tcPr>
            <w:tcW w:w="626" w:type="pct"/>
          </w:tcPr>
          <w:p w:rsidRPr="000B4D4D" w:rsidR="004814C6" w:rsidP="00800A85" w:rsidRDefault="004814C6" w14:paraId="171FCFCD" w14:textId="77777777">
            <w:pPr>
              <w:spacing w:line="276" w:lineRule="auto"/>
              <w:rPr>
                <w:szCs w:val="18"/>
                <w:lang w:eastAsia="nl-NL"/>
              </w:rPr>
            </w:pPr>
            <w:r w:rsidRPr="000B4D4D">
              <w:rPr>
                <w:szCs w:val="18"/>
              </w:rPr>
              <w:t>-</w:t>
            </w:r>
          </w:p>
        </w:tc>
        <w:tc>
          <w:tcPr>
            <w:tcW w:w="625" w:type="pct"/>
          </w:tcPr>
          <w:p w:rsidRPr="000B4D4D" w:rsidR="004814C6" w:rsidRDefault="004814C6" w14:paraId="3A739655" w14:textId="77777777">
            <w:pPr>
              <w:autoSpaceDE w:val="0"/>
              <w:autoSpaceDN w:val="0"/>
              <w:adjustRightInd w:val="0"/>
              <w:rPr>
                <w:szCs w:val="18"/>
                <w:lang w:eastAsia="nl-NL"/>
              </w:rPr>
            </w:pPr>
            <w:r w:rsidRPr="000B4D4D">
              <w:rPr>
                <w:szCs w:val="18"/>
              </w:rPr>
              <w:t>-</w:t>
            </w:r>
          </w:p>
        </w:tc>
        <w:tc>
          <w:tcPr>
            <w:tcW w:w="1331" w:type="pct"/>
          </w:tcPr>
          <w:p w:rsidRPr="000B4D4D" w:rsidR="004814C6" w:rsidP="00800A85" w:rsidRDefault="004814C6" w14:paraId="7F5B10D1" w14:textId="77777777">
            <w:pPr>
              <w:spacing w:line="276" w:lineRule="auto"/>
              <w:rPr>
                <w:szCs w:val="18"/>
                <w:lang w:eastAsia="nl-NL"/>
              </w:rPr>
            </w:pPr>
            <w:r w:rsidRPr="000B4D4D">
              <w:rPr>
                <w:szCs w:val="18"/>
              </w:rPr>
              <w:t>de opbouw van defensiecapaciteiten</w:t>
            </w:r>
          </w:p>
        </w:tc>
        <w:tc>
          <w:tcPr>
            <w:tcW w:w="700" w:type="pct"/>
          </w:tcPr>
          <w:p w:rsidRPr="000B4D4D" w:rsidR="004814C6" w:rsidP="1A5CB1CB" w:rsidRDefault="004814C6" w14:paraId="63A12F3D" w14:textId="77777777">
            <w:pPr>
              <w:spacing w:line="276" w:lineRule="auto"/>
              <w:rPr>
                <w:szCs w:val="18"/>
              </w:rPr>
            </w:pPr>
            <w:r w:rsidRPr="000B4D4D">
              <w:rPr>
                <w:szCs w:val="18"/>
              </w:rPr>
              <w:t>On-track</w:t>
            </w:r>
          </w:p>
        </w:tc>
      </w:tr>
      <w:tr w:rsidRPr="000B4D4D" w:rsidR="00A448E9" w:rsidTr="00A448E9" w14:paraId="16B8473C" w14:textId="77777777">
        <w:trPr>
          <w:trHeight w:val="300"/>
        </w:trPr>
        <w:tc>
          <w:tcPr>
            <w:tcW w:w="310" w:type="pct"/>
          </w:tcPr>
          <w:p w:rsidRPr="000B4D4D" w:rsidR="004814C6" w:rsidP="1A5CB1CB" w:rsidRDefault="004814C6" w14:paraId="0351D865" w14:textId="77777777">
            <w:pPr>
              <w:rPr>
                <w:szCs w:val="18"/>
              </w:rPr>
            </w:pPr>
            <w:r w:rsidRPr="000B4D4D">
              <w:rPr>
                <w:szCs w:val="18"/>
              </w:rPr>
              <w:t>72</w:t>
            </w:r>
          </w:p>
        </w:tc>
        <w:tc>
          <w:tcPr>
            <w:tcW w:w="1408" w:type="pct"/>
          </w:tcPr>
          <w:p w:rsidRPr="000B4D4D" w:rsidR="004814C6" w:rsidP="1A5CB1CB" w:rsidRDefault="004814C6" w14:paraId="75E75582" w14:textId="77777777">
            <w:pPr>
              <w:spacing w:line="276" w:lineRule="auto"/>
              <w:rPr>
                <w:szCs w:val="18"/>
              </w:rPr>
            </w:pPr>
            <w:r w:rsidRPr="000B4D4D">
              <w:rPr>
                <w:szCs w:val="18"/>
              </w:rPr>
              <w:t>Investering 5: Investeringen Infrastructuur en Vastgoed</w:t>
            </w:r>
          </w:p>
          <w:p w:rsidRPr="000B4D4D" w:rsidR="004814C6" w:rsidRDefault="004814C6" w14:paraId="46C84C9F" w14:textId="77777777">
            <w:pPr>
              <w:rPr>
                <w:szCs w:val="18"/>
                <w:lang w:eastAsia="nl-NL"/>
              </w:rPr>
            </w:pPr>
            <w:r w:rsidRPr="000B4D4D">
              <w:rPr>
                <w:szCs w:val="18"/>
              </w:rPr>
              <w:t>2024-2028 €6,3 mld</w:t>
            </w:r>
          </w:p>
        </w:tc>
        <w:tc>
          <w:tcPr>
            <w:tcW w:w="626" w:type="pct"/>
          </w:tcPr>
          <w:p w:rsidRPr="000B4D4D" w:rsidR="004814C6" w:rsidP="00800A85" w:rsidRDefault="004814C6" w14:paraId="0D304C00" w14:textId="77777777">
            <w:pPr>
              <w:spacing w:line="276" w:lineRule="auto"/>
              <w:rPr>
                <w:szCs w:val="18"/>
                <w:lang w:eastAsia="nl-NL"/>
              </w:rPr>
            </w:pPr>
            <w:r w:rsidRPr="000B4D4D">
              <w:rPr>
                <w:szCs w:val="18"/>
              </w:rPr>
              <w:t>-</w:t>
            </w:r>
          </w:p>
        </w:tc>
        <w:tc>
          <w:tcPr>
            <w:tcW w:w="625" w:type="pct"/>
          </w:tcPr>
          <w:p w:rsidRPr="000B4D4D" w:rsidR="004814C6" w:rsidRDefault="004814C6" w14:paraId="10E0667B" w14:textId="77777777">
            <w:pPr>
              <w:autoSpaceDE w:val="0"/>
              <w:autoSpaceDN w:val="0"/>
              <w:adjustRightInd w:val="0"/>
              <w:rPr>
                <w:szCs w:val="18"/>
                <w:lang w:eastAsia="nl-NL"/>
              </w:rPr>
            </w:pPr>
            <w:r w:rsidRPr="000B4D4D">
              <w:rPr>
                <w:szCs w:val="18"/>
              </w:rPr>
              <w:t>-</w:t>
            </w:r>
          </w:p>
        </w:tc>
        <w:tc>
          <w:tcPr>
            <w:tcW w:w="1331" w:type="pct"/>
          </w:tcPr>
          <w:p w:rsidRPr="000B4D4D" w:rsidR="004814C6" w:rsidP="00800A85" w:rsidRDefault="004814C6" w14:paraId="0BC8454B" w14:textId="77777777">
            <w:pPr>
              <w:spacing w:line="276" w:lineRule="auto"/>
              <w:rPr>
                <w:szCs w:val="18"/>
                <w:lang w:eastAsia="nl-NL"/>
              </w:rPr>
            </w:pPr>
            <w:r w:rsidRPr="000B4D4D">
              <w:rPr>
                <w:szCs w:val="18"/>
              </w:rPr>
              <w:t>de opbouw van defensiecapaciteiten</w:t>
            </w:r>
          </w:p>
        </w:tc>
        <w:tc>
          <w:tcPr>
            <w:tcW w:w="700" w:type="pct"/>
          </w:tcPr>
          <w:p w:rsidRPr="000B4D4D" w:rsidR="004814C6" w:rsidP="1A5CB1CB" w:rsidRDefault="004814C6" w14:paraId="1D170219" w14:textId="77777777">
            <w:pPr>
              <w:spacing w:line="276" w:lineRule="auto"/>
              <w:rPr>
                <w:szCs w:val="18"/>
              </w:rPr>
            </w:pPr>
            <w:r w:rsidRPr="000B4D4D">
              <w:rPr>
                <w:szCs w:val="18"/>
              </w:rPr>
              <w:t>On-track</w:t>
            </w:r>
          </w:p>
        </w:tc>
      </w:tr>
      <w:tr w:rsidRPr="000B4D4D" w:rsidR="00A448E9" w:rsidTr="00A448E9" w14:paraId="4D60E241" w14:textId="77777777">
        <w:trPr>
          <w:trHeight w:val="300"/>
        </w:trPr>
        <w:tc>
          <w:tcPr>
            <w:tcW w:w="310" w:type="pct"/>
          </w:tcPr>
          <w:p w:rsidRPr="000B4D4D" w:rsidR="004814C6" w:rsidP="1A5CB1CB" w:rsidRDefault="004814C6" w14:paraId="36918D95" w14:textId="77777777">
            <w:pPr>
              <w:rPr>
                <w:szCs w:val="18"/>
              </w:rPr>
            </w:pPr>
            <w:r w:rsidRPr="000B4D4D">
              <w:rPr>
                <w:szCs w:val="18"/>
              </w:rPr>
              <w:t>73</w:t>
            </w:r>
          </w:p>
        </w:tc>
        <w:tc>
          <w:tcPr>
            <w:tcW w:w="1408" w:type="pct"/>
          </w:tcPr>
          <w:p w:rsidRPr="000B4D4D" w:rsidR="004814C6" w:rsidP="1A5CB1CB" w:rsidRDefault="004814C6" w14:paraId="08F15D3B" w14:textId="77777777">
            <w:pPr>
              <w:spacing w:line="276" w:lineRule="auto"/>
              <w:rPr>
                <w:szCs w:val="18"/>
              </w:rPr>
            </w:pPr>
            <w:r w:rsidRPr="000B4D4D">
              <w:rPr>
                <w:szCs w:val="18"/>
              </w:rPr>
              <w:t>Investering 6: Investeringen IT</w:t>
            </w:r>
          </w:p>
          <w:p w:rsidRPr="000B4D4D" w:rsidR="004814C6" w:rsidRDefault="004814C6" w14:paraId="2E925A94" w14:textId="77777777">
            <w:pPr>
              <w:rPr>
                <w:szCs w:val="18"/>
                <w:lang w:eastAsia="nl-NL"/>
              </w:rPr>
            </w:pPr>
            <w:r w:rsidRPr="000B4D4D">
              <w:rPr>
                <w:szCs w:val="18"/>
              </w:rPr>
              <w:t>2024-2028 €7,5 mld</w:t>
            </w:r>
          </w:p>
        </w:tc>
        <w:tc>
          <w:tcPr>
            <w:tcW w:w="626" w:type="pct"/>
          </w:tcPr>
          <w:p w:rsidRPr="000B4D4D" w:rsidR="004814C6" w:rsidP="00800A85" w:rsidRDefault="004814C6" w14:paraId="3FA9B7CF" w14:textId="77777777">
            <w:pPr>
              <w:spacing w:line="276" w:lineRule="auto"/>
              <w:rPr>
                <w:szCs w:val="18"/>
                <w:lang w:eastAsia="nl-NL"/>
              </w:rPr>
            </w:pPr>
            <w:r w:rsidRPr="000B4D4D">
              <w:rPr>
                <w:szCs w:val="18"/>
              </w:rPr>
              <w:t>-</w:t>
            </w:r>
          </w:p>
        </w:tc>
        <w:tc>
          <w:tcPr>
            <w:tcW w:w="625" w:type="pct"/>
          </w:tcPr>
          <w:p w:rsidRPr="000B4D4D" w:rsidR="004814C6" w:rsidRDefault="004814C6" w14:paraId="6CFD4415" w14:textId="77777777">
            <w:pPr>
              <w:autoSpaceDE w:val="0"/>
              <w:autoSpaceDN w:val="0"/>
              <w:adjustRightInd w:val="0"/>
              <w:rPr>
                <w:szCs w:val="18"/>
                <w:lang w:eastAsia="nl-NL"/>
              </w:rPr>
            </w:pPr>
            <w:r w:rsidRPr="000B4D4D">
              <w:rPr>
                <w:szCs w:val="18"/>
              </w:rPr>
              <w:t>-</w:t>
            </w:r>
          </w:p>
        </w:tc>
        <w:tc>
          <w:tcPr>
            <w:tcW w:w="1331" w:type="pct"/>
          </w:tcPr>
          <w:p w:rsidRPr="000B4D4D" w:rsidR="004814C6" w:rsidP="00800A85" w:rsidRDefault="004814C6" w14:paraId="4B29C932" w14:textId="77777777">
            <w:pPr>
              <w:spacing w:line="276" w:lineRule="auto"/>
              <w:rPr>
                <w:szCs w:val="18"/>
                <w:lang w:eastAsia="nl-NL"/>
              </w:rPr>
            </w:pPr>
            <w:r w:rsidRPr="000B4D4D">
              <w:rPr>
                <w:szCs w:val="18"/>
              </w:rPr>
              <w:t>de opbouw van defensiecapaciteiten</w:t>
            </w:r>
          </w:p>
        </w:tc>
        <w:tc>
          <w:tcPr>
            <w:tcW w:w="700" w:type="pct"/>
          </w:tcPr>
          <w:p w:rsidRPr="000B4D4D" w:rsidR="004814C6" w:rsidP="1A5CB1CB" w:rsidRDefault="004814C6" w14:paraId="1D186ED7" w14:textId="77777777">
            <w:pPr>
              <w:spacing w:line="276" w:lineRule="auto"/>
              <w:rPr>
                <w:szCs w:val="18"/>
              </w:rPr>
            </w:pPr>
            <w:r w:rsidRPr="000B4D4D">
              <w:rPr>
                <w:szCs w:val="18"/>
              </w:rPr>
              <w:t>On-track</w:t>
            </w:r>
          </w:p>
        </w:tc>
      </w:tr>
      <w:tr w:rsidRPr="000B4D4D" w:rsidR="00A448E9" w:rsidTr="00A448E9" w14:paraId="638F9DCE" w14:textId="77777777">
        <w:trPr>
          <w:trHeight w:val="300"/>
        </w:trPr>
        <w:tc>
          <w:tcPr>
            <w:tcW w:w="310" w:type="pct"/>
          </w:tcPr>
          <w:p w:rsidRPr="000B4D4D" w:rsidR="004814C6" w:rsidP="1A5CB1CB" w:rsidRDefault="004814C6" w14:paraId="18D4C1A4" w14:textId="77777777">
            <w:pPr>
              <w:rPr>
                <w:szCs w:val="18"/>
              </w:rPr>
            </w:pPr>
            <w:r w:rsidRPr="000B4D4D">
              <w:rPr>
                <w:szCs w:val="18"/>
              </w:rPr>
              <w:t>74</w:t>
            </w:r>
          </w:p>
        </w:tc>
        <w:tc>
          <w:tcPr>
            <w:tcW w:w="1408" w:type="pct"/>
          </w:tcPr>
          <w:p w:rsidRPr="000B4D4D" w:rsidR="004814C6" w:rsidRDefault="004814C6" w14:paraId="351564E1" w14:textId="77777777">
            <w:pPr>
              <w:rPr>
                <w:szCs w:val="18"/>
                <w:lang w:eastAsia="nl-NL"/>
              </w:rPr>
            </w:pPr>
            <w:r w:rsidRPr="000B4D4D">
              <w:rPr>
                <w:szCs w:val="18"/>
              </w:rPr>
              <w:t xml:space="preserve">Investering 7: Investeringen nominaal </w:t>
            </w:r>
            <w:r w:rsidRPr="000B4D4D">
              <w:rPr>
                <w:szCs w:val="18"/>
              </w:rPr>
              <w:lastRenderedPageBreak/>
              <w:t>en nog onverdeeld 2024-2028 €0,6 mld</w:t>
            </w:r>
          </w:p>
        </w:tc>
        <w:tc>
          <w:tcPr>
            <w:tcW w:w="626" w:type="pct"/>
          </w:tcPr>
          <w:p w:rsidRPr="000B4D4D" w:rsidR="004814C6" w:rsidP="002D5F54" w:rsidRDefault="004814C6" w14:paraId="10CBDD57" w14:textId="77777777">
            <w:pPr>
              <w:spacing w:line="276" w:lineRule="auto"/>
              <w:rPr>
                <w:szCs w:val="18"/>
                <w:lang w:eastAsia="nl-NL"/>
              </w:rPr>
            </w:pPr>
          </w:p>
        </w:tc>
        <w:tc>
          <w:tcPr>
            <w:tcW w:w="625" w:type="pct"/>
          </w:tcPr>
          <w:p w:rsidRPr="000B4D4D" w:rsidR="004814C6" w:rsidP="002D5F54" w:rsidRDefault="004814C6" w14:paraId="77F6FEA9" w14:textId="77777777">
            <w:pPr>
              <w:autoSpaceDE w:val="0"/>
              <w:autoSpaceDN w:val="0"/>
              <w:adjustRightInd w:val="0"/>
              <w:rPr>
                <w:szCs w:val="18"/>
                <w:lang w:eastAsia="nl-NL"/>
              </w:rPr>
            </w:pPr>
          </w:p>
        </w:tc>
        <w:tc>
          <w:tcPr>
            <w:tcW w:w="1331" w:type="pct"/>
          </w:tcPr>
          <w:p w:rsidRPr="000B4D4D" w:rsidR="004814C6" w:rsidP="002D5F54" w:rsidRDefault="004814C6" w14:paraId="5994921A" w14:textId="77777777">
            <w:pPr>
              <w:spacing w:line="276" w:lineRule="auto"/>
              <w:rPr>
                <w:szCs w:val="18"/>
                <w:lang w:eastAsia="nl-NL"/>
              </w:rPr>
            </w:pPr>
          </w:p>
        </w:tc>
        <w:tc>
          <w:tcPr>
            <w:tcW w:w="700" w:type="pct"/>
          </w:tcPr>
          <w:p w:rsidRPr="000B4D4D" w:rsidR="004814C6" w:rsidP="00800A85" w:rsidRDefault="004814C6" w14:paraId="33B5E143" w14:textId="77777777">
            <w:pPr>
              <w:spacing w:line="276" w:lineRule="auto"/>
              <w:rPr>
                <w:szCs w:val="18"/>
                <w:lang w:eastAsia="nl-NL"/>
              </w:rPr>
            </w:pPr>
            <w:r w:rsidRPr="000B4D4D">
              <w:rPr>
                <w:szCs w:val="18"/>
              </w:rPr>
              <w:t>On-track</w:t>
            </w:r>
          </w:p>
        </w:tc>
      </w:tr>
    </w:tbl>
    <w:p w:rsidRPr="000B4D4D" w:rsidR="007B4931" w:rsidRDefault="007B4931" w14:paraId="3707CD4A" w14:textId="77777777">
      <w:pPr>
        <w:rPr>
          <w:rFonts w:eastAsia="Verdana" w:cs="Verdana"/>
          <w:szCs w:val="18"/>
        </w:rPr>
      </w:pPr>
    </w:p>
    <w:bookmarkEnd w:id="18"/>
    <w:p w:rsidRPr="000B4D4D" w:rsidR="007B4931" w:rsidP="007B4931" w:rsidRDefault="007B4931" w14:paraId="415B71D0" w14:textId="41D1F796">
      <w:pPr>
        <w:rPr>
          <w:rFonts w:eastAsia="Verdana" w:cs="Verdana"/>
          <w:b/>
          <w:bCs/>
          <w:szCs w:val="18"/>
        </w:rPr>
      </w:pPr>
      <w:r w:rsidRPr="000B4D4D">
        <w:rPr>
          <w:rFonts w:eastAsia="Verdana" w:cs="Verdana"/>
          <w:b/>
          <w:bCs/>
          <w:szCs w:val="18"/>
        </w:rPr>
        <w:t>Toelichting per hervorming en investering</w:t>
      </w:r>
    </w:p>
    <w:p w:rsidRPr="000B4D4D" w:rsidR="007B4931" w:rsidP="007B4931" w:rsidRDefault="007B4931" w14:paraId="6C2A21E9" w14:textId="784ACAD0">
      <w:pPr>
        <w:rPr>
          <w:b/>
          <w:szCs w:val="18"/>
        </w:rPr>
      </w:pPr>
      <w:r w:rsidRPr="000B4D4D">
        <w:rPr>
          <w:b/>
          <w:szCs w:val="18"/>
        </w:rPr>
        <w:t>Duurzame Landbouw</w:t>
      </w:r>
    </w:p>
    <w:p w:rsidRPr="000B4D4D" w:rsidR="007B4931" w:rsidP="007B4931" w:rsidRDefault="007B4931" w14:paraId="2763D052" w14:textId="77777777">
      <w:pPr>
        <w:pStyle w:val="Lijstalinea"/>
        <w:numPr>
          <w:ilvl w:val="0"/>
          <w:numId w:val="12"/>
        </w:numPr>
        <w:rPr>
          <w:i/>
          <w:szCs w:val="18"/>
        </w:rPr>
      </w:pPr>
      <w:r w:rsidRPr="000B4D4D">
        <w:rPr>
          <w:i/>
          <w:szCs w:val="18"/>
        </w:rPr>
        <w:t>Ketenaanpak verduurzaming landbouw</w:t>
      </w:r>
    </w:p>
    <w:p w:rsidRPr="000B4D4D" w:rsidR="007B4931" w:rsidP="007B4931" w:rsidRDefault="007B4931" w14:paraId="3B3BAA30" w14:textId="597F8DCB">
      <w:pPr>
        <w:rPr>
          <w:szCs w:val="18"/>
        </w:rPr>
      </w:pPr>
      <w:r w:rsidRPr="000B4D4D">
        <w:rPr>
          <w:szCs w:val="18"/>
        </w:rPr>
        <w:t xml:space="preserve">Met het </w:t>
      </w:r>
      <w:r w:rsidR="00944475">
        <w:rPr>
          <w:szCs w:val="18"/>
        </w:rPr>
        <w:t>h</w:t>
      </w:r>
      <w:r w:rsidRPr="000B4D4D">
        <w:rPr>
          <w:szCs w:val="18"/>
        </w:rPr>
        <w:t xml:space="preserve">oofdlijnenakkoord en het </w:t>
      </w:r>
      <w:r w:rsidR="00944475">
        <w:rPr>
          <w:szCs w:val="18"/>
        </w:rPr>
        <w:t>r</w:t>
      </w:r>
      <w:r w:rsidRPr="000B4D4D">
        <w:rPr>
          <w:szCs w:val="18"/>
        </w:rPr>
        <w:t xml:space="preserve">egeerprogramma heeft het kabinet een nieuwe koers ingeslagen ten aanzien van de manier waarop de landbouw wordt verduurzaamd. De verplichtingen die volgen uit (inter)nationale wet- en regelgeving ten aanzien van natuur en biodiversiteit en klimaat staan. Het kabinet wil deze doelen realiseren uitgaande van de veranderkracht van boeren, tuinders, vissers en andere ondernemers zelf. Daarvoor is in het </w:t>
      </w:r>
      <w:r w:rsidR="00944475">
        <w:rPr>
          <w:szCs w:val="18"/>
        </w:rPr>
        <w:t>h</w:t>
      </w:r>
      <w:r w:rsidRPr="000B4D4D">
        <w:rPr>
          <w:szCs w:val="18"/>
        </w:rPr>
        <w:t>oofdlijnenakkoord deze kabinetsperiode 5 miljard euro gereserveerd. Daarnaast wordt vanaf 2026 structureel 500 miljoen euro extra beschikbaar gesteld voor agrarisch natuurbeheer.</w:t>
      </w:r>
      <w:r w:rsidRPr="000B4D4D" w:rsidR="00D24393">
        <w:rPr>
          <w:szCs w:val="18"/>
        </w:rPr>
        <w:t xml:space="preserve"> De maatregelen worden nog uitgewerkt.</w:t>
      </w:r>
    </w:p>
    <w:p w:rsidRPr="000B4D4D" w:rsidR="007B4931" w:rsidP="007B4931" w:rsidRDefault="007B4931" w14:paraId="7AFCC974" w14:textId="77777777">
      <w:pPr>
        <w:pStyle w:val="Lijstalinea"/>
        <w:numPr>
          <w:ilvl w:val="0"/>
          <w:numId w:val="12"/>
        </w:numPr>
        <w:rPr>
          <w:i/>
          <w:szCs w:val="18"/>
        </w:rPr>
      </w:pPr>
      <w:r w:rsidRPr="000B4D4D">
        <w:rPr>
          <w:i/>
          <w:szCs w:val="18"/>
        </w:rPr>
        <w:t>Omschakelprogramma ‘duurzame landbouw’</w:t>
      </w:r>
    </w:p>
    <w:p w:rsidRPr="000B4D4D" w:rsidR="007B4931" w:rsidP="007B4931" w:rsidRDefault="007B4931" w14:paraId="4EC9550F" w14:textId="77777777">
      <w:pPr>
        <w:rPr>
          <w:szCs w:val="18"/>
        </w:rPr>
      </w:pPr>
      <w:r w:rsidRPr="000B4D4D">
        <w:rPr>
          <w:szCs w:val="18"/>
        </w:rPr>
        <w:t>LVVN ondersteunt agrarisch ondernemers via de investeringsmaatregel ‘Investeringsfonds Duurzame Landbouw’ (IDL) bij het financieren van investeringen die worden gedaan ten behoeve van de omschakeling naar een integraal duurzame bedrijfsvoering. Via het IDL kunnen agrarisch ondernemers financiering aanvragen tegen gunstige financiële voorwaarden. Na een geslaagde pilotperiode van 2,5 jaar, is de investeringsmaatregel ‘Investeringsfonds Duurzame Landbouw’ in juni 2024 voor 10 jaar opengesteld (Kamerbrief 30252, nr. 170). De verwachting is dat de structurele maatregel enkele honderden boeren financieel gaat ondersteunen.</w:t>
      </w:r>
    </w:p>
    <w:p w:rsidRPr="000B4D4D" w:rsidR="007B4931" w:rsidP="007B4931" w:rsidRDefault="007B4931" w14:paraId="1CD10C46" w14:textId="77777777">
      <w:pPr>
        <w:rPr>
          <w:b/>
          <w:szCs w:val="18"/>
        </w:rPr>
      </w:pPr>
      <w:r w:rsidRPr="000B4D4D">
        <w:rPr>
          <w:b/>
          <w:szCs w:val="18"/>
        </w:rPr>
        <w:t>Transitie naar hernieuwbare energie</w:t>
      </w:r>
    </w:p>
    <w:p w:rsidRPr="000B4D4D" w:rsidR="007B4931" w:rsidP="007B4931" w:rsidRDefault="007B4931" w14:paraId="1AD09B85" w14:textId="77777777">
      <w:pPr>
        <w:pStyle w:val="Lijstalinea"/>
        <w:numPr>
          <w:ilvl w:val="0"/>
          <w:numId w:val="12"/>
        </w:numPr>
        <w:rPr>
          <w:i/>
          <w:szCs w:val="18"/>
        </w:rPr>
      </w:pPr>
      <w:bookmarkStart w:name="_Hlk192858170" w:id="20"/>
      <w:bookmarkStart w:name="_Hlk192858187" w:id="21"/>
      <w:r w:rsidRPr="000B4D4D">
        <w:rPr>
          <w:i/>
          <w:szCs w:val="18"/>
        </w:rPr>
        <w:t>Landelijke Actieprogramma Netcongestie</w:t>
      </w:r>
    </w:p>
    <w:p w:rsidRPr="000B4D4D" w:rsidR="007B4931" w:rsidP="007B4931" w:rsidRDefault="007B4931" w14:paraId="4FEAF8BC" w14:textId="77777777">
      <w:pPr>
        <w:rPr>
          <w:kern w:val="0"/>
          <w:szCs w:val="18"/>
          <w14:ligatures w14:val="none"/>
        </w:rPr>
      </w:pPr>
      <w:r w:rsidRPr="000B4D4D">
        <w:rPr>
          <w:szCs w:val="18"/>
        </w:rPr>
        <w:t>In september 2024 heeft het kabinet in zijn regeerprogramma aangekondigd meer regie te gaan voeren op netcongestieproblemen en de toekomstbestendigheid van het elektriciteitsnet. Regie op netcongestie voert het kabinet vooral via het Landelijk Actieprogramma Netcongestie (LAN). Sinds de publicatie van de eerste voortgangsrapportage in juni 2024, is netcongestie in bijna het hele land gestegen. Daarom is het programma uitgebreid, is samenwerking binnen het programma verder gestimuleerd en zijn de maatregelen om netcongestie tegen te gaan geïntensiveerd. Het LAN voert meer dan 100 maatregelen uit langs de actielijnen Sneller Bouwen, Beter Benutten en Slimmer Inzicht.</w:t>
      </w:r>
    </w:p>
    <w:bookmarkEnd w:id="20"/>
    <w:p w:rsidRPr="000B4D4D" w:rsidR="007B4931" w:rsidP="007B4931" w:rsidRDefault="007B4931" w14:paraId="04551FB7" w14:textId="77777777">
      <w:pPr>
        <w:pStyle w:val="Lijstalinea"/>
        <w:numPr>
          <w:ilvl w:val="0"/>
          <w:numId w:val="12"/>
        </w:numPr>
        <w:rPr>
          <w:i/>
          <w:szCs w:val="18"/>
        </w:rPr>
      </w:pPr>
      <w:r w:rsidRPr="000B4D4D">
        <w:rPr>
          <w:i/>
          <w:szCs w:val="18"/>
        </w:rPr>
        <w:t>Meerjarenprogramma Infrastructuur Energie en Klimaat</w:t>
      </w:r>
    </w:p>
    <w:p w:rsidRPr="000B4D4D" w:rsidR="007B4931" w:rsidP="007B4931" w:rsidRDefault="007B4931" w14:paraId="50AE53AC" w14:textId="77777777">
      <w:pPr>
        <w:rPr>
          <w:szCs w:val="18"/>
        </w:rPr>
      </w:pPr>
      <w:r w:rsidRPr="000B4D4D">
        <w:rPr>
          <w:szCs w:val="18"/>
        </w:rPr>
        <w:t xml:space="preserve">Het afgelopen jaar is bij meerdere projecten de concept- of definitieve Notitie Reikwijdte en Detailniveau (NRD) gepubliceerd. In de NRD staat beschreven welke routes of locaties voor een project worden onderzocht en op welke manier dit onderzoek zal plaatsvinden. </w:t>
      </w:r>
    </w:p>
    <w:p w:rsidRPr="000B4D4D" w:rsidR="007B4931" w:rsidP="007B4931" w:rsidRDefault="007B4931" w14:paraId="4ACCBD0F" w14:textId="77777777">
      <w:pPr>
        <w:rPr>
          <w:szCs w:val="18"/>
        </w:rPr>
      </w:pPr>
      <w:r w:rsidRPr="000B4D4D">
        <w:rPr>
          <w:szCs w:val="18"/>
        </w:rPr>
        <w:t>Ook bij de nationale CO2-opslagprojecten zijn belangrijke mijlpalen bereikt. Zo is begin 2024 begonnen met de aanleg van de infrastructuur voor het Porthos-project en zijn voor het Aramis-project het ontwerpprojectbesluit, een aantal ontwerpbesluiten en het milieueffectrapport (MER) gepubliceerd.</w:t>
      </w:r>
    </w:p>
    <w:p w:rsidRPr="000B4D4D" w:rsidR="007B4931" w:rsidP="007B4931" w:rsidRDefault="007B4931" w14:paraId="2B7DBE8B" w14:textId="77777777">
      <w:pPr>
        <w:pStyle w:val="Lijstalinea"/>
        <w:numPr>
          <w:ilvl w:val="0"/>
          <w:numId w:val="12"/>
        </w:numPr>
        <w:rPr>
          <w:szCs w:val="18"/>
        </w:rPr>
      </w:pPr>
      <w:bookmarkStart w:name="_Hlk192858201" w:id="22"/>
      <w:bookmarkEnd w:id="21"/>
      <w:r w:rsidRPr="000B4D4D">
        <w:rPr>
          <w:i/>
          <w:szCs w:val="18"/>
        </w:rPr>
        <w:t xml:space="preserve">Programma Energiehoofdstructuur </w:t>
      </w:r>
    </w:p>
    <w:p w:rsidRPr="000B4D4D" w:rsidR="007B4931" w:rsidP="007B4931" w:rsidRDefault="007B4931" w14:paraId="1203A906" w14:textId="62C5F261">
      <w:pPr>
        <w:rPr>
          <w:szCs w:val="18"/>
        </w:rPr>
      </w:pPr>
      <w:r w:rsidRPr="000B4D4D">
        <w:rPr>
          <w:szCs w:val="18"/>
        </w:rPr>
        <w:t>Het Programma Energiehoofdstructuur (PEH) is in maart 2024 gepubliceerd, samen met een uitvoeringsagenda. In het PEH staan structurerende keuzes in het ruimtelijk domein voor het energiesysteem van nationaal belang. Locatiesturing op vraag en aanbod is belangrijk als dempende maatregel voor de benodigde transportinfrastructuur. Er is bijvoorbeeld berekend dat suboptimale inpassing van conversievermogen, ver van wind op zee, 10 m</w:t>
      </w:r>
      <w:r w:rsidR="000C1EFA">
        <w:rPr>
          <w:szCs w:val="18"/>
        </w:rPr>
        <w:t>i</w:t>
      </w:r>
      <w:r w:rsidRPr="000B4D4D">
        <w:rPr>
          <w:szCs w:val="18"/>
        </w:rPr>
        <w:t>l</w:t>
      </w:r>
      <w:r w:rsidR="000C1EFA">
        <w:rPr>
          <w:szCs w:val="18"/>
        </w:rPr>
        <w:t>jar</w:t>
      </w:r>
      <w:r w:rsidRPr="000B4D4D">
        <w:rPr>
          <w:szCs w:val="18"/>
        </w:rPr>
        <w:t>d</w:t>
      </w:r>
      <w:r w:rsidR="000C1EFA">
        <w:rPr>
          <w:szCs w:val="18"/>
        </w:rPr>
        <w:t xml:space="preserve"> euro</w:t>
      </w:r>
      <w:r w:rsidRPr="000B4D4D">
        <w:rPr>
          <w:szCs w:val="18"/>
        </w:rPr>
        <w:t xml:space="preserve"> meer kost dan wanneer PEH wordt gevolgd en ruimte vrij wordt gemaakt naast de aanlanding van wind op zee. Belangrijke acties uit de uitvoeringsagenda liggen op schema. De wetswijziging in de Energiewet </w:t>
      </w:r>
      <w:r w:rsidRPr="000B4D4D">
        <w:rPr>
          <w:szCs w:val="18"/>
        </w:rPr>
        <w:lastRenderedPageBreak/>
        <w:t>treedt in werking op 1 januari 2026 en de wijzigingen in de Omgevingswet naar aanleiding van PEH treden in werking op 1 juli 2026.</w:t>
      </w:r>
    </w:p>
    <w:p w:rsidRPr="000B4D4D" w:rsidR="007B4931" w:rsidP="007B4931" w:rsidRDefault="007B4931" w14:paraId="31780C72" w14:textId="77777777">
      <w:pPr>
        <w:pStyle w:val="Lijstalinea"/>
        <w:numPr>
          <w:ilvl w:val="0"/>
          <w:numId w:val="12"/>
        </w:numPr>
        <w:rPr>
          <w:i/>
          <w:szCs w:val="18"/>
        </w:rPr>
      </w:pPr>
      <w:r w:rsidRPr="000B4D4D">
        <w:rPr>
          <w:i/>
          <w:szCs w:val="18"/>
        </w:rPr>
        <w:t>Omgevingswet</w:t>
      </w:r>
    </w:p>
    <w:p w:rsidRPr="000B4D4D" w:rsidR="007B4931" w:rsidP="007B4931" w:rsidRDefault="007B4931" w14:paraId="65822CE8" w14:textId="77777777">
      <w:pPr>
        <w:rPr>
          <w:szCs w:val="18"/>
        </w:rPr>
      </w:pPr>
      <w:r w:rsidRPr="000B4D4D">
        <w:rPr>
          <w:szCs w:val="18"/>
        </w:rPr>
        <w:t xml:space="preserve">Wet is per 1 januari 2024 in werking getreden. </w:t>
      </w:r>
    </w:p>
    <w:p w:rsidRPr="000B4D4D" w:rsidR="007B4931" w:rsidP="007B4931" w:rsidRDefault="007B4931" w14:paraId="4E01A2A9" w14:textId="77777777">
      <w:pPr>
        <w:pStyle w:val="Lijstalinea"/>
        <w:numPr>
          <w:ilvl w:val="0"/>
          <w:numId w:val="12"/>
        </w:numPr>
        <w:rPr>
          <w:i/>
          <w:szCs w:val="18"/>
        </w:rPr>
      </w:pPr>
      <w:r w:rsidRPr="000B4D4D">
        <w:rPr>
          <w:i/>
          <w:szCs w:val="18"/>
        </w:rPr>
        <w:t>SDE++</w:t>
      </w:r>
    </w:p>
    <w:p w:rsidRPr="000B4D4D" w:rsidR="007B4931" w:rsidP="007B4931" w:rsidRDefault="007B4931" w14:paraId="2FCA1A31" w14:textId="77777777">
      <w:pPr>
        <w:rPr>
          <w:szCs w:val="18"/>
        </w:rPr>
      </w:pPr>
      <w:r w:rsidRPr="000B4D4D">
        <w:rPr>
          <w:szCs w:val="18"/>
        </w:rPr>
        <w:t>Recente ontwikkelingen op de SDE++ staan beschreven in CSR 2023.4.2.</w:t>
      </w:r>
    </w:p>
    <w:p w:rsidRPr="000B4D4D" w:rsidR="007B4931" w:rsidP="007B4931" w:rsidRDefault="007B4931" w14:paraId="775B99BF" w14:textId="77777777">
      <w:pPr>
        <w:pStyle w:val="Lijstalinea"/>
        <w:numPr>
          <w:ilvl w:val="0"/>
          <w:numId w:val="12"/>
        </w:numPr>
        <w:rPr>
          <w:i/>
          <w:szCs w:val="18"/>
        </w:rPr>
      </w:pPr>
      <w:r w:rsidRPr="000B4D4D">
        <w:rPr>
          <w:i/>
          <w:szCs w:val="18"/>
        </w:rPr>
        <w:t>Klimaat- en Transitiefonds</w:t>
      </w:r>
    </w:p>
    <w:p w:rsidRPr="000B4D4D" w:rsidR="007B4931" w:rsidP="007B4931" w:rsidRDefault="007B4931" w14:paraId="10262D53" w14:textId="2D39D87E">
      <w:pPr>
        <w:rPr>
          <w:szCs w:val="18"/>
        </w:rPr>
      </w:pPr>
      <w:r w:rsidRPr="000B4D4D">
        <w:rPr>
          <w:szCs w:val="18"/>
        </w:rPr>
        <w:t>In de afgelopen jaren is er circa 15 m</w:t>
      </w:r>
      <w:r w:rsidR="000C1EFA">
        <w:rPr>
          <w:szCs w:val="18"/>
        </w:rPr>
        <w:t>i</w:t>
      </w:r>
      <w:r w:rsidRPr="000B4D4D">
        <w:rPr>
          <w:szCs w:val="18"/>
        </w:rPr>
        <w:t>l</w:t>
      </w:r>
      <w:r w:rsidR="000C1EFA">
        <w:rPr>
          <w:szCs w:val="18"/>
        </w:rPr>
        <w:t>jar</w:t>
      </w:r>
      <w:r w:rsidRPr="000B4D4D">
        <w:rPr>
          <w:szCs w:val="18"/>
        </w:rPr>
        <w:t>d</w:t>
      </w:r>
      <w:r w:rsidR="000C1EFA">
        <w:rPr>
          <w:szCs w:val="18"/>
        </w:rPr>
        <w:t xml:space="preserve"> euro</w:t>
      </w:r>
      <w:r w:rsidRPr="000B4D4D">
        <w:rPr>
          <w:szCs w:val="18"/>
        </w:rPr>
        <w:t xml:space="preserve"> toegekend aan klimaat- en energie investeringen via het Klimaatfonds. Voor besluitvorming over het Meerjarenprogramma 2025 resteerde nog </w:t>
      </w:r>
      <w:r w:rsidR="000C1EFA">
        <w:rPr>
          <w:szCs w:val="18"/>
        </w:rPr>
        <w:t>21,1 miljard euro</w:t>
      </w:r>
      <w:r w:rsidRPr="000B4D4D">
        <w:rPr>
          <w:szCs w:val="18"/>
        </w:rPr>
        <w:t xml:space="preserve">, waarvan 15,3 </w:t>
      </w:r>
      <w:r w:rsidR="000C1EFA">
        <w:rPr>
          <w:szCs w:val="18"/>
        </w:rPr>
        <w:t>miljard euro</w:t>
      </w:r>
      <w:r w:rsidRPr="000B4D4D">
        <w:rPr>
          <w:szCs w:val="18"/>
        </w:rPr>
        <w:t xml:space="preserve"> gereserveerd is voor specifieke maatregelen van 2025. Het kabinet heeft het Klimaatfonds met 1,2 </w:t>
      </w:r>
      <w:r w:rsidR="000C1EFA">
        <w:rPr>
          <w:szCs w:val="18"/>
        </w:rPr>
        <w:t>miljard euro</w:t>
      </w:r>
      <w:r w:rsidRPr="000B4D4D">
        <w:rPr>
          <w:szCs w:val="18"/>
        </w:rPr>
        <w:t xml:space="preserve"> verminderd via bezuinigingen op waterstof en batterijen en 9,5 </w:t>
      </w:r>
      <w:r w:rsidR="000C1EFA">
        <w:rPr>
          <w:szCs w:val="18"/>
        </w:rPr>
        <w:t>miljard euro</w:t>
      </w:r>
      <w:r w:rsidRPr="000B4D4D">
        <w:rPr>
          <w:szCs w:val="18"/>
        </w:rPr>
        <w:t xml:space="preserve"> aan het fonds toegevoegd voor kernenergie.</w:t>
      </w:r>
    </w:p>
    <w:bookmarkEnd w:id="22"/>
    <w:p w:rsidRPr="000B4D4D" w:rsidR="007B4931" w:rsidP="007B4931" w:rsidRDefault="007B4931" w14:paraId="23A58339" w14:textId="77777777">
      <w:pPr>
        <w:rPr>
          <w:b/>
          <w:szCs w:val="18"/>
        </w:rPr>
      </w:pPr>
      <w:r w:rsidRPr="000B4D4D">
        <w:rPr>
          <w:b/>
          <w:szCs w:val="18"/>
        </w:rPr>
        <w:t>Energie-efficiëntie, met name in de gebouwde omgeving</w:t>
      </w:r>
    </w:p>
    <w:p w:rsidRPr="000B4D4D" w:rsidR="007B4931" w:rsidP="007B4931" w:rsidRDefault="007B4931" w14:paraId="1FA7F2C8" w14:textId="77777777">
      <w:pPr>
        <w:pStyle w:val="Lijstalinea"/>
        <w:numPr>
          <w:ilvl w:val="0"/>
          <w:numId w:val="12"/>
        </w:numPr>
        <w:rPr>
          <w:i/>
          <w:szCs w:val="18"/>
        </w:rPr>
      </w:pPr>
      <w:r w:rsidRPr="000B4D4D">
        <w:rPr>
          <w:i/>
          <w:szCs w:val="18"/>
        </w:rPr>
        <w:t>Programma Versnelling Verduurzaming Gebouwde Omgeving (PVGO)</w:t>
      </w:r>
    </w:p>
    <w:p w:rsidRPr="000B4D4D" w:rsidR="007B4931" w:rsidP="007B4931" w:rsidRDefault="007B4931" w14:paraId="0919AAAB" w14:textId="77777777">
      <w:pPr>
        <w:rPr>
          <w:szCs w:val="18"/>
        </w:rPr>
      </w:pPr>
      <w:r w:rsidRPr="000B4D4D">
        <w:rPr>
          <w:szCs w:val="18"/>
        </w:rPr>
        <w:t xml:space="preserve">Om het nationale doel van 55% CO2 reductie in 2030 te realiseren, moet de CO2 emissie in gebouwde omgeving naar 15,3 megaton in 2030. </w:t>
      </w:r>
    </w:p>
    <w:p w:rsidRPr="00CD05BC" w:rsidR="007B4931" w:rsidP="007B4931" w:rsidRDefault="007B4931" w14:paraId="38B50497" w14:textId="263477B9">
      <w:pPr>
        <w:rPr>
          <w:rFonts w:ascii="Aptos" w:hAnsi="Aptos"/>
          <w:szCs w:val="18"/>
        </w:rPr>
      </w:pPr>
      <w:r w:rsidRPr="000B4D4D">
        <w:rPr>
          <w:szCs w:val="18"/>
        </w:rPr>
        <w:t>Het aardgasverbruik in de gebouwde omgeving is verder afgenomen waardoor de CO2 emissies zijn gedaald naar 17,3 megaton in 2023.</w:t>
      </w:r>
      <w:r w:rsidRPr="00CD05BC">
        <w:rPr>
          <w:rFonts w:ascii="Aptos" w:hAnsi="Aptos"/>
          <w:szCs w:val="18"/>
        </w:rPr>
        <w:t xml:space="preserve"> </w:t>
      </w:r>
      <w:r w:rsidRPr="000B4D4D">
        <w:rPr>
          <w:szCs w:val="18"/>
        </w:rPr>
        <w:t xml:space="preserve">Dit komt onder andere door een sterke toename van (hybride) warmtepompen. Ook de isolatie van woningen zet door: het subsidiebedrag dat particulieren voor isolatie hebben aangevraagd is in 2023 gestegen tot 215 </w:t>
      </w:r>
      <w:r w:rsidR="000C1EFA">
        <w:rPr>
          <w:szCs w:val="18"/>
        </w:rPr>
        <w:t>miljoen euro</w:t>
      </w:r>
      <w:r w:rsidRPr="000B4D4D">
        <w:rPr>
          <w:szCs w:val="18"/>
        </w:rPr>
        <w:t xml:space="preserve">. </w:t>
      </w:r>
    </w:p>
    <w:p w:rsidRPr="000B4D4D" w:rsidR="007B4931" w:rsidP="007B4931" w:rsidRDefault="007B4931" w14:paraId="137DDD9D" w14:textId="77777777">
      <w:pPr>
        <w:rPr>
          <w:szCs w:val="18"/>
        </w:rPr>
      </w:pPr>
      <w:r w:rsidRPr="000B4D4D">
        <w:rPr>
          <w:szCs w:val="18"/>
        </w:rPr>
        <w:t xml:space="preserve">Het wetsvoorstel Gemeentelijke instrumenten warmtetransitie is aangenomen. Dit is een belangrijke randvoorwaarde voor het slagen van de wijkaanpak. Met de woningcorporatiesector zijn afspraken gemaakt over het verbeteren van energie-onzuinige huurwoningen. In het kader van de verduurzaming in de utiliteitsbouw wordt EPBD IV geïmplementeerd waardoor de utiliteitsbouw energiezuiniger wordt. </w:t>
      </w:r>
    </w:p>
    <w:p w:rsidRPr="000B4D4D" w:rsidR="007B4931" w:rsidP="007B4931" w:rsidRDefault="007B4931" w14:paraId="5EAB91D2" w14:textId="77777777">
      <w:pPr>
        <w:rPr>
          <w:szCs w:val="18"/>
        </w:rPr>
      </w:pPr>
      <w:r w:rsidRPr="000B4D4D">
        <w:rPr>
          <w:szCs w:val="18"/>
        </w:rPr>
        <w:t>De ontwikkeling van warmtenetten verloopt stroever. Naar verwachting kan de Wet collectieve warmtevoorziening die momenteel in behandeling is in het parlement, hier verbetering in brengen.</w:t>
      </w:r>
    </w:p>
    <w:p w:rsidRPr="000B4D4D" w:rsidR="007B4931" w:rsidP="007B4931" w:rsidRDefault="007B4931" w14:paraId="7706118F" w14:textId="77777777">
      <w:pPr>
        <w:pStyle w:val="Lijstalinea"/>
        <w:numPr>
          <w:ilvl w:val="0"/>
          <w:numId w:val="12"/>
        </w:numPr>
        <w:rPr>
          <w:i/>
          <w:szCs w:val="18"/>
        </w:rPr>
      </w:pPr>
      <w:r w:rsidRPr="000B4D4D">
        <w:rPr>
          <w:i/>
          <w:szCs w:val="18"/>
        </w:rPr>
        <w:t>Actualisering van de Energiebesparingsplicht</w:t>
      </w:r>
    </w:p>
    <w:p w:rsidRPr="000B4D4D" w:rsidR="007B4931" w:rsidP="007B4931" w:rsidRDefault="007B4931" w14:paraId="3EDC86D9" w14:textId="6DA180A3">
      <w:pPr>
        <w:rPr>
          <w:szCs w:val="18"/>
        </w:rPr>
      </w:pPr>
      <w:r w:rsidRPr="000B4D4D">
        <w:rPr>
          <w:szCs w:val="18"/>
        </w:rPr>
        <w:t>Deze hervorming is</w:t>
      </w:r>
      <w:r w:rsidRPr="000B4D4D" w:rsidR="00D24393">
        <w:rPr>
          <w:szCs w:val="18"/>
        </w:rPr>
        <w:t xml:space="preserve"> in 2023</w:t>
      </w:r>
      <w:r w:rsidRPr="000B4D4D">
        <w:rPr>
          <w:szCs w:val="18"/>
        </w:rPr>
        <w:t xml:space="preserve"> voltooid.</w:t>
      </w:r>
    </w:p>
    <w:p w:rsidRPr="000B4D4D" w:rsidR="007B4931" w:rsidP="007B4931" w:rsidRDefault="007B4931" w14:paraId="2D2DFBE3" w14:textId="77777777">
      <w:pPr>
        <w:rPr>
          <w:b/>
          <w:szCs w:val="18"/>
        </w:rPr>
      </w:pPr>
      <w:r w:rsidRPr="000B4D4D">
        <w:rPr>
          <w:b/>
          <w:szCs w:val="18"/>
        </w:rPr>
        <w:t>Vaardigheden t.b.v. de groene transitie</w:t>
      </w:r>
    </w:p>
    <w:p w:rsidRPr="000B4D4D" w:rsidR="007B4931" w:rsidP="007B4931" w:rsidRDefault="007B4931" w14:paraId="58251120" w14:textId="77777777">
      <w:pPr>
        <w:pStyle w:val="Lijstalinea"/>
        <w:numPr>
          <w:ilvl w:val="0"/>
          <w:numId w:val="12"/>
        </w:numPr>
        <w:rPr>
          <w:i/>
          <w:szCs w:val="18"/>
        </w:rPr>
      </w:pPr>
      <w:r w:rsidRPr="000B4D4D">
        <w:rPr>
          <w:i/>
          <w:szCs w:val="18"/>
        </w:rPr>
        <w:t>Actieplan Groene en Digitale banen</w:t>
      </w:r>
    </w:p>
    <w:p w:rsidRPr="000B4D4D" w:rsidR="007B4931" w:rsidP="007B4931" w:rsidRDefault="007B4931" w14:paraId="210ED46A" w14:textId="77777777">
      <w:pPr>
        <w:spacing w:line="276" w:lineRule="auto"/>
        <w:rPr>
          <w:szCs w:val="18"/>
        </w:rPr>
      </w:pPr>
      <w:r w:rsidRPr="000B4D4D">
        <w:rPr>
          <w:szCs w:val="18"/>
        </w:rPr>
        <w:t>Het kabinet versterkt deze samenwerking onder andere via de Human Capital Agenda ICT, die specifiek gericht is op de tekorten van digitale professionals op de arbeidsmarkt.</w:t>
      </w:r>
    </w:p>
    <w:p w:rsidRPr="000B4D4D" w:rsidR="007B4931" w:rsidP="007B4931" w:rsidRDefault="007B4931" w14:paraId="50F7AD8A" w14:textId="77777777">
      <w:pPr>
        <w:rPr>
          <w:b/>
          <w:szCs w:val="18"/>
        </w:rPr>
      </w:pPr>
      <w:r w:rsidRPr="000B4D4D">
        <w:rPr>
          <w:b/>
          <w:szCs w:val="18"/>
        </w:rPr>
        <w:t>Onderzoek en ontwikkeling (R&amp;D)</w:t>
      </w:r>
    </w:p>
    <w:p w:rsidRPr="000B4D4D" w:rsidR="007B4931" w:rsidP="007B4931" w:rsidRDefault="007B4931" w14:paraId="48C96877" w14:textId="7645C20E">
      <w:pPr>
        <w:pStyle w:val="Lijstalinea"/>
        <w:numPr>
          <w:ilvl w:val="0"/>
          <w:numId w:val="12"/>
        </w:numPr>
        <w:rPr>
          <w:i/>
          <w:szCs w:val="18"/>
        </w:rPr>
      </w:pPr>
      <w:r w:rsidRPr="000B4D4D">
        <w:rPr>
          <w:i/>
          <w:szCs w:val="18"/>
        </w:rPr>
        <w:t xml:space="preserve">Investeringen in onderzoek en ontwikkeling vanuit het </w:t>
      </w:r>
      <w:r w:rsidR="008470E5">
        <w:rPr>
          <w:i/>
          <w:szCs w:val="18"/>
        </w:rPr>
        <w:t>NGF</w:t>
      </w:r>
      <w:r w:rsidRPr="000B4D4D">
        <w:rPr>
          <w:i/>
          <w:szCs w:val="18"/>
        </w:rPr>
        <w:t xml:space="preserve"> (5,5 miljard euro voorwaardelijk toegekend of gereserveerd per eind 2023)</w:t>
      </w:r>
    </w:p>
    <w:p w:rsidRPr="000B4D4D" w:rsidR="007B4931" w:rsidP="007B4931" w:rsidRDefault="007B4931" w14:paraId="71B97532" w14:textId="77777777">
      <w:pPr>
        <w:rPr>
          <w:kern w:val="0"/>
          <w:szCs w:val="18"/>
          <w14:ligatures w14:val="none"/>
        </w:rPr>
      </w:pPr>
      <w:r w:rsidRPr="000B4D4D">
        <w:rPr>
          <w:szCs w:val="18"/>
        </w:rPr>
        <w:t xml:space="preserve">Binnen de RDI-pijler van het NGF zijn in drie rondes in totaal 36 projecten toegekend. Deze NGF-projecten hebben als doel om het verdienvermogen van Nederland te versterken door bij te dragen aan Research, Development en Innovation binnen de thema’s sleuteltechnologieën, landbouw &amp; leefomgeving, gezondheid &amp; zorg, veiligheid en digitalisering, energie en duurzame ontwikkeling en mobiliteit. De eerste NGF-projecten zijn in 2021 van start gegaan.  </w:t>
      </w:r>
    </w:p>
    <w:p w:rsidRPr="000B4D4D" w:rsidR="007B4931" w:rsidP="007B4931" w:rsidRDefault="007B4931" w14:paraId="72D1E271" w14:textId="77777777">
      <w:pPr>
        <w:pStyle w:val="Lijstalinea"/>
        <w:numPr>
          <w:ilvl w:val="0"/>
          <w:numId w:val="12"/>
        </w:numPr>
        <w:rPr>
          <w:i/>
          <w:szCs w:val="18"/>
        </w:rPr>
      </w:pPr>
      <w:r w:rsidRPr="000B4D4D">
        <w:rPr>
          <w:i/>
          <w:szCs w:val="18"/>
        </w:rPr>
        <w:t>Quantum Delta NL (277,9 miljoen euro)</w:t>
      </w:r>
    </w:p>
    <w:p w:rsidRPr="000B4D4D" w:rsidR="007B4931" w:rsidP="007B4931" w:rsidRDefault="007B4931" w14:paraId="78E8FCD0" w14:textId="485F55DB">
      <w:pPr>
        <w:rPr>
          <w:szCs w:val="18"/>
        </w:rPr>
      </w:pPr>
      <w:r w:rsidRPr="000B4D4D">
        <w:rPr>
          <w:szCs w:val="18"/>
        </w:rPr>
        <w:t>Deze investering is</w:t>
      </w:r>
      <w:r w:rsidRPr="000B4D4D" w:rsidR="00D24393">
        <w:rPr>
          <w:szCs w:val="18"/>
        </w:rPr>
        <w:t xml:space="preserve"> in 2024</w:t>
      </w:r>
      <w:r w:rsidRPr="000B4D4D">
        <w:rPr>
          <w:szCs w:val="18"/>
        </w:rPr>
        <w:t xml:space="preserve"> voltooid. </w:t>
      </w:r>
    </w:p>
    <w:p w:rsidRPr="000B4D4D" w:rsidR="007B4931" w:rsidP="007B4931" w:rsidRDefault="007B4931" w14:paraId="1D37A9D5" w14:textId="77777777">
      <w:pPr>
        <w:pStyle w:val="Lijstalinea"/>
        <w:numPr>
          <w:ilvl w:val="0"/>
          <w:numId w:val="12"/>
        </w:numPr>
        <w:rPr>
          <w:i/>
          <w:szCs w:val="18"/>
        </w:rPr>
      </w:pPr>
      <w:r w:rsidRPr="000B4D4D">
        <w:rPr>
          <w:i/>
          <w:szCs w:val="18"/>
        </w:rPr>
        <w:lastRenderedPageBreak/>
        <w:t>Strategie Digitale Economie: Generieke Instrumenten</w:t>
      </w:r>
    </w:p>
    <w:p w:rsidRPr="000B4D4D" w:rsidR="007B4931" w:rsidP="007B4931" w:rsidRDefault="007B4931" w14:paraId="7B7B0400" w14:textId="47F86110">
      <w:pPr>
        <w:rPr>
          <w:szCs w:val="18"/>
        </w:rPr>
      </w:pPr>
      <w:r w:rsidRPr="000B4D4D">
        <w:rPr>
          <w:szCs w:val="18"/>
        </w:rPr>
        <w:t xml:space="preserve">In het </w:t>
      </w:r>
      <w:r w:rsidR="00397600">
        <w:rPr>
          <w:szCs w:val="18"/>
        </w:rPr>
        <w:t>budgettair-structureel plan voor de middellange termijn</w:t>
      </w:r>
      <w:r w:rsidRPr="000B4D4D">
        <w:rPr>
          <w:szCs w:val="18"/>
        </w:rPr>
        <w:t xml:space="preserve"> worden specifiek de regelingen Wet Bevordering Speur- en Ontwikkelingswerk (WBSO), het Digital Europe Programma en Internationaal Innoveren uitgelicht. Voor de WBSO, Digital en Internationaal innoveren zijn er geen noemenswaardige wijzigingen opgetreden. </w:t>
      </w:r>
    </w:p>
    <w:p w:rsidRPr="000B4D4D" w:rsidR="007B4931" w:rsidP="007B4931" w:rsidRDefault="007B4931" w14:paraId="395579F9" w14:textId="77777777">
      <w:pPr>
        <w:pStyle w:val="Lijstalinea"/>
        <w:numPr>
          <w:ilvl w:val="0"/>
          <w:numId w:val="12"/>
        </w:numPr>
        <w:rPr>
          <w:i/>
          <w:szCs w:val="18"/>
        </w:rPr>
      </w:pPr>
      <w:r w:rsidRPr="000B4D4D">
        <w:rPr>
          <w:i/>
          <w:szCs w:val="18"/>
        </w:rPr>
        <w:t>Strategie Digitale Economie: Specifieke Instrumenten</w:t>
      </w:r>
    </w:p>
    <w:p w:rsidRPr="000B4D4D" w:rsidR="007B4931" w:rsidP="007B4931" w:rsidRDefault="007B4931" w14:paraId="1F35169B" w14:textId="2778E5EA">
      <w:pPr>
        <w:rPr>
          <w:szCs w:val="18"/>
        </w:rPr>
      </w:pPr>
      <w:r w:rsidRPr="000B4D4D">
        <w:rPr>
          <w:szCs w:val="18"/>
        </w:rPr>
        <w:t xml:space="preserve">De specifieke instrumenten genoemd in het </w:t>
      </w:r>
      <w:r w:rsidR="00397600">
        <w:rPr>
          <w:szCs w:val="18"/>
        </w:rPr>
        <w:t>budgettair-structureel plan voor de middellange termijn</w:t>
      </w:r>
      <w:r w:rsidRPr="000B4D4D">
        <w:rPr>
          <w:szCs w:val="18"/>
        </w:rPr>
        <w:t>, IPCEI CIS en IPCEI ME2, kennen geen nieuwe ontwikkelingen. Voor IPCEI CIS is 71,2</w:t>
      </w:r>
      <w:r w:rsidRPr="000B4D4D" w:rsidDel="00DA4E7C">
        <w:rPr>
          <w:szCs w:val="18"/>
        </w:rPr>
        <w:t xml:space="preserve"> </w:t>
      </w:r>
      <w:r w:rsidR="00DA4E7C">
        <w:rPr>
          <w:szCs w:val="18"/>
        </w:rPr>
        <w:t>miljoen euro</w:t>
      </w:r>
      <w:r w:rsidRPr="000B4D4D" w:rsidR="00DA4E7C">
        <w:rPr>
          <w:szCs w:val="18"/>
        </w:rPr>
        <w:t xml:space="preserve"> </w:t>
      </w:r>
      <w:r w:rsidRPr="000B4D4D">
        <w:rPr>
          <w:szCs w:val="18"/>
        </w:rPr>
        <w:t xml:space="preserve">beschikbaar, en voor IPCEI ME2 is 250,1 </w:t>
      </w:r>
      <w:r w:rsidR="00DA4E7C">
        <w:rPr>
          <w:szCs w:val="18"/>
        </w:rPr>
        <w:t>miljoen euro</w:t>
      </w:r>
      <w:r w:rsidRPr="000B4D4D" w:rsidR="00DA4E7C">
        <w:rPr>
          <w:szCs w:val="18"/>
        </w:rPr>
        <w:t xml:space="preserve"> </w:t>
      </w:r>
      <w:r w:rsidRPr="000B4D4D">
        <w:rPr>
          <w:szCs w:val="18"/>
        </w:rPr>
        <w:t xml:space="preserve">geraamd voor de periode 2025 tot en met 2029. </w:t>
      </w:r>
    </w:p>
    <w:p w:rsidRPr="000B4D4D" w:rsidR="007B4931" w:rsidP="007B4931" w:rsidRDefault="007B4931" w14:paraId="52B10748" w14:textId="77777777">
      <w:pPr>
        <w:pStyle w:val="Lijstalinea"/>
        <w:numPr>
          <w:ilvl w:val="0"/>
          <w:numId w:val="12"/>
        </w:numPr>
        <w:rPr>
          <w:i/>
          <w:szCs w:val="18"/>
        </w:rPr>
      </w:pPr>
      <w:r w:rsidRPr="000B4D4D">
        <w:rPr>
          <w:i/>
          <w:szCs w:val="18"/>
        </w:rPr>
        <w:t>Strategie Digitale Economie: Nationale Groeifonds</w:t>
      </w:r>
    </w:p>
    <w:p w:rsidRPr="000B4D4D" w:rsidR="007B4931" w:rsidP="007B4931" w:rsidRDefault="007B4931" w14:paraId="6C71403A" w14:textId="04B1C09E">
      <w:pPr>
        <w:rPr>
          <w:szCs w:val="18"/>
        </w:rPr>
      </w:pPr>
      <w:r w:rsidRPr="000B4D4D">
        <w:rPr>
          <w:szCs w:val="18"/>
        </w:rPr>
        <w:t>Vanuit het NGF wordt in totaal 1,8 miljard</w:t>
      </w:r>
      <w:r w:rsidR="00DA4E7C">
        <w:rPr>
          <w:szCs w:val="18"/>
        </w:rPr>
        <w:t xml:space="preserve"> euro</w:t>
      </w:r>
      <w:r w:rsidRPr="000B4D4D">
        <w:rPr>
          <w:szCs w:val="18"/>
        </w:rPr>
        <w:t xml:space="preserve"> geïnvesteerd in digitale projecten. Voorbeelden van projecten met een 100 procent aandeel van digitalisering zijn AINED (189 </w:t>
      </w:r>
      <w:r w:rsidR="00DA4E7C">
        <w:rPr>
          <w:szCs w:val="18"/>
        </w:rPr>
        <w:t>miljoen euro</w:t>
      </w:r>
      <w:r w:rsidRPr="000B4D4D">
        <w:rPr>
          <w:szCs w:val="18"/>
        </w:rPr>
        <w:t xml:space="preserve">), Digitaliseringsimpuls onderwijs NL (560 </w:t>
      </w:r>
      <w:r w:rsidR="00DA4E7C">
        <w:rPr>
          <w:szCs w:val="18"/>
        </w:rPr>
        <w:t>miljoen euro</w:t>
      </w:r>
      <w:r w:rsidRPr="000B4D4D">
        <w:rPr>
          <w:szCs w:val="18"/>
        </w:rPr>
        <w:t xml:space="preserve">), 6G Future Network Services (201 </w:t>
      </w:r>
      <w:r w:rsidR="00DA4E7C">
        <w:rPr>
          <w:szCs w:val="18"/>
        </w:rPr>
        <w:t>miljoen euro</w:t>
      </w:r>
      <w:r w:rsidRPr="000B4D4D">
        <w:rPr>
          <w:szCs w:val="18"/>
        </w:rPr>
        <w:t xml:space="preserve">), en CIIIC (200 </w:t>
      </w:r>
      <w:r w:rsidR="00DA4E7C">
        <w:rPr>
          <w:szCs w:val="18"/>
        </w:rPr>
        <w:t>miljoen euro</w:t>
      </w:r>
      <w:r w:rsidRPr="000B4D4D">
        <w:rPr>
          <w:szCs w:val="18"/>
        </w:rPr>
        <w:t>).</w:t>
      </w:r>
    </w:p>
    <w:p w:rsidRPr="000B4D4D" w:rsidR="007B4931" w:rsidP="007B4931" w:rsidRDefault="007B4931" w14:paraId="4FB9E090" w14:textId="77777777">
      <w:pPr>
        <w:pStyle w:val="Lijstalinea"/>
        <w:numPr>
          <w:ilvl w:val="0"/>
          <w:numId w:val="12"/>
        </w:numPr>
        <w:rPr>
          <w:i/>
          <w:szCs w:val="18"/>
        </w:rPr>
      </w:pPr>
      <w:r w:rsidRPr="000B4D4D">
        <w:rPr>
          <w:i/>
          <w:szCs w:val="18"/>
        </w:rPr>
        <w:t>Aanpassing nationale klimaatwet</w:t>
      </w:r>
    </w:p>
    <w:p w:rsidRPr="000B4D4D" w:rsidR="007B4931" w:rsidP="007B4931" w:rsidRDefault="007B4931" w14:paraId="28E8D8F1" w14:textId="21C91E61">
      <w:pPr>
        <w:rPr>
          <w:szCs w:val="18"/>
        </w:rPr>
      </w:pPr>
      <w:r w:rsidRPr="000B4D4D">
        <w:rPr>
          <w:szCs w:val="18"/>
        </w:rPr>
        <w:t xml:space="preserve">Geen nieuwe ontwikkelingen t.o.v. </w:t>
      </w:r>
      <w:r w:rsidR="00397600">
        <w:rPr>
          <w:szCs w:val="18"/>
        </w:rPr>
        <w:t>budgettair-structureel plan voor de middellange termijn</w:t>
      </w:r>
      <w:r w:rsidRPr="000B4D4D">
        <w:rPr>
          <w:szCs w:val="18"/>
        </w:rPr>
        <w:t xml:space="preserve"> 2024. </w:t>
      </w:r>
    </w:p>
    <w:p w:rsidRPr="000B4D4D" w:rsidR="007B4931" w:rsidP="007B4931" w:rsidRDefault="007B4931" w14:paraId="07D76D38" w14:textId="77777777">
      <w:pPr>
        <w:pStyle w:val="Lijstalinea"/>
        <w:numPr>
          <w:ilvl w:val="0"/>
          <w:numId w:val="12"/>
        </w:numPr>
        <w:rPr>
          <w:i/>
          <w:szCs w:val="18"/>
        </w:rPr>
      </w:pPr>
      <w:r w:rsidRPr="000B4D4D">
        <w:rPr>
          <w:i/>
          <w:szCs w:val="18"/>
        </w:rPr>
        <w:t>Klimaatfonds</w:t>
      </w:r>
    </w:p>
    <w:p w:rsidRPr="000B4D4D" w:rsidR="007B4931" w:rsidP="007B4931" w:rsidRDefault="007B4931" w14:paraId="6E85C4BF" w14:textId="77777777">
      <w:pPr>
        <w:rPr>
          <w:szCs w:val="18"/>
        </w:rPr>
      </w:pPr>
      <w:r w:rsidRPr="000B4D4D">
        <w:rPr>
          <w:szCs w:val="18"/>
        </w:rPr>
        <w:t xml:space="preserve">Zie toelichting bij 8. </w:t>
      </w:r>
    </w:p>
    <w:p w:rsidRPr="000B4D4D" w:rsidR="007B4931" w:rsidP="007B4931" w:rsidRDefault="007B4931" w14:paraId="1CD9D790" w14:textId="77777777">
      <w:pPr>
        <w:pStyle w:val="Lijstalinea"/>
        <w:numPr>
          <w:ilvl w:val="0"/>
          <w:numId w:val="12"/>
        </w:numPr>
        <w:rPr>
          <w:i/>
          <w:szCs w:val="18"/>
        </w:rPr>
      </w:pPr>
      <w:r w:rsidRPr="000B4D4D">
        <w:rPr>
          <w:i/>
          <w:szCs w:val="18"/>
        </w:rPr>
        <w:t>Subsidieregeling Publieke Laadinfrastructuur zwaar vervoer (SPULA)</w:t>
      </w:r>
    </w:p>
    <w:p w:rsidRPr="000B4D4D" w:rsidR="007B4931" w:rsidP="007B4931" w:rsidRDefault="007B4931" w14:paraId="6C2F72AC" w14:textId="77777777">
      <w:pPr>
        <w:rPr>
          <w:szCs w:val="18"/>
        </w:rPr>
      </w:pPr>
      <w:r w:rsidRPr="000B4D4D">
        <w:rPr>
          <w:szCs w:val="18"/>
        </w:rPr>
        <w:t xml:space="preserve">De SPULA komt tegemoet in de investeringskosten die bedrijven maken in de aanleg van deze laadinfrastructuur. Vorig voorjaar is de regeling in consultatie geweest en op basis hiervan verduidelijkt. Sinds het najaar van 2024 zijn subsidieregelingen opengesteld om de realisatie van private laadinfrastructuur bij bedrijven en publieke laadinfrastructuur voor zwaar vervoer te versnellen. </w:t>
      </w:r>
    </w:p>
    <w:p w:rsidRPr="000B4D4D" w:rsidR="007B4931" w:rsidP="007B4931" w:rsidRDefault="007B4931" w14:paraId="734F15A3" w14:textId="77777777">
      <w:pPr>
        <w:rPr>
          <w:color w:val="1F497D"/>
          <w:szCs w:val="18"/>
        </w:rPr>
      </w:pPr>
      <w:r w:rsidRPr="000B4D4D">
        <w:rPr>
          <w:szCs w:val="18"/>
        </w:rPr>
        <w:t>Omdat het laden van elektrische vrachtwagens in de regel op hogere vermogens plaatsvindt, kan dit uitdagingen opleveren voor de beschikbaarheid van voldoende netcapaciteit. De netcapaciteit om laadpunten werkend te krijgen heeft echter de volle aandacht. De Minister van Klimaat en Groene Groei (KGG) werkt aan de aanpak van netcongestie, o.a. door het Landelijk Actieplan Netcongestie (LAN) uit te voeren. Ook kijkt het Ministerie van IenW samen met het Ministerie van KGG en netbeheerders naar maatregelen die een praktische oplossing bieden voor het elektrisch laden van voertuigen in situaties van beperkte netcapaciteit.</w:t>
      </w:r>
      <w:r w:rsidRPr="000B4D4D">
        <w:rPr>
          <w:color w:val="1F497D"/>
          <w:szCs w:val="18"/>
        </w:rPr>
        <w:t xml:space="preserve"> </w:t>
      </w:r>
    </w:p>
    <w:p w:rsidRPr="000B4D4D" w:rsidR="007B4931" w:rsidP="007B4931" w:rsidRDefault="007B4931" w14:paraId="3BFDF072" w14:textId="77777777">
      <w:pPr>
        <w:rPr>
          <w:b/>
          <w:szCs w:val="18"/>
        </w:rPr>
      </w:pPr>
      <w:r w:rsidRPr="000B4D4D">
        <w:rPr>
          <w:b/>
          <w:szCs w:val="18"/>
        </w:rPr>
        <w:t>Gemeenschappelijke prioriteit: Sociale en economische veerkracht, inclusief de Europese Pijler van Sociale Rechten</w:t>
      </w:r>
    </w:p>
    <w:p w:rsidRPr="000B4D4D" w:rsidR="007B4931" w:rsidP="007B4931" w:rsidRDefault="007B4931" w14:paraId="17FE245A" w14:textId="77777777">
      <w:pPr>
        <w:rPr>
          <w:b/>
          <w:szCs w:val="18"/>
        </w:rPr>
      </w:pPr>
      <w:r w:rsidRPr="000B4D4D">
        <w:rPr>
          <w:b/>
          <w:szCs w:val="18"/>
        </w:rPr>
        <w:t>Belastingsysteem</w:t>
      </w:r>
    </w:p>
    <w:p w:rsidRPr="000B4D4D" w:rsidR="007B4931" w:rsidP="007B4931" w:rsidRDefault="007B4931" w14:paraId="0BC5497F" w14:textId="77777777">
      <w:pPr>
        <w:rPr>
          <w:i/>
          <w:szCs w:val="18"/>
        </w:rPr>
      </w:pPr>
      <w:r w:rsidRPr="000B4D4D">
        <w:rPr>
          <w:i/>
          <w:szCs w:val="18"/>
        </w:rPr>
        <w:t>20. Belasten van inkomen uit vermogen</w:t>
      </w:r>
    </w:p>
    <w:p w:rsidR="007B4931" w:rsidP="007B4931" w:rsidRDefault="007B4931" w14:paraId="2AA1347A" w14:textId="77777777">
      <w:pPr>
        <w:rPr>
          <w:szCs w:val="18"/>
        </w:rPr>
      </w:pPr>
      <w:r w:rsidRPr="000B4D4D">
        <w:rPr>
          <w:szCs w:val="18"/>
        </w:rPr>
        <w:t>De maatregel om box 3 te hervormen zoals beschreven in het stuk zal – zoals aangegeven – per 2028 geïmplementeerd worden. De maximale aftrek van de hypotheekrente is in de periode 2020-2024 verlaagd van 46% naar 37%.</w:t>
      </w:r>
    </w:p>
    <w:p w:rsidRPr="000B4D4D" w:rsidR="007B4931" w:rsidP="007B4931" w:rsidRDefault="007B4931" w14:paraId="0566EDA9" w14:textId="77777777">
      <w:pPr>
        <w:rPr>
          <w:b/>
          <w:szCs w:val="18"/>
        </w:rPr>
      </w:pPr>
      <w:r w:rsidRPr="000B4D4D">
        <w:rPr>
          <w:b/>
          <w:szCs w:val="18"/>
        </w:rPr>
        <w:t>Woningmarkt</w:t>
      </w:r>
    </w:p>
    <w:p w:rsidRPr="000B4D4D" w:rsidR="007B4931" w:rsidP="007B4931" w:rsidRDefault="007B4931" w14:paraId="58B82EDB" w14:textId="52345E44">
      <w:pPr>
        <w:rPr>
          <w:i/>
          <w:szCs w:val="18"/>
        </w:rPr>
      </w:pPr>
      <w:r w:rsidRPr="000B4D4D">
        <w:rPr>
          <w:i/>
          <w:szCs w:val="18"/>
        </w:rPr>
        <w:t>21. Aanwijzing grootschalige woningbouwlocaties en NOVEX gebieden</w:t>
      </w:r>
      <w:r w:rsidRPr="000B4D4D">
        <w:rPr>
          <w:i/>
          <w:iCs/>
          <w:szCs w:val="18"/>
        </w:rPr>
        <w:br/>
      </w:r>
      <w:r w:rsidRPr="000B4D4D">
        <w:rPr>
          <w:i/>
          <w:iCs/>
          <w:szCs w:val="18"/>
        </w:rPr>
        <w:br/>
      </w:r>
      <w:r w:rsidRPr="000B4D4D">
        <w:rPr>
          <w:szCs w:val="18"/>
        </w:rPr>
        <w:t>Er zijn 17 grootschalige woningbouwgebieden vastgesteld tijdens de BO’s Leefomgeving 2022. Het huidige kabinet onderzoekt of aanvullende grootschalige woningbouwlocaties kunnen worden aangewezen.</w:t>
      </w:r>
      <w:r w:rsidRPr="000B4D4D">
        <w:rPr>
          <w:i/>
          <w:iCs/>
          <w:szCs w:val="18"/>
        </w:rPr>
        <w:br/>
      </w:r>
      <w:r w:rsidRPr="000B4D4D">
        <w:rPr>
          <w:i/>
          <w:iCs/>
          <w:szCs w:val="18"/>
        </w:rPr>
        <w:br/>
      </w:r>
      <w:r w:rsidRPr="000B4D4D">
        <w:rPr>
          <w:i/>
          <w:szCs w:val="18"/>
        </w:rPr>
        <w:t>22. Financiële ondersteuning om sneller en betaalbaarder te kunnen bouwen</w:t>
      </w:r>
      <w:r w:rsidRPr="000B4D4D">
        <w:rPr>
          <w:i/>
          <w:iCs/>
          <w:szCs w:val="18"/>
        </w:rPr>
        <w:br/>
      </w:r>
      <w:r w:rsidRPr="000B4D4D">
        <w:rPr>
          <w:i/>
          <w:iCs/>
          <w:szCs w:val="18"/>
        </w:rPr>
        <w:lastRenderedPageBreak/>
        <w:br/>
      </w:r>
      <w:r w:rsidRPr="000B4D4D">
        <w:rPr>
          <w:szCs w:val="18"/>
        </w:rPr>
        <w:t xml:space="preserve">Middelen zijn ingezet. Het huidige kabinet heeft voor dit doel 5 </w:t>
      </w:r>
      <w:r w:rsidR="00DA4E7C">
        <w:rPr>
          <w:szCs w:val="18"/>
        </w:rPr>
        <w:t>miljard euro</w:t>
      </w:r>
      <w:r w:rsidRPr="000B4D4D">
        <w:rPr>
          <w:szCs w:val="18"/>
        </w:rPr>
        <w:t xml:space="preserve"> voor de periode 2025 t/m 2029 beschikbaar gesteld.</w:t>
      </w:r>
      <w:r w:rsidRPr="000B4D4D">
        <w:rPr>
          <w:i/>
          <w:iCs/>
          <w:szCs w:val="18"/>
        </w:rPr>
        <w:br/>
      </w:r>
      <w:r w:rsidRPr="000B4D4D">
        <w:rPr>
          <w:i/>
          <w:iCs/>
          <w:szCs w:val="18"/>
        </w:rPr>
        <w:br/>
      </w:r>
      <w:r w:rsidRPr="000B4D4D">
        <w:rPr>
          <w:i/>
          <w:szCs w:val="18"/>
        </w:rPr>
        <w:t>23. Wet Versterking regie Volkshuisvesting - Versnellen en verkorten beroepsprocedures</w:t>
      </w:r>
      <w:r w:rsidRPr="000B4D4D">
        <w:rPr>
          <w:i/>
          <w:iCs/>
          <w:szCs w:val="18"/>
        </w:rPr>
        <w:br/>
      </w:r>
      <w:r w:rsidRPr="000B4D4D">
        <w:rPr>
          <w:i/>
          <w:iCs/>
          <w:szCs w:val="18"/>
        </w:rPr>
        <w:br/>
      </w:r>
      <w:r w:rsidRPr="000B4D4D">
        <w:rPr>
          <w:szCs w:val="18"/>
        </w:rPr>
        <w:t xml:space="preserve">Kamer behandeling van het wetsvoorstel is vertraagd door de kabinetsval. Het wetsvoorstel is gewijzigd: toevoeging mogelijkheid om vergunningsvrij mantelzorg- en familiewoningen op het eigen erf te plaatsen, uitwerking van 2/3 betaalbaarheidseisen en schrappen van de Ladder voor duurzame verstedelijking voor woningbouwprojecten. </w:t>
      </w:r>
      <w:r w:rsidRPr="000B4D4D">
        <w:rPr>
          <w:i/>
          <w:iCs/>
          <w:szCs w:val="18"/>
        </w:rPr>
        <w:br/>
      </w:r>
      <w:r w:rsidRPr="000B4D4D">
        <w:rPr>
          <w:i/>
          <w:iCs/>
          <w:szCs w:val="18"/>
        </w:rPr>
        <w:br/>
      </w:r>
      <w:r w:rsidRPr="000B4D4D">
        <w:rPr>
          <w:i/>
          <w:szCs w:val="18"/>
        </w:rPr>
        <w:t>24. Wet betaalbare huur</w:t>
      </w:r>
      <w:r w:rsidRPr="000B4D4D">
        <w:rPr>
          <w:i/>
          <w:iCs/>
          <w:szCs w:val="18"/>
        </w:rPr>
        <w:br/>
      </w:r>
      <w:r w:rsidRPr="000B4D4D">
        <w:rPr>
          <w:szCs w:val="18"/>
        </w:rPr>
        <w:br/>
        <w:t>Wetsvoorstel is in werking getreden op 1 juli 2024.</w:t>
      </w:r>
      <w:r w:rsidRPr="000B4D4D">
        <w:rPr>
          <w:i/>
          <w:szCs w:val="18"/>
        </w:rPr>
        <w:t xml:space="preserve"> </w:t>
      </w:r>
      <w:r w:rsidRPr="000B4D4D">
        <w:rPr>
          <w:i/>
          <w:iCs/>
          <w:szCs w:val="18"/>
        </w:rPr>
        <w:br/>
      </w:r>
      <w:r w:rsidRPr="000B4D4D">
        <w:rPr>
          <w:i/>
          <w:iCs/>
          <w:szCs w:val="18"/>
        </w:rPr>
        <w:br/>
      </w:r>
      <w:r w:rsidRPr="000B4D4D">
        <w:rPr>
          <w:i/>
          <w:szCs w:val="18"/>
        </w:rPr>
        <w:t>25. Wetsvoorstel Hervorming Huurtoeslag</w:t>
      </w:r>
      <w:r w:rsidRPr="000B4D4D">
        <w:rPr>
          <w:i/>
          <w:iCs/>
          <w:szCs w:val="18"/>
        </w:rPr>
        <w:br/>
      </w:r>
      <w:r w:rsidRPr="000B4D4D">
        <w:rPr>
          <w:szCs w:val="18"/>
        </w:rPr>
        <w:br/>
        <w:t xml:space="preserve">Wetsvoorstel is door beide kamers aangenomen en gaat per 2026 in. </w:t>
      </w:r>
    </w:p>
    <w:p w:rsidRPr="000B4D4D" w:rsidR="007B4931" w:rsidP="007B4931" w:rsidRDefault="007B4931" w14:paraId="2CEA65D2" w14:textId="77777777">
      <w:pPr>
        <w:rPr>
          <w:b/>
          <w:szCs w:val="18"/>
        </w:rPr>
      </w:pPr>
      <w:r w:rsidRPr="000B4D4D">
        <w:rPr>
          <w:b/>
          <w:szCs w:val="18"/>
        </w:rPr>
        <w:t xml:space="preserve">Zorg </w:t>
      </w:r>
    </w:p>
    <w:p w:rsidRPr="000B4D4D" w:rsidR="007B4931" w:rsidP="007B4931" w:rsidRDefault="007B4931" w14:paraId="3750F019" w14:textId="77777777">
      <w:pPr>
        <w:rPr>
          <w:i/>
          <w:szCs w:val="18"/>
        </w:rPr>
      </w:pPr>
      <w:r w:rsidRPr="000B4D4D">
        <w:rPr>
          <w:i/>
          <w:szCs w:val="18"/>
        </w:rPr>
        <w:t>26. Tijdelijk extra personele capaciteit voor de zorg in crisistijd (Nationale Zorgreserve en Sector Plan plus)</w:t>
      </w:r>
    </w:p>
    <w:p w:rsidRPr="000B4D4D" w:rsidR="007B4931" w:rsidP="007B4931" w:rsidRDefault="007B4931" w14:paraId="3717BB82" w14:textId="77777777">
      <w:pPr>
        <w:rPr>
          <w:i/>
          <w:szCs w:val="18"/>
        </w:rPr>
      </w:pPr>
      <w:r w:rsidRPr="000B4D4D">
        <w:rPr>
          <w:szCs w:val="18"/>
        </w:rPr>
        <w:t>NZR heeft afgelopen jaar benut voor de verdere professionalisering van de organisatie (qua personeel, ICT/administratie, werving en opleiden van reservisten) en ligt daarmee op schema om de komende 3-5 jaar toe te groeien naar de doelstelling van 5000 direct inzetbare reservisten. De maatregel loopt nog, omdat de subsidie van SectorplanPlus ook nog loopt tot en met eind 2025.</w:t>
      </w:r>
      <w:r w:rsidRPr="000B4D4D">
        <w:rPr>
          <w:szCs w:val="18"/>
        </w:rPr>
        <w:br/>
      </w:r>
      <w:r w:rsidRPr="000B4D4D">
        <w:rPr>
          <w:i/>
          <w:iCs/>
          <w:szCs w:val="18"/>
        </w:rPr>
        <w:br/>
      </w:r>
      <w:r w:rsidRPr="000B4D4D">
        <w:rPr>
          <w:i/>
          <w:szCs w:val="18"/>
        </w:rPr>
        <w:t>27. SET-COVID-19</w:t>
      </w:r>
    </w:p>
    <w:p w:rsidRPr="000B4D4D" w:rsidR="007B4931" w:rsidP="007B4931" w:rsidRDefault="007B4931" w14:paraId="24814E8F" w14:textId="77777777">
      <w:pPr>
        <w:rPr>
          <w:i/>
          <w:szCs w:val="18"/>
        </w:rPr>
      </w:pPr>
      <w:r w:rsidRPr="000B4D4D">
        <w:rPr>
          <w:szCs w:val="18"/>
        </w:rPr>
        <w:t>De maatregel SET COVID-19 is al langere tijd afgerond. De subsidieregeling was open voor aanvragen in 2020. Medio 2022 zijn alle subsidies vastgesteld.</w:t>
      </w:r>
      <w:r w:rsidRPr="000B4D4D">
        <w:rPr>
          <w:i/>
          <w:iCs/>
          <w:szCs w:val="18"/>
        </w:rPr>
        <w:br/>
      </w:r>
      <w:r w:rsidRPr="000B4D4D">
        <w:rPr>
          <w:i/>
          <w:iCs/>
          <w:szCs w:val="18"/>
        </w:rPr>
        <w:br/>
      </w:r>
      <w:r w:rsidRPr="000B4D4D">
        <w:rPr>
          <w:i/>
          <w:szCs w:val="18"/>
        </w:rPr>
        <w:t>28. IC-opschaling</w:t>
      </w:r>
    </w:p>
    <w:p w:rsidRPr="000B4D4D" w:rsidR="007B4931" w:rsidP="007B4931" w:rsidRDefault="007B4931" w14:paraId="0FAF7FBF" w14:textId="77777777">
      <w:pPr>
        <w:rPr>
          <w:i/>
          <w:szCs w:val="18"/>
        </w:rPr>
      </w:pPr>
      <w:r w:rsidRPr="000B4D4D">
        <w:rPr>
          <w:szCs w:val="18"/>
        </w:rPr>
        <w:t>Hiervoor loopt momenteel een traject om met het zorginstituut om tot een kwaliteitsstandaard te komen voor een flexibele opschaling van Intensive Care zorg (IC). Streven is om dit begin 2026 af te ronden.</w:t>
      </w:r>
      <w:r w:rsidRPr="000B4D4D">
        <w:rPr>
          <w:i/>
          <w:iCs/>
          <w:szCs w:val="18"/>
        </w:rPr>
        <w:br/>
      </w:r>
      <w:r w:rsidRPr="000B4D4D">
        <w:rPr>
          <w:i/>
          <w:iCs/>
          <w:szCs w:val="18"/>
        </w:rPr>
        <w:br/>
      </w:r>
      <w:r w:rsidRPr="000B4D4D">
        <w:rPr>
          <w:i/>
          <w:szCs w:val="18"/>
        </w:rPr>
        <w:t>29. STOZ-regeling</w:t>
      </w:r>
    </w:p>
    <w:p w:rsidRPr="000B4D4D" w:rsidR="007B4931" w:rsidP="007B4931" w:rsidRDefault="007B4931" w14:paraId="5AC473EA" w14:textId="16F61E56">
      <w:pPr>
        <w:rPr>
          <w:i/>
          <w:szCs w:val="18"/>
        </w:rPr>
      </w:pPr>
      <w:r w:rsidRPr="000B4D4D">
        <w:rPr>
          <w:szCs w:val="18"/>
        </w:rPr>
        <w:t xml:space="preserve">Geen nieuwe ontwikkelingen t.o.v.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30. Programma Wonen, Ondersteuning en Zorg voor Ouderen (WOZO)</w:t>
      </w:r>
    </w:p>
    <w:p w:rsidRPr="000B4D4D" w:rsidR="007B4931" w:rsidP="007B4931" w:rsidRDefault="007B4931" w14:paraId="3D9FB452" w14:textId="77777777">
      <w:pPr>
        <w:rPr>
          <w:i/>
          <w:szCs w:val="18"/>
        </w:rPr>
      </w:pPr>
      <w:r w:rsidRPr="000B4D4D">
        <w:rPr>
          <w:szCs w:val="18"/>
        </w:rPr>
        <w:t>Het programma werkt aan een transitie die over meerdere jaren en mogelijk meerdere kabinetten heen gaat.</w:t>
      </w:r>
      <w:r w:rsidRPr="000B4D4D">
        <w:rPr>
          <w:i/>
          <w:iCs/>
          <w:szCs w:val="18"/>
        </w:rPr>
        <w:br/>
      </w:r>
      <w:r w:rsidRPr="000B4D4D">
        <w:rPr>
          <w:i/>
          <w:iCs/>
          <w:szCs w:val="18"/>
        </w:rPr>
        <w:br/>
      </w:r>
      <w:r w:rsidRPr="000B4D4D">
        <w:rPr>
          <w:i/>
          <w:szCs w:val="18"/>
        </w:rPr>
        <w:t>31. Toekomstagenda zorg en ondersteuning voor mensen met een beperking</w:t>
      </w:r>
    </w:p>
    <w:p w:rsidRPr="000B4D4D" w:rsidR="007B4931" w:rsidP="007B4931" w:rsidRDefault="007B4931" w14:paraId="32D57F3D" w14:textId="77777777">
      <w:pPr>
        <w:rPr>
          <w:i/>
          <w:szCs w:val="18"/>
        </w:rPr>
      </w:pPr>
      <w:r w:rsidRPr="000B4D4D">
        <w:rPr>
          <w:iCs/>
          <w:szCs w:val="18"/>
        </w:rPr>
        <w:t>De Toekomstagenda zorg en ondersteuning voor mensen met een beperking is</w:t>
      </w:r>
      <w:r w:rsidRPr="000B4D4D">
        <w:rPr>
          <w:szCs w:val="18"/>
        </w:rPr>
        <w:t xml:space="preserve"> een programma dat loopt tot en met 2026. Alle zes deelthema’s hebben acties lopen die bijdragen aan een beweging naar toekomstbestendigheid; er is geen vertraging. Bovendien is het een dynamische agenda die kan meebewegen met de actualiteit.</w:t>
      </w:r>
      <w:r w:rsidRPr="000B4D4D">
        <w:rPr>
          <w:i/>
          <w:iCs/>
          <w:szCs w:val="18"/>
        </w:rPr>
        <w:br/>
      </w:r>
      <w:r w:rsidRPr="000B4D4D">
        <w:rPr>
          <w:i/>
          <w:iCs/>
          <w:szCs w:val="18"/>
        </w:rPr>
        <w:br/>
      </w:r>
      <w:r w:rsidRPr="000B4D4D">
        <w:rPr>
          <w:i/>
          <w:szCs w:val="18"/>
        </w:rPr>
        <w:t>32. Nationale dementiestrategie 2021 – 2030</w:t>
      </w:r>
    </w:p>
    <w:p w:rsidRPr="000B4D4D" w:rsidR="007B4931" w:rsidP="007B4931" w:rsidRDefault="007B4931" w14:paraId="437F0BA5" w14:textId="77777777">
      <w:pPr>
        <w:rPr>
          <w:szCs w:val="18"/>
        </w:rPr>
      </w:pPr>
      <w:r w:rsidRPr="000B4D4D">
        <w:rPr>
          <w:szCs w:val="18"/>
        </w:rPr>
        <w:t xml:space="preserve">De actualisatie van de nationale dementiestrategie wordt na de zomer afgerond en gaat in 2026 van start. </w:t>
      </w:r>
      <w:r w:rsidRPr="000B4D4D">
        <w:rPr>
          <w:szCs w:val="18"/>
        </w:rPr>
        <w:br/>
      </w:r>
      <w:r w:rsidRPr="000B4D4D">
        <w:rPr>
          <w:i/>
          <w:iCs/>
          <w:szCs w:val="18"/>
        </w:rPr>
        <w:br/>
      </w:r>
      <w:r w:rsidRPr="000B4D4D">
        <w:rPr>
          <w:i/>
          <w:szCs w:val="18"/>
        </w:rPr>
        <w:lastRenderedPageBreak/>
        <w:t>33. Verbeteren en Verbreden van de Toets op het Basispakket (VVTB or ‘improving and broadening the assessment of the Dutch basic benefit package’)</w:t>
      </w:r>
    </w:p>
    <w:p w:rsidRPr="000B4D4D" w:rsidR="007B4931" w:rsidP="007B4931" w:rsidRDefault="007B4931" w14:paraId="7BEE9387" w14:textId="77777777">
      <w:pPr>
        <w:rPr>
          <w:i/>
          <w:szCs w:val="18"/>
        </w:rPr>
      </w:pPr>
      <w:r w:rsidRPr="000B4D4D">
        <w:rPr>
          <w:szCs w:val="18"/>
        </w:rPr>
        <w:t>Het zorg instituut heeft verschillende kaders en handleidingen gepubliceerd waarmee partijen hun rol in het beter uitvoeren van het pakketbeheer kunnen oppakken. Hierover zijn ook eerste afspraken gemaakt.</w:t>
      </w:r>
      <w:r w:rsidRPr="000B4D4D">
        <w:rPr>
          <w:i/>
          <w:iCs/>
          <w:szCs w:val="18"/>
        </w:rPr>
        <w:br/>
      </w:r>
      <w:r w:rsidRPr="000B4D4D">
        <w:rPr>
          <w:i/>
          <w:iCs/>
          <w:szCs w:val="18"/>
        </w:rPr>
        <w:br/>
      </w:r>
      <w:r w:rsidRPr="000B4D4D">
        <w:rPr>
          <w:i/>
          <w:szCs w:val="18"/>
        </w:rPr>
        <w:t>34. Kennisinfrastructuur in de Langdurige zorg</w:t>
      </w:r>
    </w:p>
    <w:p w:rsidRPr="000B4D4D" w:rsidR="007B4931" w:rsidP="007B4931" w:rsidRDefault="007B4931" w14:paraId="0A9E930A" w14:textId="77777777">
      <w:pPr>
        <w:rPr>
          <w:szCs w:val="18"/>
        </w:rPr>
      </w:pPr>
      <w:r w:rsidRPr="000B4D4D">
        <w:rPr>
          <w:szCs w:val="18"/>
        </w:rPr>
        <w:t>In het licht van deze hervorming zijn verschillende activiteiten uitgevoerd en wordt ook verder gewerkt aan het versterken van de kennisbasis over LZ.</w:t>
      </w:r>
    </w:p>
    <w:p w:rsidRPr="000B4D4D" w:rsidR="007B4931" w:rsidP="007B4931" w:rsidRDefault="007B4931" w14:paraId="007B96D1" w14:textId="77777777">
      <w:pPr>
        <w:rPr>
          <w:b/>
          <w:szCs w:val="18"/>
        </w:rPr>
      </w:pPr>
      <w:r w:rsidRPr="000B4D4D">
        <w:rPr>
          <w:b/>
          <w:szCs w:val="18"/>
        </w:rPr>
        <w:t>Arbeidsmarkt</w:t>
      </w:r>
    </w:p>
    <w:p w:rsidRPr="000B4D4D" w:rsidR="007B4931" w:rsidP="007B4931" w:rsidRDefault="007B4931" w14:paraId="20557B89" w14:textId="77777777">
      <w:pPr>
        <w:rPr>
          <w:i/>
          <w:szCs w:val="18"/>
        </w:rPr>
      </w:pPr>
      <w:r w:rsidRPr="000B4D4D">
        <w:rPr>
          <w:i/>
          <w:szCs w:val="18"/>
        </w:rPr>
        <w:t>35. Meer zekerheid flexwerkers</w:t>
      </w:r>
    </w:p>
    <w:p w:rsidRPr="000B4D4D" w:rsidR="00507FB6" w:rsidP="00D24393" w:rsidRDefault="007B4931" w14:paraId="65A4316B" w14:textId="5186BF44">
      <w:pPr>
        <w:rPr>
          <w:szCs w:val="18"/>
        </w:rPr>
      </w:pPr>
      <w:r w:rsidRPr="000B4D4D">
        <w:rPr>
          <w:szCs w:val="18"/>
        </w:rPr>
        <w:t>In november 2024 ontving het kabinet het advies van de Raad van State over het wetsvoorstel flex (</w:t>
      </w:r>
      <w:hyperlink w:history="1" r:id="rId11">
        <w:r w:rsidRPr="000B4D4D">
          <w:rPr>
            <w:rStyle w:val="Hyperlink"/>
            <w:szCs w:val="18"/>
          </w:rPr>
          <w:t>link</w:t>
        </w:r>
      </w:hyperlink>
      <w:r w:rsidRPr="000B4D4D">
        <w:rPr>
          <w:szCs w:val="18"/>
        </w:rPr>
        <w:t>). Het kabinet is momenteel bezig met een reactie.</w:t>
      </w:r>
    </w:p>
    <w:p w:rsidRPr="000B4D4D" w:rsidR="00D24393" w:rsidP="00D24393" w:rsidRDefault="00D24393" w14:paraId="701FE8C4" w14:textId="6098EC0A">
      <w:pPr>
        <w:rPr>
          <w:i/>
          <w:szCs w:val="18"/>
        </w:rPr>
      </w:pPr>
      <w:r w:rsidRPr="000B4D4D">
        <w:rPr>
          <w:i/>
          <w:szCs w:val="18"/>
        </w:rPr>
        <w:t>36. Verplichte arbeidsongeschiktheidsverzekering voor zelfstandigen</w:t>
      </w:r>
    </w:p>
    <w:p w:rsidRPr="000B4D4D" w:rsidR="00AE468B" w:rsidP="00D24393" w:rsidRDefault="00AE468B" w14:paraId="4564309B" w14:textId="77777777">
      <w:pPr>
        <w:rPr>
          <w:szCs w:val="18"/>
        </w:rPr>
      </w:pPr>
      <w:r w:rsidRPr="000B4D4D">
        <w:rPr>
          <w:szCs w:val="18"/>
        </w:rPr>
        <w:t xml:space="preserve">De mijlpalen van de maatregel over de Wet Basisverzekering Arbeidsongeschiktheid voor Zelfstandigen (BAZ) zijn vertraagd, vanwege uitdagingen in het wetgevingstraject. Daarom is het noodzakelijk om de mijlpalen naar achteren te schuiven. Het wijzigingsverzoek is op 21 maart jl. ingediend bij de Europese Commissie. </w:t>
      </w:r>
    </w:p>
    <w:p w:rsidRPr="000B4D4D" w:rsidR="00D24393" w:rsidP="00D24393" w:rsidRDefault="00D24393" w14:paraId="6EE54115" w14:textId="6EE795A1">
      <w:pPr>
        <w:rPr>
          <w:szCs w:val="18"/>
        </w:rPr>
      </w:pPr>
      <w:r w:rsidRPr="000B4D4D">
        <w:rPr>
          <w:i/>
          <w:iCs/>
          <w:szCs w:val="18"/>
        </w:rPr>
        <w:t xml:space="preserve">37. </w:t>
      </w:r>
      <w:r w:rsidRPr="000B4D4D">
        <w:rPr>
          <w:i/>
          <w:szCs w:val="18"/>
        </w:rPr>
        <w:t>Actieplan aanpak van schijnzelfstandigheid</w:t>
      </w:r>
    </w:p>
    <w:p w:rsidRPr="000B4D4D" w:rsidR="00D24393" w:rsidP="00D24393" w:rsidRDefault="00D24393" w14:paraId="6BFEBCC2" w14:textId="77777777">
      <w:pPr>
        <w:rPr>
          <w:b/>
          <w:bCs/>
          <w:szCs w:val="18"/>
        </w:rPr>
      </w:pPr>
      <w:r w:rsidRPr="000B4D4D">
        <w:rPr>
          <w:szCs w:val="18"/>
        </w:rPr>
        <w:t xml:space="preserve">De aanpak van schijnzelfstandigheid maakt onderdeel uit van het HVP. Hierin is de publicatie van de wet met daarin de inwerkingtreding per 1 januari 2026 van de verduidelijking van relevante wetgeving als mijlpaal opgenomen. Het wetsvoorstel wordt momenteel in lijn gebracht met de uitspraak van de Hoge Raad in de zaak-Uber. Aan de Europese Commissie is gemeld dat er een risico op vertraging is. </w:t>
      </w:r>
    </w:p>
    <w:p w:rsidRPr="000B4D4D" w:rsidR="00D24393" w:rsidP="00D24393" w:rsidRDefault="00D24393" w14:paraId="269C61AE" w14:textId="77777777">
      <w:pPr>
        <w:rPr>
          <w:szCs w:val="18"/>
        </w:rPr>
      </w:pPr>
      <w:r w:rsidRPr="000B4D4D">
        <w:rPr>
          <w:i/>
          <w:szCs w:val="18"/>
        </w:rPr>
        <w:t>38. Aanpak arbeidsmarktkrapte</w:t>
      </w:r>
    </w:p>
    <w:p w:rsidRPr="000B4D4D" w:rsidR="00D24393" w:rsidDel="00EE5691" w:rsidP="00D24393" w:rsidRDefault="00D24393" w14:paraId="585C05C9" w14:textId="5E5ACD31">
      <w:pPr>
        <w:rPr>
          <w:szCs w:val="18"/>
        </w:rPr>
      </w:pPr>
      <w:r w:rsidRPr="000B4D4D" w:rsidDel="00EE5691">
        <w:rPr>
          <w:szCs w:val="18"/>
        </w:rPr>
        <w:t>In de Kamerbrief van december 2024 (</w:t>
      </w:r>
      <w:hyperlink w:history="1" r:id="rId12">
        <w:r w:rsidRPr="000B4D4D" w:rsidDel="00EE5691">
          <w:rPr>
            <w:rStyle w:val="Hyperlink"/>
            <w:szCs w:val="18"/>
          </w:rPr>
          <w:t>link</w:t>
        </w:r>
      </w:hyperlink>
      <w:r w:rsidRPr="000B4D4D" w:rsidDel="00EE5691">
        <w:rPr>
          <w:szCs w:val="18"/>
        </w:rPr>
        <w:t>) presenteerde het Nederlandse kabinet haar nieuwste visie op het aanpakken van tekorten en regulering van de arbeidsmarkt.</w:t>
      </w:r>
    </w:p>
    <w:p w:rsidRPr="000B4D4D" w:rsidR="00D24393" w:rsidDel="00EE5691" w:rsidP="00D24393" w:rsidRDefault="00D24393" w14:paraId="5D56C4FD" w14:textId="77777777">
      <w:pPr>
        <w:rPr>
          <w:szCs w:val="18"/>
        </w:rPr>
      </w:pPr>
      <w:r w:rsidRPr="000B4D4D" w:rsidDel="00EE5691">
        <w:rPr>
          <w:szCs w:val="18"/>
        </w:rPr>
        <w:t xml:space="preserve">Deze visie bestaat uit 1) een gerichte aanpak van tekorten op de arbeidsmarkt; 2) een brede arbeidsmarktagenda; en 3) sectorspecifieke strategieën. </w:t>
      </w:r>
    </w:p>
    <w:p w:rsidR="003C3303" w:rsidP="00D24393" w:rsidRDefault="00D24393" w14:paraId="35134759" w14:textId="77777777">
      <w:pPr>
        <w:rPr>
          <w:szCs w:val="18"/>
        </w:rPr>
      </w:pPr>
      <w:r w:rsidRPr="000B4D4D" w:rsidDel="00EE5691">
        <w:rPr>
          <w:szCs w:val="18"/>
        </w:rPr>
        <w:t>De brede arbeidsmarktagenda bestaat uit 5 hoofdpijlers: i) Verbetering van de kwaliteit van banen (betere lonen, zekerheid en arbeidsomstandigheden); ii) Versterking van de economie (vermindering van regeldruk en aanpassing van arbeidsmarktbeleid); iii) Verhoging van de productiviteit (innovatie en technologische vooruitgang); iv) Verhoging van duurzame arbeidsparticipatie (onderbenutte werknemers helpen, verbetering van de balans tussen werk en privéleven); en v) Verbetering van de arbeidsmarktmatching (beter onderwijs en training om aan te sluiten bij de behoeften van de beroepsbevolking). Bovendien is de regering van plan om begin 2025 een top te houden met belanghebbenden om strategieën te verfijnen. Het beleid zal voortdurend worden geëvalueerd om vraag en aanbod op de arbeidsmarkt effectief in evenwicht te brengen.</w:t>
      </w:r>
    </w:p>
    <w:p w:rsidRPr="000B4D4D" w:rsidR="007B4931" w:rsidP="00D24393" w:rsidRDefault="007B4931" w14:paraId="2561E03B" w14:textId="6CCC3BF3">
      <w:pPr>
        <w:rPr>
          <w:szCs w:val="18"/>
        </w:rPr>
      </w:pPr>
      <w:r w:rsidRPr="000B4D4D">
        <w:rPr>
          <w:i/>
          <w:szCs w:val="18"/>
        </w:rPr>
        <w:t>39. Programma Voor een inclusieve arbeidsmarkt</w:t>
      </w:r>
    </w:p>
    <w:p w:rsidRPr="000B4D4D" w:rsidR="007B4931" w:rsidP="007B4931" w:rsidRDefault="007B4931" w14:paraId="36E3EF12" w14:textId="354DB7DF">
      <w:pPr>
        <w:rPr>
          <w:szCs w:val="18"/>
        </w:rPr>
      </w:pPr>
      <w:r w:rsidRPr="000B4D4D">
        <w:rPr>
          <w:szCs w:val="18"/>
        </w:rPr>
        <w:t xml:space="preserve">Geen nieuwe ontwikkelingen t.o.v. </w:t>
      </w:r>
      <w:r w:rsidR="00397600">
        <w:rPr>
          <w:szCs w:val="18"/>
        </w:rPr>
        <w:t>budgettair-structureel plan voor de middellange termijn</w:t>
      </w:r>
      <w:r w:rsidRPr="000B4D4D" w:rsidR="00397600">
        <w:rPr>
          <w:szCs w:val="18"/>
        </w:rPr>
        <w:t xml:space="preserve"> </w:t>
      </w:r>
      <w:r w:rsidRPr="000B4D4D">
        <w:rPr>
          <w:szCs w:val="18"/>
        </w:rPr>
        <w:t xml:space="preserve">2024. </w:t>
      </w:r>
      <w:r w:rsidRPr="000B4D4D">
        <w:rPr>
          <w:szCs w:val="18"/>
        </w:rPr>
        <w:br/>
      </w:r>
      <w:r w:rsidRPr="000B4D4D">
        <w:rPr>
          <w:i/>
          <w:iCs/>
          <w:szCs w:val="18"/>
        </w:rPr>
        <w:br/>
      </w:r>
      <w:r w:rsidRPr="000B4D4D">
        <w:rPr>
          <w:i/>
          <w:szCs w:val="18"/>
        </w:rPr>
        <w:t>40. Regionale Mobiliteitsteams/ Regionale Werkcentra</w:t>
      </w:r>
    </w:p>
    <w:p w:rsidRPr="000B4D4D" w:rsidR="007B4931" w:rsidP="007B4931" w:rsidRDefault="00EE1103" w14:paraId="61574723" w14:textId="71C57441">
      <w:pPr>
        <w:rPr>
          <w:szCs w:val="18"/>
        </w:rPr>
      </w:pPr>
      <w:r w:rsidRPr="000B4D4D">
        <w:rPr>
          <w:szCs w:val="18"/>
        </w:rPr>
        <w:t xml:space="preserve">De geleerde lessen van de RMT's (tot 1 januari 2025 een regionale samenwerking tussen UWV, gemeenten, werknemers- en werkgeversorganisaties) en de ervaringen met andere samenwerkingen (Werkgeversservicepunten en Leerwerkloketten in de arbeidsmarktregio's) worden gebruikt voor de hervorming van de regionale arbeidsmarktinfrastructuur. Zo komt er onder andere in elke arbeidsmarktregio een Werkcentrum, om arbeidsmarktdienstverlening </w:t>
      </w:r>
      <w:r w:rsidRPr="000B4D4D">
        <w:rPr>
          <w:szCs w:val="18"/>
        </w:rPr>
        <w:lastRenderedPageBreak/>
        <w:t>toegankelijker te maken. In 2025 is gestart met een transitieperiode. Beoogde inwerkingtreding voor benodigde wet- en regelgeving is 1 juli 2026. Dit is aangekondigd in een brief aan het parlement (</w:t>
      </w:r>
      <w:hyperlink w:history="1" r:id="rId13">
        <w:r w:rsidRPr="000B4D4D">
          <w:rPr>
            <w:rStyle w:val="Hyperlink"/>
            <w:szCs w:val="18"/>
          </w:rPr>
          <w:t>link</w:t>
        </w:r>
      </w:hyperlink>
      <w:r w:rsidRPr="000B4D4D">
        <w:rPr>
          <w:szCs w:val="18"/>
        </w:rPr>
        <w:t>).</w:t>
      </w:r>
      <w:r w:rsidRPr="000B4D4D">
        <w:rPr>
          <w:szCs w:val="18"/>
        </w:rPr>
        <w:br/>
      </w:r>
      <w:r w:rsidRPr="000B4D4D" w:rsidDel="00DA4E7C">
        <w:rPr>
          <w:i/>
          <w:iCs/>
          <w:szCs w:val="18"/>
        </w:rPr>
        <w:br/>
      </w:r>
      <w:r w:rsidRPr="000B4D4D" w:rsidR="007B4931">
        <w:rPr>
          <w:i/>
          <w:szCs w:val="18"/>
        </w:rPr>
        <w:t>41. Wet Breed Offensief</w:t>
      </w:r>
    </w:p>
    <w:p w:rsidRPr="000B4D4D" w:rsidR="007B4931" w:rsidP="007B4931" w:rsidRDefault="007B4931" w14:paraId="6C50F7B5" w14:textId="61489855">
      <w:pPr>
        <w:rPr>
          <w:szCs w:val="18"/>
        </w:rPr>
      </w:pPr>
      <w:r w:rsidRPr="000B4D4D">
        <w:rPr>
          <w:szCs w:val="18"/>
        </w:rPr>
        <w:t xml:space="preserve">Geen nieuwe ontwikkelingen t.o.v. </w:t>
      </w:r>
      <w:r w:rsidR="00397600">
        <w:rPr>
          <w:szCs w:val="18"/>
        </w:rPr>
        <w:t>budgettair-structureel plan voor de middellange termijn</w:t>
      </w:r>
      <w:r w:rsidRPr="000B4D4D" w:rsidR="00397600">
        <w:rPr>
          <w:szCs w:val="18"/>
        </w:rPr>
        <w:t xml:space="preserve"> </w:t>
      </w:r>
      <w:r w:rsidRPr="000B4D4D">
        <w:rPr>
          <w:szCs w:val="18"/>
        </w:rPr>
        <w:t xml:space="preserve">2024. </w:t>
      </w:r>
      <w:r w:rsidRPr="000B4D4D">
        <w:rPr>
          <w:szCs w:val="18"/>
        </w:rPr>
        <w:br/>
      </w:r>
      <w:r w:rsidRPr="000B4D4D">
        <w:rPr>
          <w:i/>
          <w:iCs/>
          <w:szCs w:val="18"/>
        </w:rPr>
        <w:br/>
      </w:r>
      <w:r w:rsidRPr="000B4D4D">
        <w:rPr>
          <w:i/>
          <w:szCs w:val="18"/>
        </w:rPr>
        <w:t>42. Ontwikkelpaden</w:t>
      </w:r>
    </w:p>
    <w:p w:rsidRPr="000B4D4D" w:rsidR="007B4931" w:rsidP="007B4931" w:rsidRDefault="007B4931" w14:paraId="793BCD77" w14:textId="0A8AE75F">
      <w:pPr>
        <w:rPr>
          <w:szCs w:val="18"/>
        </w:rPr>
      </w:pPr>
      <w:r w:rsidRPr="000B4D4D">
        <w:rPr>
          <w:szCs w:val="18"/>
        </w:rPr>
        <w:t xml:space="preserve">Geen nieuwe ontwikkelingen t.o.v. </w:t>
      </w:r>
      <w:r w:rsidR="00397600">
        <w:rPr>
          <w:szCs w:val="18"/>
        </w:rPr>
        <w:t>budgettair-structureel plan voor de middellange termijn</w:t>
      </w:r>
      <w:r w:rsidRPr="000B4D4D">
        <w:rPr>
          <w:szCs w:val="18"/>
        </w:rPr>
        <w:t xml:space="preserve"> 2024. De ontwikkelpaden worden gedeeltelijk gefinancierd door de SLIM-regeling. (43) </w:t>
      </w:r>
      <w:r w:rsidRPr="000B4D4D">
        <w:rPr>
          <w:szCs w:val="18"/>
        </w:rPr>
        <w:br/>
      </w:r>
      <w:r w:rsidRPr="000B4D4D">
        <w:rPr>
          <w:i/>
          <w:iCs/>
          <w:szCs w:val="18"/>
        </w:rPr>
        <w:br/>
      </w:r>
      <w:r w:rsidRPr="000B4D4D">
        <w:rPr>
          <w:i/>
          <w:szCs w:val="18"/>
        </w:rPr>
        <w:t>43. SLIM-regeling</w:t>
      </w:r>
    </w:p>
    <w:p w:rsidRPr="000B4D4D" w:rsidR="007B4931" w:rsidP="007B4931" w:rsidRDefault="007B4931" w14:paraId="06465208" w14:textId="0DDACDE1">
      <w:pPr>
        <w:rPr>
          <w:szCs w:val="18"/>
        </w:rPr>
      </w:pPr>
      <w:r w:rsidRPr="000B4D4D">
        <w:rPr>
          <w:szCs w:val="18"/>
        </w:rPr>
        <w:t xml:space="preserve">Geen nieuwe ontwikkelingen t.o.v. </w:t>
      </w:r>
      <w:r w:rsidR="00397600">
        <w:rPr>
          <w:szCs w:val="18"/>
        </w:rPr>
        <w:t>budgettair-structureel plan voor de middellange termijn</w:t>
      </w:r>
      <w:r w:rsidRPr="000B4D4D">
        <w:rPr>
          <w:szCs w:val="18"/>
        </w:rPr>
        <w:t xml:space="preserve"> 2024. The SLIM-regeling wordt gebruikt in samenwerking met de ontwikkelpaden</w:t>
      </w:r>
      <w:r w:rsidRPr="000B4D4D" w:rsidR="00307049">
        <w:rPr>
          <w:szCs w:val="18"/>
        </w:rPr>
        <w:t>.</w:t>
      </w:r>
      <w:r w:rsidRPr="000B4D4D">
        <w:rPr>
          <w:szCs w:val="18"/>
        </w:rPr>
        <w:t xml:space="preserve"> (42)</w:t>
      </w:r>
      <w:r w:rsidRPr="000B4D4D">
        <w:rPr>
          <w:szCs w:val="18"/>
        </w:rPr>
        <w:br/>
      </w:r>
      <w:r w:rsidRPr="000B4D4D">
        <w:rPr>
          <w:i/>
          <w:iCs/>
          <w:szCs w:val="18"/>
        </w:rPr>
        <w:br/>
      </w:r>
      <w:r w:rsidRPr="000B4D4D">
        <w:rPr>
          <w:i/>
          <w:szCs w:val="18"/>
        </w:rPr>
        <w:t>44. Meer uren werkt!</w:t>
      </w:r>
    </w:p>
    <w:p w:rsidRPr="000B4D4D" w:rsidR="007B4931" w:rsidP="007B4931" w:rsidRDefault="007B4931" w14:paraId="52C5C3DD" w14:textId="77777777">
      <w:pPr>
        <w:rPr>
          <w:szCs w:val="18"/>
        </w:rPr>
      </w:pPr>
      <w:r w:rsidRPr="000B4D4D">
        <w:rPr>
          <w:szCs w:val="18"/>
        </w:rPr>
        <w:t>Het kabinet voert dit samen met Universiteit Utrecht en tal van consortiumpartijen als onderdeel van het Groeifondsprogramma uit.</w:t>
      </w:r>
    </w:p>
    <w:p w:rsidRPr="000B4D4D" w:rsidR="007B4931" w:rsidP="007B4931" w:rsidRDefault="007B4931" w14:paraId="07F7CFA7" w14:textId="77777777">
      <w:pPr>
        <w:rPr>
          <w:b/>
          <w:szCs w:val="18"/>
        </w:rPr>
      </w:pPr>
      <w:r w:rsidRPr="000B4D4D">
        <w:rPr>
          <w:b/>
          <w:szCs w:val="18"/>
        </w:rPr>
        <w:t xml:space="preserve">Onderwijs </w:t>
      </w:r>
    </w:p>
    <w:p w:rsidRPr="000B4D4D" w:rsidR="007B4931" w:rsidP="007B4931" w:rsidRDefault="007B4931" w14:paraId="48E5EF64" w14:textId="77777777">
      <w:pPr>
        <w:rPr>
          <w:i/>
          <w:szCs w:val="18"/>
        </w:rPr>
      </w:pPr>
      <w:r w:rsidRPr="000B4D4D">
        <w:rPr>
          <w:i/>
          <w:szCs w:val="18"/>
        </w:rPr>
        <w:t>45. Nieuwe kerndoelen basisvaardigheden primair onderwijs en onderbouw voortgezet onderwijs</w:t>
      </w:r>
    </w:p>
    <w:p w:rsidRPr="000B4D4D" w:rsidR="007B4931" w:rsidP="007B4931" w:rsidRDefault="007B4931" w14:paraId="381DB23C" w14:textId="77777777">
      <w:pPr>
        <w:rPr>
          <w:szCs w:val="18"/>
        </w:rPr>
      </w:pPr>
      <w:r w:rsidRPr="000B4D4D">
        <w:rPr>
          <w:szCs w:val="18"/>
        </w:rPr>
        <w:t xml:space="preserve">In het najaar 2024 zijn de definitieve conceptkerndoelen voor Nederlands, rekenen en wiskunde opgeleverd. Ondertussen wordt er gewerkt aan een advies over de toekomst van het Referentiekader Taal en Rekenen. </w:t>
      </w:r>
    </w:p>
    <w:p w:rsidRPr="000B4D4D" w:rsidR="007B4931" w:rsidP="007B4931" w:rsidRDefault="007B4931" w14:paraId="664B78A4" w14:textId="77777777">
      <w:pPr>
        <w:rPr>
          <w:szCs w:val="18"/>
        </w:rPr>
      </w:pPr>
      <w:r w:rsidRPr="000B4D4D">
        <w:rPr>
          <w:szCs w:val="18"/>
        </w:rPr>
        <w:t xml:space="preserve">Voor burgerschap, digitale geletterdheid en de leergebieden moderne vreemde talen, mens en maatschappij, mens en natuur, kunst en cultuur en bewegen en sport worden de conceptkerndoelen momenteel beproefd op bruikbaarheid, voordat ze als definitieve kerndoelen worden aangeboden. </w:t>
      </w:r>
    </w:p>
    <w:p w:rsidRPr="000B4D4D" w:rsidR="007B4931" w:rsidP="007B4931" w:rsidRDefault="007B4931" w14:paraId="78602B67" w14:textId="77777777">
      <w:pPr>
        <w:rPr>
          <w:szCs w:val="18"/>
        </w:rPr>
      </w:pPr>
      <w:r w:rsidRPr="000B4D4D">
        <w:rPr>
          <w:szCs w:val="18"/>
        </w:rPr>
        <w:t>Tot slot moet er nog een extra stap worden gezet om de kerndoelen voor alle leergebieden meer in samenhang te presenteren. Nadat alle feedback uit de onderwijspraktijk inclusief deze extra stap zijn verwerkt, worden de nieuwe kerndoelen vastgelegd in de wet.</w:t>
      </w:r>
      <w:r w:rsidRPr="000B4D4D">
        <w:rPr>
          <w:szCs w:val="18"/>
        </w:rPr>
        <w:br/>
      </w:r>
      <w:r w:rsidRPr="000B4D4D">
        <w:rPr>
          <w:i/>
          <w:iCs/>
          <w:szCs w:val="18"/>
        </w:rPr>
        <w:br/>
      </w:r>
      <w:r w:rsidRPr="000B4D4D">
        <w:rPr>
          <w:i/>
          <w:szCs w:val="18"/>
        </w:rPr>
        <w:t>46. Nieuwe examenprogramma’s bovenbouw voortgezet onderwijs</w:t>
      </w:r>
    </w:p>
    <w:p w:rsidRPr="000B4D4D" w:rsidR="007B4931" w:rsidP="007B4931" w:rsidRDefault="007B4931" w14:paraId="1C6E09FA" w14:textId="77777777">
      <w:pPr>
        <w:rPr>
          <w:i/>
          <w:szCs w:val="18"/>
        </w:rPr>
      </w:pPr>
      <w:r w:rsidRPr="000B4D4D">
        <w:rPr>
          <w:szCs w:val="18"/>
        </w:rPr>
        <w:t xml:space="preserve">Onder leiding van landelijk expertisecentrum voor het curriculum (SLO) worden de examenprogramma’s voor de bovenbouw van het voortgezet onderwijs geactualiseerd.  Voor de vakken Nederlands, wiskunde (h/v), moderne vreemde talen, maatschappijleer, klassieke talen, Fries en de natuurwetenschappelijke vakken zijn de concept examenprogramma’s opgeleverd en start in september de fase van beproeving. Op basis van de concept examenprogramma’s gaat het College voor Toetsen en Examens (CvTE) aan de slag met het aanpassen van de syllabi, waarin staat beschreven over welke stof het centrale examen gaat. De oplevering van de concept examenprogramma’s van de overige vakken volgen eind 2026 en eind 2027. </w:t>
      </w:r>
      <w:r w:rsidRPr="000B4D4D">
        <w:rPr>
          <w:szCs w:val="18"/>
        </w:rPr>
        <w:br/>
      </w:r>
      <w:r w:rsidRPr="000B4D4D">
        <w:rPr>
          <w:i/>
          <w:iCs/>
          <w:szCs w:val="18"/>
        </w:rPr>
        <w:br/>
      </w:r>
      <w:r w:rsidRPr="000B4D4D">
        <w:rPr>
          <w:i/>
          <w:szCs w:val="18"/>
        </w:rPr>
        <w:t>47. Subsidieregeling Verbetering basisvaardigheden</w:t>
      </w:r>
    </w:p>
    <w:p w:rsidRPr="000B4D4D" w:rsidR="007B4931" w:rsidP="007B4931" w:rsidRDefault="007B4931" w14:paraId="44818387" w14:textId="77777777">
      <w:pPr>
        <w:rPr>
          <w:i/>
          <w:szCs w:val="18"/>
        </w:rPr>
      </w:pPr>
      <w:r w:rsidRPr="000B4D4D">
        <w:rPr>
          <w:szCs w:val="18"/>
        </w:rPr>
        <w:t>In 2025 kunnen scholen de subsidie voor het laatst aanvragen. Scholen hebben in 2022, 2023 en 2024 een aanvraag kunnen indienen. Ruim vijfduizend scholen werken al met de subsidie. Het is de bedoeling dat met ingang van 1 januari 2027 alle scholen in het primair en voortgezet onderwijs structurele financiering voor basisvaardigheden ontvangen.</w:t>
      </w:r>
      <w:r w:rsidRPr="000B4D4D">
        <w:rPr>
          <w:i/>
          <w:iCs/>
          <w:szCs w:val="18"/>
        </w:rPr>
        <w:br/>
      </w:r>
      <w:r w:rsidRPr="000B4D4D">
        <w:rPr>
          <w:i/>
          <w:iCs/>
          <w:szCs w:val="18"/>
        </w:rPr>
        <w:br/>
      </w:r>
      <w:r w:rsidRPr="000B4D4D">
        <w:rPr>
          <w:i/>
          <w:szCs w:val="18"/>
        </w:rPr>
        <w:t>48. Gerichte bekostiging basisvaardigheden</w:t>
      </w:r>
    </w:p>
    <w:p w:rsidRPr="000B4D4D" w:rsidR="007B4931" w:rsidP="007B4931" w:rsidRDefault="007B4931" w14:paraId="379FA55D" w14:textId="77777777">
      <w:pPr>
        <w:rPr>
          <w:i/>
          <w:szCs w:val="18"/>
        </w:rPr>
      </w:pPr>
      <w:r w:rsidRPr="000B4D4D">
        <w:rPr>
          <w:szCs w:val="18"/>
        </w:rPr>
        <w:t xml:space="preserve">Er is eerder aangekondigd dat per 2026 gewerkt zal worden met een nieuw financieringsinstrument dat elementen van bekostiging en subsidie combineert. Deze nieuwe financiering is meer structureel van aard en hoeft niet aangevraagd te worden door de scholen. De planning van de </w:t>
      </w:r>
      <w:r w:rsidRPr="000B4D4D">
        <w:rPr>
          <w:szCs w:val="18"/>
        </w:rPr>
        <w:lastRenderedPageBreak/>
        <w:t>gerichte bekostiging is bijgesteld en we liggen nu op schema om per 1 januari 2027 de gerichte bekostiging basisvaardigheden aan scholen uit te keren.</w:t>
      </w:r>
      <w:r w:rsidRPr="000B4D4D">
        <w:rPr>
          <w:szCs w:val="18"/>
        </w:rPr>
        <w:br/>
      </w:r>
      <w:r w:rsidRPr="000B4D4D">
        <w:rPr>
          <w:i/>
          <w:iCs/>
          <w:szCs w:val="18"/>
        </w:rPr>
        <w:br/>
      </w:r>
      <w:r w:rsidRPr="000B4D4D">
        <w:rPr>
          <w:i/>
          <w:szCs w:val="18"/>
        </w:rPr>
        <w:t>49. Toevoegen van het evidence-informed werken aan de wettelijke deugdelijkheidseisen funderend onderwijs</w:t>
      </w:r>
      <w:r w:rsidRPr="000B4D4D">
        <w:rPr>
          <w:i/>
          <w:iCs/>
          <w:szCs w:val="18"/>
        </w:rPr>
        <w:br/>
      </w:r>
      <w:r w:rsidRPr="000B4D4D">
        <w:rPr>
          <w:i/>
          <w:iCs/>
          <w:szCs w:val="18"/>
        </w:rPr>
        <w:br/>
      </w:r>
      <w:r w:rsidRPr="000B4D4D">
        <w:rPr>
          <w:szCs w:val="18"/>
        </w:rPr>
        <w:t>De Wet concretisering voorschriften inzake het ononderbroken ontwikkelingsproces, de kwaliteit van het onderwijs en het stelsel van kwaliteitszorg is momenteel geopend voor consultatie. Het beeld is dat de wet volgens de planning op tijd in werking zal treden.</w:t>
      </w:r>
      <w:r w:rsidRPr="000B4D4D">
        <w:rPr>
          <w:i/>
          <w:iCs/>
          <w:szCs w:val="18"/>
        </w:rPr>
        <w:br/>
      </w:r>
      <w:r w:rsidRPr="000B4D4D">
        <w:rPr>
          <w:i/>
          <w:iCs/>
          <w:szCs w:val="18"/>
        </w:rPr>
        <w:br/>
      </w:r>
      <w:r w:rsidRPr="000B4D4D">
        <w:rPr>
          <w:i/>
          <w:szCs w:val="18"/>
        </w:rPr>
        <w:t>50. Verplichting leerlingvolgsystemen in de onderbouw voortgezet onderwijs</w:t>
      </w:r>
    </w:p>
    <w:p w:rsidRPr="000B4D4D" w:rsidR="007B4931" w:rsidP="007B4931" w:rsidRDefault="007B4931" w14:paraId="0297BA07" w14:textId="77777777">
      <w:pPr>
        <w:rPr>
          <w:szCs w:val="18"/>
        </w:rPr>
      </w:pPr>
      <w:r w:rsidRPr="000B4D4D">
        <w:rPr>
          <w:szCs w:val="18"/>
        </w:rPr>
        <w:t xml:space="preserve">Momenteel wordt er een ontwerpstudie uitgevoerd naar kwaliteitseisen en gebruikscriteria voor leerlingvolgsystemen in (de onderbouw van) het voortgezet onderwijs. Deze studie moet leiden tot een ‘ontwerpkader’ of ‘programma van eisen’. De eindrapportage wordt in april 2025 verwacht. Op basis hiervan zal bepaald worden in hoeverre een wettelijke verplichting wenselijk en nodig is, en op welke wijze het stimuleren van het gebruik van leerlingvolgsystemen in het voortgezet onderwijs zal worden vormgegeven. </w:t>
      </w:r>
      <w:r w:rsidRPr="000B4D4D">
        <w:rPr>
          <w:szCs w:val="18"/>
        </w:rPr>
        <w:br/>
      </w:r>
      <w:r w:rsidRPr="000B4D4D">
        <w:rPr>
          <w:i/>
          <w:iCs/>
          <w:szCs w:val="18"/>
        </w:rPr>
        <w:br/>
      </w:r>
      <w:r w:rsidRPr="000B4D4D">
        <w:rPr>
          <w:i/>
          <w:szCs w:val="18"/>
        </w:rPr>
        <w:t>51. BoekStart en de Bibliotheek op school</w:t>
      </w:r>
    </w:p>
    <w:p w:rsidRPr="000B4D4D" w:rsidR="007B4931" w:rsidP="007B4931" w:rsidRDefault="007B4931" w14:paraId="11C85ED6" w14:textId="20C36D36">
      <w:pPr>
        <w:rPr>
          <w:i/>
          <w:szCs w:val="18"/>
        </w:rPr>
      </w:pPr>
      <w:r w:rsidRPr="000B4D4D">
        <w:rPr>
          <w:szCs w:val="18"/>
        </w:rPr>
        <w:t>Voor BoekStart en de Bibliotheek op school (dBos) zijn van 2022 tot en met 2025 middelen beschikbaar. Het geld komt via Stichting Lezen ten goede aan lokale bibliotheken die vervolgens investeren in een leesbevorderingsaanbod voor scholen en kinderopvang. De huidige investering in dBos loopt eind 2025 af. Er wordt gekeken naar de duurzame verankering van de Bibliotheek op school.</w:t>
      </w:r>
      <w:r w:rsidRPr="000B4D4D">
        <w:rPr>
          <w:szCs w:val="18"/>
        </w:rPr>
        <w:br/>
      </w:r>
      <w:r w:rsidRPr="000B4D4D">
        <w:rPr>
          <w:szCs w:val="18"/>
        </w:rPr>
        <w:br/>
      </w:r>
      <w:r w:rsidRPr="000B4D4D">
        <w:rPr>
          <w:i/>
          <w:szCs w:val="18"/>
        </w:rPr>
        <w:t>52. Extra ruimte voor kwalitatief goede leraren in het Onderwijsakkoord</w:t>
      </w:r>
    </w:p>
    <w:p w:rsidRPr="000B4D4D" w:rsidR="007B4931" w:rsidP="007B4931" w:rsidRDefault="007B4931" w14:paraId="4EEAE560" w14:textId="77777777">
      <w:pPr>
        <w:rPr>
          <w:szCs w:val="18"/>
        </w:rPr>
      </w:pPr>
      <w:r w:rsidRPr="000B4D4D">
        <w:rPr>
          <w:szCs w:val="18"/>
        </w:rPr>
        <w:t xml:space="preserve">In het jongste Onderwijsakkoord (april 2022) is afgesproken dat er structureel 53 miljoen euro extra per jaar vrij komt voor de professionele ontwikkeling van leraren, bestemd voor onder andere het verbeteren van de basisvaardigheden en het implementeren van het herziene curriculum. </w:t>
      </w:r>
    </w:p>
    <w:p w:rsidRPr="000B4D4D" w:rsidR="007B4931" w:rsidP="007B4931" w:rsidRDefault="007B4931" w14:paraId="246E761C" w14:textId="77777777">
      <w:pPr>
        <w:rPr>
          <w:szCs w:val="18"/>
        </w:rPr>
      </w:pPr>
      <w:r w:rsidRPr="000B4D4D">
        <w:rPr>
          <w:szCs w:val="18"/>
        </w:rPr>
        <w:t>Het beschikbare budget voor professionalisering in het kader van de implementatie van het nieuwe curriculum zal op verschillende manieren worden ingezet. Daarbij gaat het om onder meer de bevordering van het curriculumbewust handelen binnen scholen en bij- en nascholing op vakinhoud en -didactiek.</w:t>
      </w:r>
      <w:r w:rsidRPr="000B4D4D">
        <w:rPr>
          <w:szCs w:val="18"/>
        </w:rPr>
        <w:br/>
      </w:r>
      <w:r w:rsidRPr="000B4D4D">
        <w:rPr>
          <w:i/>
          <w:iCs/>
          <w:szCs w:val="18"/>
        </w:rPr>
        <w:br/>
      </w:r>
      <w:r w:rsidRPr="000B4D4D">
        <w:rPr>
          <w:i/>
          <w:szCs w:val="18"/>
        </w:rPr>
        <w:t>53. Regeling zij-instroom</w:t>
      </w:r>
    </w:p>
    <w:p w:rsidR="003C3303" w:rsidP="007B4931" w:rsidRDefault="007B4931" w14:paraId="689B0C65" w14:textId="1F37706F">
      <w:pPr>
        <w:rPr>
          <w:szCs w:val="18"/>
        </w:rPr>
      </w:pPr>
      <w:r w:rsidRPr="000B4D4D">
        <w:rPr>
          <w:szCs w:val="18"/>
        </w:rPr>
        <w:t>De Regeling subsidie zij-instroom heeft tot doel om de instroom in het beroep van leraar te stimuleren en daarmee méér bekwame leraren met een bevoegdheid in te kunnen zetten in het onderwijs. We doen dit door subsidie beschikbaar te stellen aan werkgevers voor scholing, begeleiding, studieverlof en vervanging. In 2025 is er wegens succes een wijzigingsregeling ingediend waarmee de regeling is verlengd tot 1 januari 2029</w:t>
      </w:r>
      <w:r w:rsidR="003C3303">
        <w:rPr>
          <w:szCs w:val="18"/>
        </w:rPr>
        <w:t>.</w:t>
      </w:r>
    </w:p>
    <w:p w:rsidRPr="000B4D4D" w:rsidR="007B4931" w:rsidP="007B4931" w:rsidRDefault="007B4931" w14:paraId="3CB5C8AB" w14:textId="144E74DE">
      <w:pPr>
        <w:rPr>
          <w:szCs w:val="18"/>
        </w:rPr>
      </w:pPr>
      <w:r w:rsidRPr="000B4D4D">
        <w:rPr>
          <w:i/>
          <w:szCs w:val="18"/>
        </w:rPr>
        <w:t>54. Regeling SOOL (subsidie onderwijspersoneel opleiding tot leraar)</w:t>
      </w:r>
    </w:p>
    <w:p w:rsidRPr="000B4D4D" w:rsidR="007B4931" w:rsidP="007B4931" w:rsidRDefault="007B4931" w14:paraId="24E02050" w14:textId="77777777">
      <w:pPr>
        <w:rPr>
          <w:szCs w:val="18"/>
        </w:rPr>
      </w:pPr>
      <w:r w:rsidRPr="000B4D4D">
        <w:rPr>
          <w:szCs w:val="18"/>
        </w:rPr>
        <w:t>In 2024 is via een wijzing van de regeling het subsidieplafond verhoogd en verlengd tot en met 2026.  Ook zijn er een aantal eerdere drempels in de subsidie losgelaten zodat schoolbesturen nog meer gebruik kunnen maken van de regeling en meer aanvragen per schoolbestuur.</w:t>
      </w:r>
      <w:r w:rsidRPr="000B4D4D">
        <w:rPr>
          <w:szCs w:val="18"/>
        </w:rPr>
        <w:br/>
      </w:r>
      <w:r w:rsidRPr="000B4D4D">
        <w:rPr>
          <w:i/>
          <w:iCs/>
          <w:szCs w:val="18"/>
        </w:rPr>
        <w:br/>
      </w:r>
      <w:r w:rsidRPr="000B4D4D">
        <w:rPr>
          <w:i/>
          <w:szCs w:val="18"/>
        </w:rPr>
        <w:t>55. Regeling statushouders en de stap naar de klas</w:t>
      </w:r>
    </w:p>
    <w:p w:rsidRPr="000B4D4D" w:rsidR="007B4931" w:rsidP="007B4931" w:rsidRDefault="007B4931" w14:paraId="45446EE2" w14:textId="2FE5570F">
      <w:pPr>
        <w:rPr>
          <w:i/>
          <w:szCs w:val="18"/>
        </w:rPr>
      </w:pPr>
      <w:r w:rsidRPr="000B4D4D">
        <w:rPr>
          <w:szCs w:val="18"/>
        </w:rPr>
        <w:t>In 2023 is gestart met de Subsidieregeling Statushouders en de stap naar de klas. In 2025 wordt er via deze regeling 2,5 miljoen euro beschikbaar gesteld voor aanvragen door bevoegde gezagsorganen in respectievelijk het primair en voortgezet onderwijs. Hiervan wordt 1 miljoen euro beschikbaar gesteld voor het primair onderwijs en 1,5 miljoen euro voor het voortgezet onderwijs.</w:t>
      </w:r>
      <w:r w:rsidRPr="000B4D4D">
        <w:rPr>
          <w:i/>
          <w:szCs w:val="18"/>
        </w:rPr>
        <w:t> </w:t>
      </w:r>
      <w:r w:rsidRPr="000B4D4D">
        <w:rPr>
          <w:i/>
          <w:iCs/>
          <w:szCs w:val="18"/>
        </w:rPr>
        <w:br/>
      </w:r>
      <w:r w:rsidRPr="000B4D4D">
        <w:rPr>
          <w:i/>
          <w:iCs/>
          <w:szCs w:val="18"/>
        </w:rPr>
        <w:br/>
      </w:r>
      <w:r w:rsidRPr="000B4D4D">
        <w:rPr>
          <w:i/>
          <w:szCs w:val="18"/>
        </w:rPr>
        <w:t>56. Verhoging salarissen van leraren in het primair onderwijs</w:t>
      </w:r>
    </w:p>
    <w:p w:rsidRPr="000B4D4D" w:rsidR="007B4931" w:rsidP="007B4931" w:rsidRDefault="007B4931" w14:paraId="6D5EBB6D" w14:textId="77777777">
      <w:pPr>
        <w:rPr>
          <w:szCs w:val="18"/>
        </w:rPr>
      </w:pPr>
      <w:r w:rsidRPr="000B4D4D">
        <w:rPr>
          <w:szCs w:val="18"/>
        </w:rPr>
        <w:lastRenderedPageBreak/>
        <w:t>Het kabinet stelt jaarlijks geld beschikbaar om de salarissen in het primair onderwijs te verhogen. Hiermee is het verschil met de salarissen in het voortgezet onderwijs komen te vervallen.</w:t>
      </w:r>
    </w:p>
    <w:p w:rsidRPr="000B4D4D" w:rsidR="007B4931" w:rsidP="007B4931" w:rsidRDefault="007B4931" w14:paraId="664930F1" w14:textId="77777777">
      <w:pPr>
        <w:rPr>
          <w:i/>
          <w:szCs w:val="18"/>
        </w:rPr>
      </w:pPr>
      <w:r w:rsidRPr="000B4D4D">
        <w:rPr>
          <w:szCs w:val="18"/>
        </w:rPr>
        <w:t>Op scholen waar veel maatschappelijk problemen voorkomen, krijgen leraren extra salaris. Deze scholen voelen het lerarentekort vaak het sterkst. Met een zogenaamde ‘arbeidsmarkttoelage’ maakt het kabinet het aantrekkelijker om hier te werken.</w:t>
      </w:r>
      <w:r w:rsidRPr="000B4D4D">
        <w:rPr>
          <w:i/>
          <w:iCs/>
          <w:szCs w:val="18"/>
        </w:rPr>
        <w:br/>
      </w:r>
      <w:r w:rsidRPr="000B4D4D">
        <w:rPr>
          <w:i/>
          <w:iCs/>
          <w:szCs w:val="18"/>
        </w:rPr>
        <w:br/>
      </w:r>
      <w:r w:rsidRPr="000B4D4D">
        <w:rPr>
          <w:i/>
          <w:szCs w:val="18"/>
        </w:rPr>
        <w:t>57. Verlagen werkdruk</w:t>
      </w:r>
    </w:p>
    <w:p w:rsidRPr="000B4D4D" w:rsidR="007B4931" w:rsidP="007B4931" w:rsidRDefault="007B4931" w14:paraId="20E78091" w14:textId="77777777">
      <w:pPr>
        <w:rPr>
          <w:i/>
          <w:szCs w:val="18"/>
        </w:rPr>
      </w:pPr>
      <w:r w:rsidRPr="000B4D4D">
        <w:rPr>
          <w:szCs w:val="18"/>
        </w:rPr>
        <w:t>Om de werkdruk te verminderen, stelt het kabinet structureel geld beschikbaar. Met dit geld kunnen scholen maatregelen nemen, zodat leraren in het primair onderwijs echt verschil in de klas merken.</w:t>
      </w:r>
      <w:r w:rsidRPr="000B4D4D">
        <w:rPr>
          <w:i/>
          <w:szCs w:val="18"/>
        </w:rPr>
        <w:t> </w:t>
      </w:r>
      <w:r w:rsidRPr="000B4D4D">
        <w:rPr>
          <w:i/>
          <w:iCs/>
          <w:szCs w:val="18"/>
        </w:rPr>
        <w:br/>
      </w:r>
      <w:r w:rsidRPr="000B4D4D">
        <w:rPr>
          <w:i/>
          <w:iCs/>
          <w:szCs w:val="18"/>
        </w:rPr>
        <w:br/>
      </w:r>
      <w:r w:rsidRPr="000B4D4D">
        <w:rPr>
          <w:i/>
          <w:szCs w:val="18"/>
        </w:rPr>
        <w:t>58. Professionalisering leraren, schoolleiders en ondersteunend personeel</w:t>
      </w:r>
    </w:p>
    <w:p w:rsidRPr="000B4D4D" w:rsidR="007B4931" w:rsidP="007B4931" w:rsidRDefault="007B4931" w14:paraId="6C3C0D8B" w14:textId="0C49A8AE">
      <w:pPr>
        <w:rPr>
          <w:szCs w:val="18"/>
        </w:rPr>
      </w:pPr>
      <w:r w:rsidRPr="000B4D4D">
        <w:rPr>
          <w:szCs w:val="18"/>
        </w:rPr>
        <w:t xml:space="preserve">Op 1 januari 2024 is het programma </w:t>
      </w:r>
      <w:bookmarkStart w:name="_Hlk193371423" w:id="23"/>
      <w:r w:rsidRPr="000B4D4D">
        <w:rPr>
          <w:szCs w:val="18"/>
        </w:rPr>
        <w:t xml:space="preserve">Nationale Aanpak Professionalisering van Leraren (NAPL) </w:t>
      </w:r>
      <w:bookmarkEnd w:id="23"/>
      <w:r w:rsidRPr="000B4D4D">
        <w:rPr>
          <w:szCs w:val="18"/>
        </w:rPr>
        <w:t xml:space="preserve">van start gegaan, gefinancierd uit het </w:t>
      </w:r>
      <w:r w:rsidR="008470E5">
        <w:rPr>
          <w:szCs w:val="18"/>
        </w:rPr>
        <w:t>NGF</w:t>
      </w:r>
      <w:r w:rsidRPr="000B4D4D">
        <w:rPr>
          <w:szCs w:val="18"/>
        </w:rPr>
        <w:t>. Dit project loopt tot en met 2033.</w:t>
      </w:r>
    </w:p>
    <w:p w:rsidRPr="000B4D4D" w:rsidR="007B4931" w:rsidP="007B4931" w:rsidRDefault="007B4931" w14:paraId="56E089A7" w14:textId="77777777">
      <w:pPr>
        <w:rPr>
          <w:szCs w:val="18"/>
        </w:rPr>
      </w:pPr>
      <w:r w:rsidRPr="000B4D4D">
        <w:rPr>
          <w:i/>
          <w:iCs/>
          <w:szCs w:val="18"/>
        </w:rPr>
        <w:br/>
      </w:r>
      <w:r w:rsidRPr="000B4D4D">
        <w:rPr>
          <w:i/>
          <w:szCs w:val="18"/>
        </w:rPr>
        <w:t>59. Regeling onderwijskansen voortgezet onderwijs</w:t>
      </w:r>
    </w:p>
    <w:p w:rsidRPr="000B4D4D" w:rsidR="007B4931" w:rsidP="007B4931" w:rsidRDefault="007B4931" w14:paraId="7F0DA4C1" w14:textId="77777777">
      <w:pPr>
        <w:rPr>
          <w:szCs w:val="18"/>
        </w:rPr>
      </w:pPr>
      <w:r w:rsidRPr="000B4D4D">
        <w:rPr>
          <w:szCs w:val="18"/>
        </w:rPr>
        <w:t>Binnen deze regeling is structureel aanvullende bekostiging beschikbaar die is bedoeld om leerlingen te ondersteunen die door hun omgeving meer risico lopen op het niet optimaal kunnen benutten van hun leerpotentie.</w:t>
      </w:r>
    </w:p>
    <w:p w:rsidRPr="000B4D4D" w:rsidR="007B4931" w:rsidP="007B4931" w:rsidRDefault="007B4931" w14:paraId="49767F31" w14:textId="77777777">
      <w:pPr>
        <w:rPr>
          <w:szCs w:val="18"/>
        </w:rPr>
      </w:pPr>
      <w:r w:rsidRPr="000B4D4D">
        <w:rPr>
          <w:szCs w:val="18"/>
        </w:rPr>
        <w:t>Ten opzichte van het oude leerplusarrangement is het budget fors verhoogd (€ 169 miljoen in 2024). De middelen worden nu verdeeld op basis van de nieuw ontwikkelde achterstandscore voortgezet onderwijs (vo). </w:t>
      </w:r>
    </w:p>
    <w:p w:rsidRPr="000B4D4D" w:rsidR="007B4931" w:rsidP="007B4931" w:rsidRDefault="007B4931" w14:paraId="61FA5709" w14:textId="77777777">
      <w:pPr>
        <w:rPr>
          <w:b/>
          <w:szCs w:val="18"/>
        </w:rPr>
      </w:pPr>
      <w:r w:rsidRPr="000B4D4D">
        <w:rPr>
          <w:b/>
          <w:szCs w:val="18"/>
        </w:rPr>
        <w:t>Overige maatregelen</w:t>
      </w:r>
    </w:p>
    <w:p w:rsidRPr="000B4D4D" w:rsidR="007B4931" w:rsidP="007B4931" w:rsidRDefault="007B4931" w14:paraId="5BE9E51C" w14:textId="77777777">
      <w:pPr>
        <w:rPr>
          <w:i/>
          <w:szCs w:val="18"/>
        </w:rPr>
      </w:pPr>
      <w:r w:rsidRPr="000B4D4D">
        <w:rPr>
          <w:i/>
          <w:szCs w:val="18"/>
        </w:rPr>
        <w:t>60. Wet toekomst pensioenen</w:t>
      </w:r>
    </w:p>
    <w:p w:rsidRPr="000B4D4D" w:rsidR="007B4931" w:rsidP="007B4931" w:rsidRDefault="007B4931" w14:paraId="37075224" w14:textId="556910DD">
      <w:pPr>
        <w:rPr>
          <w:i/>
          <w:szCs w:val="18"/>
        </w:rPr>
      </w:pPr>
      <w:r w:rsidRPr="000B4D4D">
        <w:rPr>
          <w:szCs w:val="18"/>
        </w:rPr>
        <w:t xml:space="preserve">Geen nieuwe ontwikkelingen t.o.v.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61. Tijdelijk extra personele capaciteit voor de zorg in crisistijd (Nationale Zorgreserve en Sector Plan plus)</w:t>
      </w:r>
    </w:p>
    <w:p w:rsidRPr="000B4D4D" w:rsidR="007B4931" w:rsidP="007B4931" w:rsidRDefault="007B4931" w14:paraId="2EE7094B" w14:textId="77777777">
      <w:pPr>
        <w:rPr>
          <w:szCs w:val="18"/>
        </w:rPr>
      </w:pPr>
      <w:r w:rsidRPr="000B4D4D">
        <w:rPr>
          <w:szCs w:val="18"/>
        </w:rPr>
        <w:t>Zie toelichting bij nummer 26.</w:t>
      </w:r>
    </w:p>
    <w:p w:rsidRPr="000B4D4D" w:rsidR="007B4931" w:rsidP="007B4931" w:rsidRDefault="007B4931" w14:paraId="705C5065" w14:textId="77777777">
      <w:pPr>
        <w:rPr>
          <w:b/>
          <w:szCs w:val="18"/>
        </w:rPr>
      </w:pPr>
      <w:r w:rsidRPr="000B4D4D">
        <w:rPr>
          <w:b/>
          <w:szCs w:val="18"/>
        </w:rPr>
        <w:t>Gemeenschappelijke prioriteit: Energiezekerheid</w:t>
      </w:r>
    </w:p>
    <w:p w:rsidRPr="000B4D4D" w:rsidR="007B4931" w:rsidP="007B4931" w:rsidRDefault="007B4931" w14:paraId="20851DD7" w14:textId="77777777">
      <w:pPr>
        <w:rPr>
          <w:szCs w:val="18"/>
        </w:rPr>
      </w:pPr>
      <w:r w:rsidRPr="000B4D4D">
        <w:rPr>
          <w:b/>
          <w:szCs w:val="18"/>
        </w:rPr>
        <w:t xml:space="preserve">Elektriciteitsnet </w:t>
      </w:r>
      <w:r w:rsidRPr="000B4D4D">
        <w:rPr>
          <w:b/>
          <w:bCs/>
          <w:szCs w:val="18"/>
        </w:rPr>
        <w:br/>
      </w:r>
      <w:r w:rsidRPr="000B4D4D">
        <w:rPr>
          <w:szCs w:val="18"/>
        </w:rPr>
        <w:t xml:space="preserve">Dit wordt geadresseerd door maatregel 3 – Landelijk Actieprogramma Netcongestie </w:t>
      </w:r>
    </w:p>
    <w:p w:rsidRPr="000B4D4D" w:rsidR="007B4931" w:rsidP="007B4931" w:rsidRDefault="007B4931" w14:paraId="2DD6915B" w14:textId="77777777">
      <w:pPr>
        <w:rPr>
          <w:b/>
          <w:szCs w:val="18"/>
        </w:rPr>
      </w:pPr>
      <w:r w:rsidRPr="000B4D4D">
        <w:rPr>
          <w:b/>
          <w:szCs w:val="18"/>
        </w:rPr>
        <w:t xml:space="preserve">Energie-efficiëntie, met name in de gebouwde omgeving </w:t>
      </w:r>
      <w:r w:rsidRPr="000B4D4D">
        <w:rPr>
          <w:b/>
          <w:bCs/>
          <w:szCs w:val="18"/>
        </w:rPr>
        <w:br/>
      </w:r>
      <w:r w:rsidRPr="000B4D4D">
        <w:rPr>
          <w:szCs w:val="18"/>
        </w:rPr>
        <w:t>Dit wordt geadresseerd door maatregel 10 – Actualisering van de Energiebesparingsplicht</w:t>
      </w:r>
    </w:p>
    <w:p w:rsidRPr="000B4D4D" w:rsidR="007B4931" w:rsidP="007B4931" w:rsidRDefault="007B4931" w14:paraId="1B931824" w14:textId="77777777">
      <w:pPr>
        <w:rPr>
          <w:b/>
          <w:szCs w:val="18"/>
        </w:rPr>
      </w:pPr>
      <w:r w:rsidRPr="000B4D4D">
        <w:rPr>
          <w:b/>
          <w:szCs w:val="18"/>
        </w:rPr>
        <w:t>Overige maatregelen</w:t>
      </w:r>
    </w:p>
    <w:p w:rsidRPr="000B4D4D" w:rsidR="007B4931" w:rsidP="007B4931" w:rsidRDefault="007B4931" w14:paraId="7511ECE0" w14:textId="77777777">
      <w:pPr>
        <w:rPr>
          <w:i/>
          <w:szCs w:val="18"/>
        </w:rPr>
      </w:pPr>
      <w:bookmarkStart w:name="_Hlk192858210" w:id="24"/>
      <w:r w:rsidRPr="000B4D4D">
        <w:rPr>
          <w:i/>
          <w:szCs w:val="18"/>
        </w:rPr>
        <w:t>63. Nieuwe Energiewet</w:t>
      </w:r>
    </w:p>
    <w:p w:rsidRPr="000B4D4D" w:rsidR="007B4931" w:rsidP="007B4931" w:rsidRDefault="007B4931" w14:paraId="4BB9385F" w14:textId="77777777">
      <w:pPr>
        <w:rPr>
          <w:i/>
          <w:szCs w:val="18"/>
        </w:rPr>
      </w:pPr>
      <w:r w:rsidRPr="000B4D4D">
        <w:rPr>
          <w:szCs w:val="18"/>
        </w:rPr>
        <w:t xml:space="preserve">Dit wetsvoorstel is aangenomen door beide kamers en treedt in werking per 1 januari 2026. </w:t>
      </w:r>
      <w:bookmarkEnd w:id="24"/>
      <w:r w:rsidRPr="000B4D4D">
        <w:rPr>
          <w:szCs w:val="18"/>
        </w:rPr>
        <w:t>Komende maanden wordt gewerkt aan onderliggende regelgeving (AMvB + ministeriële regelingen).</w:t>
      </w:r>
      <w:r w:rsidRPr="000B4D4D">
        <w:rPr>
          <w:i/>
          <w:iCs/>
          <w:szCs w:val="18"/>
        </w:rPr>
        <w:br/>
      </w:r>
      <w:r w:rsidRPr="000B4D4D">
        <w:rPr>
          <w:i/>
          <w:iCs/>
          <w:szCs w:val="18"/>
        </w:rPr>
        <w:br/>
      </w:r>
      <w:r w:rsidRPr="000B4D4D">
        <w:rPr>
          <w:i/>
          <w:szCs w:val="18"/>
        </w:rPr>
        <w:t>64. Wet bestrijding Energieleveringscrisis</w:t>
      </w:r>
    </w:p>
    <w:p w:rsidRPr="000B4D4D" w:rsidR="007B4931" w:rsidP="007B4931" w:rsidRDefault="007B4931" w14:paraId="1BB47D0A" w14:textId="58D39F0D">
      <w:pPr>
        <w:rPr>
          <w:i/>
          <w:szCs w:val="18"/>
        </w:rPr>
      </w:pPr>
      <w:r w:rsidRPr="000B4D4D">
        <w:rPr>
          <w:szCs w:val="18"/>
        </w:rPr>
        <w:t>Consultatie is afgerond, wet treedt naar verwachting op 1 januari 2027 in werking</w:t>
      </w:r>
      <w:r w:rsidRPr="000B4D4D">
        <w:rPr>
          <w:i/>
          <w:szCs w:val="18"/>
        </w:rPr>
        <w:t>.</w:t>
      </w:r>
      <w:r w:rsidRPr="000B4D4D">
        <w:rPr>
          <w:i/>
          <w:iCs/>
          <w:szCs w:val="18"/>
        </w:rPr>
        <w:br/>
      </w:r>
      <w:r w:rsidRPr="000B4D4D">
        <w:rPr>
          <w:i/>
          <w:iCs/>
          <w:szCs w:val="18"/>
        </w:rPr>
        <w:br/>
      </w:r>
      <w:r w:rsidRPr="000B4D4D">
        <w:rPr>
          <w:i/>
          <w:szCs w:val="18"/>
        </w:rPr>
        <w:t>65. Aanpassing Wet Voorraadvorming Aardolieproducten</w:t>
      </w:r>
      <w:r w:rsidRPr="000B4D4D">
        <w:rPr>
          <w:i/>
          <w:iCs/>
          <w:szCs w:val="18"/>
        </w:rPr>
        <w:br/>
      </w:r>
      <w:r w:rsidRPr="000B4D4D" w:rsidR="00D24393">
        <w:rPr>
          <w:szCs w:val="18"/>
        </w:rPr>
        <w:t>Het traject van aanpassing van de Wva zit nog in de beleidsvormende fase. Het traject heeft vertraging opgelopen, maar inzet is nog steeds om in 2027 in werking te laten treden</w:t>
      </w:r>
      <w:r w:rsidRPr="000B4D4D" w:rsidR="00307049">
        <w:rPr>
          <w:szCs w:val="18"/>
        </w:rPr>
        <w:t>.</w:t>
      </w:r>
      <w:r w:rsidRPr="000B4D4D" w:rsidDel="00D24393" w:rsidR="00D24393">
        <w:rPr>
          <w:szCs w:val="18"/>
          <w:highlight w:val="yellow"/>
        </w:rPr>
        <w:t xml:space="preserve"> </w:t>
      </w:r>
      <w:r w:rsidRPr="000B4D4D">
        <w:rPr>
          <w:i/>
          <w:iCs/>
          <w:szCs w:val="18"/>
        </w:rPr>
        <w:br/>
      </w:r>
      <w:r w:rsidRPr="000B4D4D">
        <w:rPr>
          <w:i/>
          <w:iCs/>
          <w:szCs w:val="18"/>
        </w:rPr>
        <w:lastRenderedPageBreak/>
        <w:br/>
      </w:r>
      <w:r w:rsidRPr="000B4D4D">
        <w:rPr>
          <w:i/>
          <w:szCs w:val="18"/>
        </w:rPr>
        <w:t>66. Implementatie CER/NIS</w:t>
      </w:r>
    </w:p>
    <w:p w:rsidRPr="000B4D4D" w:rsidR="007B4931" w:rsidP="007B4931" w:rsidRDefault="007B4931" w14:paraId="762DAB04" w14:textId="77777777">
      <w:pPr>
        <w:rPr>
          <w:i/>
          <w:szCs w:val="18"/>
        </w:rPr>
      </w:pPr>
      <w:r w:rsidRPr="000B4D4D">
        <w:rPr>
          <w:szCs w:val="18"/>
        </w:rPr>
        <w:t>Naar verwachting gaat eind deze maand een lichte versie van de one-stop-shop van start. Volgend jaar wordt nog een uitbreiding verwacht.</w:t>
      </w:r>
      <w:r w:rsidRPr="000B4D4D">
        <w:rPr>
          <w:i/>
          <w:szCs w:val="18"/>
        </w:rPr>
        <w:t xml:space="preserve"> </w:t>
      </w:r>
      <w:r w:rsidRPr="000B4D4D">
        <w:rPr>
          <w:i/>
          <w:iCs/>
          <w:szCs w:val="18"/>
        </w:rPr>
        <w:br/>
      </w:r>
      <w:bookmarkStart w:name="_Hlk192858221" w:id="25"/>
      <w:r w:rsidRPr="000B4D4D">
        <w:rPr>
          <w:i/>
          <w:iCs/>
          <w:szCs w:val="18"/>
        </w:rPr>
        <w:br/>
      </w:r>
      <w:r w:rsidRPr="000B4D4D">
        <w:rPr>
          <w:i/>
          <w:szCs w:val="18"/>
        </w:rPr>
        <w:t>67. Waterstof</w:t>
      </w:r>
      <w:bookmarkEnd w:id="25"/>
    </w:p>
    <w:p w:rsidRPr="000B4D4D" w:rsidR="007B4931" w:rsidP="007B4931" w:rsidRDefault="007B4931" w14:paraId="5106B61B" w14:textId="2CCE3B0D">
      <w:pPr>
        <w:rPr>
          <w:szCs w:val="18"/>
        </w:rPr>
      </w:pPr>
      <w:r w:rsidRPr="000B4D4D">
        <w:rPr>
          <w:szCs w:val="18"/>
        </w:rPr>
        <w:t>Het kabinet beoogt de ontwikkeling van de waterstofmarkt te stimuleren met een kleinere inzet van subsidies en vermindert het budget voor waterstof met in totaal 1</w:t>
      </w:r>
      <w:r w:rsidR="00876D55">
        <w:rPr>
          <w:szCs w:val="18"/>
        </w:rPr>
        <w:t>,</w:t>
      </w:r>
      <w:r w:rsidRPr="000B4D4D">
        <w:rPr>
          <w:szCs w:val="18"/>
        </w:rPr>
        <w:t xml:space="preserve">2 </w:t>
      </w:r>
      <w:r w:rsidR="00876D55">
        <w:rPr>
          <w:szCs w:val="18"/>
        </w:rPr>
        <w:t>miljard euro</w:t>
      </w:r>
      <w:r w:rsidRPr="000B4D4D">
        <w:rPr>
          <w:szCs w:val="18"/>
        </w:rPr>
        <w:t>. Het kabinet houdt in 2025 in totaal 5,8 m</w:t>
      </w:r>
      <w:r w:rsidR="00876D55">
        <w:rPr>
          <w:szCs w:val="18"/>
        </w:rPr>
        <w:t>i</w:t>
      </w:r>
      <w:r w:rsidRPr="000B4D4D">
        <w:rPr>
          <w:szCs w:val="18"/>
        </w:rPr>
        <w:t>l</w:t>
      </w:r>
      <w:r w:rsidR="00876D55">
        <w:rPr>
          <w:szCs w:val="18"/>
        </w:rPr>
        <w:t>jar</w:t>
      </w:r>
      <w:r w:rsidRPr="000B4D4D">
        <w:rPr>
          <w:szCs w:val="18"/>
        </w:rPr>
        <w:t>d</w:t>
      </w:r>
      <w:r w:rsidR="00876D55">
        <w:rPr>
          <w:szCs w:val="18"/>
        </w:rPr>
        <w:t xml:space="preserve"> euro</w:t>
      </w:r>
      <w:r w:rsidRPr="000B4D4D">
        <w:rPr>
          <w:szCs w:val="18"/>
        </w:rPr>
        <w:t xml:space="preserve"> beschikbaar voor de subsidie van elektrolyseprojecten. Voor het importbeleid van het kabinet is 300 </w:t>
      </w:r>
      <w:r w:rsidR="00876D55">
        <w:rPr>
          <w:szCs w:val="18"/>
        </w:rPr>
        <w:t>miljoen euro</w:t>
      </w:r>
      <w:r w:rsidRPr="000B4D4D" w:rsidR="00876D55">
        <w:rPr>
          <w:szCs w:val="18"/>
        </w:rPr>
        <w:t xml:space="preserve"> </w:t>
      </w:r>
      <w:r w:rsidRPr="000B4D4D">
        <w:rPr>
          <w:szCs w:val="18"/>
        </w:rPr>
        <w:t xml:space="preserve">beschikbar voor H2global. Voor importprojecten is via het IPCEI 86,6 </w:t>
      </w:r>
      <w:r w:rsidR="00876D55">
        <w:rPr>
          <w:szCs w:val="18"/>
        </w:rPr>
        <w:t>miljoen euro</w:t>
      </w:r>
      <w:r w:rsidRPr="000B4D4D" w:rsidR="00876D55">
        <w:rPr>
          <w:szCs w:val="18"/>
        </w:rPr>
        <w:t xml:space="preserve"> </w:t>
      </w:r>
      <w:r w:rsidRPr="000B4D4D">
        <w:rPr>
          <w:szCs w:val="18"/>
        </w:rPr>
        <w:t xml:space="preserve">beschikbaar. Op dit moment vindt de voorjaarsbesluitvorming plaats. Dit kan de budgetten voor waterstof beïnvloeden. </w:t>
      </w:r>
    </w:p>
    <w:p w:rsidRPr="000B4D4D" w:rsidR="007B4931" w:rsidP="007B4931" w:rsidRDefault="007B4931" w14:paraId="09851B2E" w14:textId="77777777">
      <w:pPr>
        <w:rPr>
          <w:b/>
          <w:szCs w:val="18"/>
        </w:rPr>
      </w:pPr>
      <w:r w:rsidRPr="000B4D4D">
        <w:rPr>
          <w:b/>
          <w:szCs w:val="18"/>
        </w:rPr>
        <w:t>Gemeenschappelijke prioriteit: Opbouw van defensiecapaciteiten</w:t>
      </w:r>
    </w:p>
    <w:p w:rsidRPr="000B4D4D" w:rsidR="007B4931" w:rsidP="007B4931" w:rsidRDefault="007B4931" w14:paraId="5270605E" w14:textId="77777777">
      <w:pPr>
        <w:rPr>
          <w:b/>
          <w:szCs w:val="18"/>
        </w:rPr>
      </w:pPr>
      <w:r w:rsidRPr="000B4D4D">
        <w:rPr>
          <w:b/>
          <w:szCs w:val="18"/>
        </w:rPr>
        <w:t>Overige maatregelen</w:t>
      </w:r>
    </w:p>
    <w:p w:rsidRPr="000B4D4D" w:rsidR="007B4931" w:rsidP="007B4931" w:rsidRDefault="007B4931" w14:paraId="3C2DD9E1" w14:textId="77777777">
      <w:pPr>
        <w:rPr>
          <w:i/>
          <w:szCs w:val="18"/>
        </w:rPr>
      </w:pPr>
      <w:r w:rsidRPr="000B4D4D">
        <w:rPr>
          <w:i/>
          <w:szCs w:val="18"/>
        </w:rPr>
        <w:t>68. Investeringen Defensiebreed materieel.</w:t>
      </w:r>
    </w:p>
    <w:p w:rsidRPr="000B4D4D" w:rsidR="007B4931" w:rsidP="007B4931" w:rsidRDefault="007B4931" w14:paraId="460C5D83" w14:textId="4836F2B0">
      <w:pPr>
        <w:rPr>
          <w:i/>
          <w:szCs w:val="18"/>
        </w:rPr>
      </w:pPr>
      <w:r w:rsidRPr="000B4D4D">
        <w:rPr>
          <w:szCs w:val="18"/>
        </w:rPr>
        <w:t xml:space="preserve">Geen nieuwe ontwikkelingen t.o.v. </w:t>
      </w:r>
      <w:r w:rsidR="00397600">
        <w:rPr>
          <w:szCs w:val="18"/>
        </w:rPr>
        <w:t>het</w:t>
      </w:r>
      <w:r w:rsidRPr="000B4D4D">
        <w:rPr>
          <w:szCs w:val="18"/>
        </w:rPr>
        <w:t xml:space="preserve"> </w:t>
      </w:r>
      <w:r w:rsidR="00397600">
        <w:rPr>
          <w:szCs w:val="18"/>
        </w:rPr>
        <w:t>budgettair-structureel plan voor de middellange termijn</w:t>
      </w:r>
      <w:r w:rsidRPr="000B4D4D" w:rsidR="00397600">
        <w:rPr>
          <w:szCs w:val="18"/>
        </w:rPr>
        <w:t xml:space="preserve"> </w:t>
      </w:r>
      <w:r w:rsidRPr="000B4D4D">
        <w:rPr>
          <w:szCs w:val="18"/>
        </w:rPr>
        <w:t>2024.</w:t>
      </w:r>
      <w:r w:rsidRPr="000B4D4D">
        <w:rPr>
          <w:szCs w:val="18"/>
        </w:rPr>
        <w:br/>
      </w:r>
      <w:r w:rsidRPr="000B4D4D">
        <w:rPr>
          <w:i/>
          <w:iCs/>
          <w:szCs w:val="18"/>
        </w:rPr>
        <w:br/>
      </w:r>
      <w:r w:rsidRPr="000B4D4D">
        <w:rPr>
          <w:i/>
          <w:szCs w:val="18"/>
        </w:rPr>
        <w:t>69. Investeringen Maritiem materieel</w:t>
      </w:r>
    </w:p>
    <w:p w:rsidRPr="000B4D4D" w:rsidR="007B4931" w:rsidP="007B4931" w:rsidRDefault="007B4931" w14:paraId="636C3D16" w14:textId="73A93BCB">
      <w:pPr>
        <w:rPr>
          <w:i/>
          <w:szCs w:val="18"/>
        </w:rPr>
      </w:pPr>
      <w:r w:rsidRPr="000B4D4D">
        <w:rPr>
          <w:szCs w:val="18"/>
        </w:rPr>
        <w:t xml:space="preserve">Geen nieuwe ontwikkelingen t.o.v. </w:t>
      </w:r>
      <w:r w:rsidR="00397600">
        <w:rPr>
          <w:szCs w:val="18"/>
        </w:rPr>
        <w:t xml:space="preserve">het </w:t>
      </w:r>
      <w:r w:rsidRPr="00397600" w:rsidR="00397600">
        <w:rPr>
          <w:szCs w:val="18"/>
        </w:rPr>
        <w:t xml:space="preserve">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70. Investeringen Land materieel</w:t>
      </w:r>
    </w:p>
    <w:p w:rsidRPr="000B4D4D" w:rsidR="007B4931" w:rsidP="007B4931" w:rsidRDefault="007B4931" w14:paraId="4A704E4E" w14:textId="03EF6C0C">
      <w:pPr>
        <w:rPr>
          <w:i/>
          <w:szCs w:val="18"/>
        </w:rPr>
      </w:pPr>
      <w:r w:rsidRPr="000B4D4D">
        <w:rPr>
          <w:szCs w:val="18"/>
        </w:rPr>
        <w:t xml:space="preserve">Geen nieuwe ontwikkelingen t.o.v. </w:t>
      </w:r>
      <w:r w:rsidR="00397600">
        <w:rPr>
          <w:szCs w:val="18"/>
        </w:rPr>
        <w:t>het</w:t>
      </w:r>
      <w:r w:rsidRPr="00397600" w:rsidR="00397600">
        <w:rPr>
          <w:szCs w:val="18"/>
        </w:rPr>
        <w:t xml:space="preserve">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71. Investeringen Lucht materieel</w:t>
      </w:r>
    </w:p>
    <w:p w:rsidRPr="000B4D4D" w:rsidR="007B4931" w:rsidP="007B4931" w:rsidRDefault="007B4931" w14:paraId="5178F3F5" w14:textId="343ECEB1">
      <w:pPr>
        <w:rPr>
          <w:i/>
          <w:szCs w:val="18"/>
        </w:rPr>
      </w:pPr>
      <w:r w:rsidRPr="000B4D4D">
        <w:rPr>
          <w:szCs w:val="18"/>
        </w:rPr>
        <w:t xml:space="preserve">Geen nieuwe ontwikkelingen t.o.v. </w:t>
      </w:r>
      <w:r w:rsidR="00397600">
        <w:rPr>
          <w:szCs w:val="18"/>
        </w:rPr>
        <w:t xml:space="preserve">het </w:t>
      </w:r>
      <w:r w:rsidRPr="00397600" w:rsidR="00397600">
        <w:rPr>
          <w:szCs w:val="18"/>
        </w:rPr>
        <w:t xml:space="preserve">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72. Investeringen Infrastructuur en Vastgoed</w:t>
      </w:r>
    </w:p>
    <w:p w:rsidR="000D275C" w:rsidP="007B4931" w:rsidRDefault="007B4931" w14:paraId="56CA940C" w14:textId="77777777">
      <w:pPr>
        <w:rPr>
          <w:szCs w:val="18"/>
        </w:rPr>
      </w:pPr>
      <w:r w:rsidRPr="000B4D4D">
        <w:rPr>
          <w:szCs w:val="18"/>
        </w:rPr>
        <w:t xml:space="preserve">Geen nieuwe ontwikkelingen t.o.v. </w:t>
      </w:r>
      <w:r w:rsidR="00397600">
        <w:rPr>
          <w:szCs w:val="18"/>
        </w:rPr>
        <w:t xml:space="preserve">het </w:t>
      </w:r>
      <w:r w:rsidRPr="00397600" w:rsidR="00397600">
        <w:rPr>
          <w:szCs w:val="18"/>
        </w:rPr>
        <w:t xml:space="preserve"> </w:t>
      </w:r>
      <w:r w:rsidR="00397600">
        <w:rPr>
          <w:szCs w:val="18"/>
        </w:rPr>
        <w:t>budgettair-structureel plan voor de middellange termijn</w:t>
      </w:r>
      <w:r w:rsidRPr="000B4D4D">
        <w:rPr>
          <w:szCs w:val="18"/>
        </w:rPr>
        <w:t xml:space="preserve"> 2024.</w:t>
      </w:r>
    </w:p>
    <w:p w:rsidRPr="000B4D4D" w:rsidR="007B4931" w:rsidP="007B4931" w:rsidRDefault="007B4931" w14:paraId="2833CDE1" w14:textId="7BD28879">
      <w:pPr>
        <w:rPr>
          <w:i/>
          <w:szCs w:val="18"/>
        </w:rPr>
      </w:pPr>
      <w:r w:rsidRPr="000B4D4D">
        <w:rPr>
          <w:i/>
          <w:szCs w:val="18"/>
        </w:rPr>
        <w:t>73. Investeringen IT</w:t>
      </w:r>
    </w:p>
    <w:p w:rsidRPr="000B4D4D" w:rsidR="007B4931" w:rsidP="007B4931" w:rsidRDefault="007B4931" w14:paraId="666DFC57" w14:textId="118B9194">
      <w:pPr>
        <w:rPr>
          <w:i/>
          <w:szCs w:val="18"/>
        </w:rPr>
      </w:pPr>
      <w:r w:rsidRPr="000B4D4D">
        <w:rPr>
          <w:szCs w:val="18"/>
        </w:rPr>
        <w:t xml:space="preserve">Geen nieuwe ontwikkelingen t.o.v. </w:t>
      </w:r>
      <w:r w:rsidR="00397600">
        <w:rPr>
          <w:szCs w:val="18"/>
        </w:rPr>
        <w:t>het</w:t>
      </w:r>
      <w:r w:rsidRPr="00397600" w:rsidR="00397600">
        <w:rPr>
          <w:szCs w:val="18"/>
        </w:rPr>
        <w:t xml:space="preserve">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74. Investeringen Nominaal en nog onverdeeld</w:t>
      </w:r>
    </w:p>
    <w:p w:rsidRPr="000B4D4D" w:rsidR="007B4931" w:rsidP="007B4931" w:rsidRDefault="007B4931" w14:paraId="24767A03" w14:textId="5F6447A3">
      <w:pPr>
        <w:rPr>
          <w:i/>
          <w:szCs w:val="18"/>
        </w:rPr>
      </w:pPr>
      <w:r w:rsidRPr="000B4D4D">
        <w:rPr>
          <w:szCs w:val="18"/>
        </w:rPr>
        <w:t xml:space="preserve">Geen nieuwe ontwikkelingen t.o.v. </w:t>
      </w:r>
      <w:r w:rsidR="00397600">
        <w:rPr>
          <w:szCs w:val="18"/>
        </w:rPr>
        <w:t>het</w:t>
      </w:r>
      <w:r w:rsidRPr="00397600" w:rsidR="00397600">
        <w:rPr>
          <w:szCs w:val="18"/>
        </w:rPr>
        <w:t xml:space="preserve">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75. Aanstelling Speciaal Vertegenwoordiger Grondstoffenstrategie</w:t>
      </w:r>
      <w:r w:rsidRPr="000B4D4D">
        <w:rPr>
          <w:szCs w:val="18"/>
        </w:rPr>
        <w:t xml:space="preserve"> </w:t>
      </w:r>
    </w:p>
    <w:p w:rsidRPr="000B4D4D" w:rsidR="007B4931" w:rsidP="007B4931" w:rsidRDefault="007B4931" w14:paraId="703387D9" w14:textId="77777777">
      <w:pPr>
        <w:rPr>
          <w:i/>
          <w:szCs w:val="18"/>
        </w:rPr>
      </w:pPr>
      <w:r w:rsidRPr="000B4D4D">
        <w:rPr>
          <w:szCs w:val="18"/>
        </w:rPr>
        <w:t>De speciaal vertegenwoordiger Grondstoffenstrategie is in maart 2024 gestart.</w:t>
      </w:r>
      <w:r w:rsidRPr="000B4D4D">
        <w:rPr>
          <w:i/>
          <w:szCs w:val="18"/>
        </w:rPr>
        <w:t xml:space="preserve"> </w:t>
      </w:r>
      <w:r w:rsidRPr="000B4D4D">
        <w:rPr>
          <w:i/>
          <w:iCs/>
          <w:szCs w:val="18"/>
        </w:rPr>
        <w:br/>
      </w:r>
      <w:r w:rsidRPr="000B4D4D">
        <w:rPr>
          <w:i/>
          <w:iCs/>
          <w:szCs w:val="18"/>
        </w:rPr>
        <w:br/>
      </w:r>
      <w:r w:rsidRPr="000B4D4D">
        <w:rPr>
          <w:i/>
          <w:szCs w:val="18"/>
        </w:rPr>
        <w:t>76. Oprichting Nederlands Materialen Observatorium</w:t>
      </w:r>
    </w:p>
    <w:p w:rsidRPr="000B4D4D" w:rsidR="007B4931" w:rsidP="007B4931" w:rsidRDefault="007B4931" w14:paraId="03EF89F8" w14:textId="479451D6">
      <w:pPr>
        <w:rPr>
          <w:i/>
          <w:szCs w:val="18"/>
        </w:rPr>
      </w:pPr>
      <w:r w:rsidRPr="000B4D4D">
        <w:rPr>
          <w:szCs w:val="18"/>
        </w:rPr>
        <w:t>Het NMO is per februari 2025 in werking getreden.</w:t>
      </w:r>
      <w:r w:rsidRPr="000B4D4D">
        <w:rPr>
          <w:i/>
          <w:szCs w:val="18"/>
        </w:rPr>
        <w:t xml:space="preserve"> </w:t>
      </w:r>
      <w:r w:rsidRPr="000B4D4D">
        <w:rPr>
          <w:i/>
          <w:iCs/>
          <w:szCs w:val="18"/>
        </w:rPr>
        <w:br/>
      </w:r>
      <w:r w:rsidRPr="000B4D4D">
        <w:rPr>
          <w:i/>
          <w:iCs/>
          <w:szCs w:val="18"/>
        </w:rPr>
        <w:br/>
      </w:r>
      <w:r w:rsidRPr="000B4D4D">
        <w:rPr>
          <w:i/>
          <w:szCs w:val="18"/>
        </w:rPr>
        <w:t>76. Oprichting centraal contactpunt NZIA en CRMA</w:t>
      </w:r>
    </w:p>
    <w:p w:rsidRPr="000B4D4D" w:rsidR="007B4931" w:rsidP="007B4931" w:rsidRDefault="007B4931" w14:paraId="178CA592" w14:textId="251D3306">
      <w:pPr>
        <w:rPr>
          <w:szCs w:val="18"/>
        </w:rPr>
      </w:pPr>
      <w:r w:rsidRPr="000B4D4D">
        <w:rPr>
          <w:szCs w:val="18"/>
        </w:rPr>
        <w:lastRenderedPageBreak/>
        <w:t>De informatiepagina en het contactpunt worden op 11 april operationeel. Volgend jaar wordt het centraal contactpunt naar verwachting uitgebreid met de implementatie van de volledige coördinatie van vergunningverlening en de prioritaire status van de strategische projecten.</w:t>
      </w:r>
      <w:r w:rsidRPr="000B4D4D">
        <w:rPr>
          <w:szCs w:val="18"/>
        </w:rPr>
        <w:br/>
      </w:r>
      <w:r w:rsidRPr="000B4D4D">
        <w:rPr>
          <w:i/>
          <w:iCs/>
          <w:szCs w:val="18"/>
        </w:rPr>
        <w:br/>
      </w:r>
      <w:r w:rsidRPr="000B4D4D">
        <w:rPr>
          <w:i/>
          <w:szCs w:val="18"/>
        </w:rPr>
        <w:t>77. Rapport groeimarkten voor Nederland</w:t>
      </w:r>
      <w:r w:rsidRPr="000B4D4D">
        <w:rPr>
          <w:i/>
          <w:iCs/>
          <w:szCs w:val="18"/>
        </w:rPr>
        <w:br/>
      </w:r>
      <w:r w:rsidRPr="000B4D4D">
        <w:rPr>
          <w:i/>
          <w:iCs/>
          <w:szCs w:val="18"/>
        </w:rPr>
        <w:br/>
      </w:r>
      <w:r w:rsidRPr="000B4D4D">
        <w:rPr>
          <w:szCs w:val="18"/>
        </w:rPr>
        <w:t xml:space="preserve">Geen nieuwe ontwikkelingen t.o.v. </w:t>
      </w:r>
      <w:r w:rsidR="00397600">
        <w:rPr>
          <w:szCs w:val="18"/>
        </w:rPr>
        <w:t>het</w:t>
      </w:r>
      <w:r w:rsidRPr="00397600" w:rsidR="00397600">
        <w:rPr>
          <w:szCs w:val="18"/>
        </w:rPr>
        <w:t xml:space="preserve"> </w:t>
      </w:r>
      <w:r w:rsidR="00397600">
        <w:rPr>
          <w:szCs w:val="18"/>
        </w:rPr>
        <w:t>budgettair-structureel plan voor de middellange termijn</w:t>
      </w:r>
      <w:r w:rsidRPr="000B4D4D">
        <w:rPr>
          <w:szCs w:val="18"/>
        </w:rPr>
        <w:t xml:space="preserve"> 2024.</w:t>
      </w:r>
      <w:r w:rsidRPr="000B4D4D">
        <w:rPr>
          <w:szCs w:val="18"/>
        </w:rPr>
        <w:br/>
      </w:r>
      <w:r w:rsidRPr="000B4D4D">
        <w:rPr>
          <w:i/>
          <w:iCs/>
          <w:szCs w:val="18"/>
        </w:rPr>
        <w:br/>
      </w:r>
      <w:r w:rsidRPr="000B4D4D">
        <w:rPr>
          <w:i/>
          <w:szCs w:val="18"/>
        </w:rPr>
        <w:t>78. Project Beethoven</w:t>
      </w:r>
    </w:p>
    <w:p w:rsidRPr="000B4D4D" w:rsidR="007B4931" w:rsidP="007B4931" w:rsidRDefault="007B4931" w14:paraId="09B8878B" w14:textId="77777777">
      <w:pPr>
        <w:rPr>
          <w:szCs w:val="18"/>
        </w:rPr>
      </w:pPr>
      <w:r w:rsidRPr="000B4D4D">
        <w:rPr>
          <w:i/>
          <w:szCs w:val="18"/>
        </w:rPr>
        <w:t>Nationaal versterkingsplan Microchip-talent</w:t>
      </w:r>
    </w:p>
    <w:p w:rsidRPr="000B4D4D" w:rsidR="007B4931" w:rsidP="007B4931" w:rsidRDefault="007B4931" w14:paraId="07348723" w14:textId="6C3B3BDA">
      <w:pPr>
        <w:rPr>
          <w:szCs w:val="18"/>
        </w:rPr>
      </w:pPr>
      <w:r w:rsidRPr="000B4D4D">
        <w:rPr>
          <w:szCs w:val="18"/>
        </w:rPr>
        <w:t xml:space="preserve">In november 2024 heeft het kabinet bekend gemaakt dat er een bedrag van 80,9 miljoen </w:t>
      </w:r>
      <w:r w:rsidR="00876D55">
        <w:rPr>
          <w:szCs w:val="18"/>
        </w:rPr>
        <w:t>euro</w:t>
      </w:r>
      <w:r w:rsidRPr="000B4D4D">
        <w:rPr>
          <w:szCs w:val="18"/>
        </w:rPr>
        <w:t xml:space="preserve"> uit de incidentele middelen toegekend werd aan de regio’s (Brainport, Twente, Noorden en Delft/ Zuid-Holland) voor het verhogen van de instroom van initiële studenten. De toekenning is gedaan op basis van ingediende regionale plannen. Er zijn sinds de start van dit programma al veel nieuwe partnerschappen ontstaan, bedrijven en kennisinstellingen weten elkaar op dit thema nu al beter te vinden. </w:t>
      </w:r>
    </w:p>
    <w:p w:rsidRPr="000B4D4D" w:rsidR="007B4931" w:rsidP="007B4931" w:rsidRDefault="007B4931" w14:paraId="05310091" w14:textId="77777777">
      <w:pPr>
        <w:rPr>
          <w:szCs w:val="18"/>
        </w:rPr>
      </w:pPr>
      <w:r w:rsidRPr="000B4D4D">
        <w:rPr>
          <w:szCs w:val="18"/>
        </w:rPr>
        <w:t>Om aan het extra talent te komen is het essentieel dat hiernaast ingezet wordt op leven lang ontwikkelen (LLO). Het gaat hierbij over om- en bijscholing. Vooral omscholing is van belang omdat dit de talentvijver vergroot met nieuwe doelgroepen, zoals werklozen en statushouders. Bij indiening van de plannen in oktober 2024 bleek dat de LLO-componenten uit de plannen extra uitwerking behoefden. Deze uitwerking hebben de regio’s eind januari ingediend. In april/mei zal de regiegroep het advies over deze uitwerking bij de ministers EZ en OCW indienen.</w:t>
      </w:r>
    </w:p>
    <w:p w:rsidRPr="000B4D4D" w:rsidR="007B4931" w:rsidP="007B4931" w:rsidRDefault="007B4931" w14:paraId="43EF6CA7" w14:textId="77777777">
      <w:pPr>
        <w:rPr>
          <w:i/>
          <w:szCs w:val="18"/>
        </w:rPr>
      </w:pPr>
      <w:r w:rsidRPr="000B4D4D">
        <w:rPr>
          <w:i/>
          <w:szCs w:val="18"/>
        </w:rPr>
        <w:t xml:space="preserve">Gebiedsgerichte opgaven </w:t>
      </w:r>
    </w:p>
    <w:p w:rsidRPr="000B4D4D" w:rsidR="007B4931" w:rsidP="007B4931" w:rsidRDefault="007B4931" w14:paraId="5328226D" w14:textId="7A8D5F2A">
      <w:pPr>
        <w:rPr>
          <w:szCs w:val="18"/>
        </w:rPr>
      </w:pPr>
      <w:r w:rsidRPr="000B4D4D">
        <w:rPr>
          <w:szCs w:val="18"/>
        </w:rPr>
        <w:t xml:space="preserve">In 2022 en 2024 is ten behoeve van de doorontwikkeling van de Brainportregio door de toenmalige kabinetten en de regio (publiek en privaat) 1,6 miljard </w:t>
      </w:r>
      <w:r w:rsidR="00876D55">
        <w:rPr>
          <w:szCs w:val="18"/>
        </w:rPr>
        <w:t>euro</w:t>
      </w:r>
      <w:r w:rsidRPr="000B4D4D">
        <w:rPr>
          <w:szCs w:val="18"/>
        </w:rPr>
        <w:t xml:space="preserve"> (‘Brainportdeal’) respectievelijk 2,51 miljard </w:t>
      </w:r>
      <w:r w:rsidR="00876D55">
        <w:rPr>
          <w:szCs w:val="18"/>
        </w:rPr>
        <w:t>euro</w:t>
      </w:r>
      <w:r w:rsidRPr="000B4D4D">
        <w:rPr>
          <w:szCs w:val="18"/>
        </w:rPr>
        <w:t xml:space="preserve"> (‘Beethovenconvenant’) beschikbaar gesteld voor investeringen in fysieke maatregelen (wonen, mobiliteit, energie) en talent.</w:t>
      </w:r>
    </w:p>
    <w:p w:rsidRPr="000B4D4D" w:rsidR="007B4931" w:rsidP="007B4931" w:rsidRDefault="007B4931" w14:paraId="45BD8EAE" w14:textId="77777777">
      <w:pPr>
        <w:rPr>
          <w:szCs w:val="18"/>
        </w:rPr>
      </w:pPr>
      <w:r w:rsidRPr="000B4D4D">
        <w:rPr>
          <w:szCs w:val="18"/>
        </w:rPr>
        <w:t>De grote uitdaging voor deze kabinetsperiode zijn dus niet zozeer de financiële middelen, maar is de concrete omzetting van de besluiten naar de uitvoering van de projecten, om de afspraken en doelstellingen tijdig te realiseren. Dit kan door gebrek aan uitvoerende capaciteiten en materialen en soms bureaucratische regelgeving soms best een uitdaging zijn. Dit wordt door alle betrokken partijen (h)erkend, vandaar dat in het Beethoven-convenant veel aandacht is besteed aan ‘uitvoeringskracht’.</w:t>
      </w:r>
    </w:p>
    <w:p w:rsidRPr="000B4D4D" w:rsidR="007B4931" w:rsidP="007B4931" w:rsidRDefault="007B4931" w14:paraId="1417964F" w14:textId="77777777">
      <w:pPr>
        <w:rPr>
          <w:szCs w:val="18"/>
        </w:rPr>
      </w:pPr>
      <w:r w:rsidRPr="000B4D4D">
        <w:rPr>
          <w:szCs w:val="18"/>
        </w:rPr>
        <w:t xml:space="preserve">Per project is inzichtelijk gemaakt welke resultaten en mijlpalen Rijk en regio (inclusief uitvoeringsorganisaties en andere betrokkenen) willen realiseren. De gezamenlijke partijen werken momenteel hard aan de uitvoering van werkzaamheden, zoals de aanleg van wegen, fietspaden, bouw van woningen, elektriciteits-infrastructuur, etc. </w:t>
      </w:r>
    </w:p>
    <w:p w:rsidRPr="000B4D4D" w:rsidR="00D13A77" w:rsidRDefault="00D13A77" w14:paraId="68AF2ABB" w14:textId="7AF57EA1">
      <w:pPr>
        <w:rPr>
          <w:rFonts w:eastAsia="Verdana" w:cs="Verdana"/>
          <w:szCs w:val="18"/>
        </w:rPr>
      </w:pPr>
      <w:r w:rsidRPr="000B4D4D">
        <w:rPr>
          <w:rFonts w:eastAsia="Verdana" w:cs="Verdana"/>
          <w:szCs w:val="18"/>
        </w:rPr>
        <w:br w:type="page"/>
      </w:r>
    </w:p>
    <w:p w:rsidRPr="00CD05BC" w:rsidR="00D13A77" w:rsidP="00D13A77" w:rsidRDefault="00D13A77" w14:paraId="349CA419" w14:textId="45A3A840">
      <w:pPr>
        <w:pStyle w:val="Kop1"/>
      </w:pPr>
      <w:bookmarkStart w:name="_Toc196830276" w:id="26"/>
      <w:r w:rsidRPr="00CD05BC">
        <w:lastRenderedPageBreak/>
        <w:t xml:space="preserve">Hoofdstuk 6: </w:t>
      </w:r>
      <w:r w:rsidRPr="00CD05BC">
        <w:br/>
      </w:r>
      <w:r w:rsidRPr="00CD05BC">
        <w:rPr>
          <w:color w:val="auto"/>
        </w:rPr>
        <w:t>Voorwaardelijke verplichtingen</w:t>
      </w:r>
      <w:bookmarkEnd w:id="26"/>
      <w:r w:rsidRPr="00CD05BC">
        <w:rPr>
          <w:color w:val="auto"/>
        </w:rPr>
        <w:t xml:space="preserve">  </w:t>
      </w:r>
    </w:p>
    <w:p w:rsidRPr="000B4D4D" w:rsidR="00F67FC5" w:rsidRDefault="00F67FC5" w14:paraId="4CCAED6E" w14:textId="44F44A06">
      <w:pPr>
        <w:rPr>
          <w:rFonts w:eastAsia="Verdana" w:cs="Verdana"/>
          <w:i/>
          <w:szCs w:val="18"/>
        </w:rPr>
      </w:pPr>
      <w:r w:rsidRPr="000B4D4D">
        <w:rPr>
          <w:rFonts w:eastAsia="Verdana" w:cs="Verdana"/>
          <w:i/>
          <w:szCs w:val="18"/>
        </w:rPr>
        <w:t>Dit hoofdstuk presenteert een overzicht van de voorwaardelijke verplichtingen van de Rijksoverheid, met name de garanties</w:t>
      </w:r>
      <w:r w:rsidRPr="000B4D4D" w:rsidR="008B52FC">
        <w:rPr>
          <w:rFonts w:eastAsia="Verdana" w:cs="Verdana"/>
          <w:i/>
          <w:szCs w:val="18"/>
        </w:rPr>
        <w:t xml:space="preserve"> en</w:t>
      </w:r>
      <w:r w:rsidRPr="000B4D4D">
        <w:rPr>
          <w:rFonts w:eastAsia="Verdana" w:cs="Verdana"/>
          <w:i/>
          <w:szCs w:val="18"/>
        </w:rPr>
        <w:t xml:space="preserve"> achterborgstellingen. Deze verplichtingen kunnen in de toekomst budgettaire gevolgen hebben. </w:t>
      </w:r>
    </w:p>
    <w:p w:rsidRPr="000B4D4D" w:rsidR="00F67FC5" w:rsidP="00F67FC5" w:rsidRDefault="00F67FC5" w14:paraId="12BBAE6C" w14:textId="556F9856">
      <w:pPr>
        <w:rPr>
          <w:rFonts w:eastAsia="Verdana" w:cs="Verdana"/>
          <w:szCs w:val="18"/>
        </w:rPr>
      </w:pPr>
      <w:r w:rsidRPr="000B4D4D">
        <w:rPr>
          <w:rFonts w:eastAsia="Verdana" w:cs="Verdana"/>
          <w:b/>
          <w:szCs w:val="18"/>
        </w:rPr>
        <w:t xml:space="preserve">Het totaalbedrag aan uitstaande garanties van het Rijk bedroeg </w:t>
      </w:r>
      <w:r w:rsidRPr="000B4D4D" w:rsidR="005F0B86">
        <w:rPr>
          <w:rFonts w:eastAsia="Verdana" w:cs="Verdana"/>
          <w:b/>
          <w:szCs w:val="18"/>
        </w:rPr>
        <w:t>220,1</w:t>
      </w:r>
      <w:r w:rsidRPr="000B4D4D">
        <w:rPr>
          <w:rFonts w:eastAsia="Verdana" w:cs="Verdana"/>
          <w:b/>
          <w:szCs w:val="18"/>
        </w:rPr>
        <w:t xml:space="preserve"> miljard euro in 2024. </w:t>
      </w:r>
      <w:r w:rsidRPr="000B4D4D">
        <w:rPr>
          <w:rFonts w:eastAsia="Verdana" w:cs="Verdana"/>
          <w:szCs w:val="18"/>
        </w:rPr>
        <w:t xml:space="preserve">Een garantie is een voorwaardelĳke, financiële verplichting van het Rĳk aan een derde buiten het Rĳk, die pas tot uitbetaling komt als zich bĳ de wederpartĳ een bepaalde omstandigheid (realisatie van een risico) voordoet. Garantieregelingen worden als verplichting opgenomen in de begroting van het betreffende vakdepartement. De garantieregelingen van het Rijk in 2024 staan gepresenteerd in Tabel </w:t>
      </w:r>
      <w:r w:rsidRPr="000B4D4D" w:rsidR="00AE7C47">
        <w:rPr>
          <w:rFonts w:eastAsia="Verdana" w:cs="Verdana"/>
          <w:szCs w:val="18"/>
        </w:rPr>
        <w:t>8</w:t>
      </w:r>
      <w:r w:rsidRPr="000B4D4D">
        <w:rPr>
          <w:rFonts w:eastAsia="Verdana" w:cs="Verdana"/>
          <w:szCs w:val="18"/>
        </w:rPr>
        <w:t xml:space="preserve">. De specifiek vermelde garanties hebben allemaal een uitstaand risico groter dan een 0,5 miljard euro en zijn verbonden met de financiële sector. Deze garanties ondersteunen via de financiële sector de reële economie in het buitenland en komen voort uit internationale afspraken, zoals NGEU, het IMF en internationale ontwikkelingsbanken. Het totaalbedrag van de overheidsgaranties in percentage van het bbp in 2024 bedraagt </w:t>
      </w:r>
      <w:r w:rsidRPr="000B4D4D" w:rsidR="007A6BCB">
        <w:rPr>
          <w:rFonts w:eastAsia="Verdana" w:cs="Verdana"/>
          <w:szCs w:val="18"/>
        </w:rPr>
        <w:t>19</w:t>
      </w:r>
      <w:r w:rsidRPr="000B4D4D">
        <w:rPr>
          <w:rFonts w:eastAsia="Verdana" w:cs="Verdana"/>
          <w:szCs w:val="18"/>
        </w:rPr>
        <w:t xml:space="preserve">%. </w:t>
      </w:r>
    </w:p>
    <w:p w:rsidRPr="000B4D4D" w:rsidR="00F67FC5" w:rsidP="00F67FC5" w:rsidRDefault="00F67FC5" w14:paraId="54AD93AB" w14:textId="0663F192">
      <w:pPr>
        <w:rPr>
          <w:rFonts w:eastAsia="Verdana" w:cs="Verdana"/>
          <w:szCs w:val="18"/>
        </w:rPr>
      </w:pPr>
      <w:r w:rsidRPr="000B4D4D">
        <w:rPr>
          <w:rFonts w:eastAsia="Verdana" w:cs="Verdana"/>
          <w:b/>
          <w:szCs w:val="18"/>
        </w:rPr>
        <w:t xml:space="preserve">Naast het risico uit garantieregelingen staat het Rijk ook indirect bloot aan risico’s uit achterborgstellingen, waarvoor het bedrag in 2024 </w:t>
      </w:r>
      <w:r w:rsidRPr="000B4D4D" w:rsidR="007F4195">
        <w:rPr>
          <w:rFonts w:eastAsia="Verdana" w:cs="Verdana"/>
          <w:b/>
          <w:szCs w:val="18"/>
        </w:rPr>
        <w:t xml:space="preserve">in totaal </w:t>
      </w:r>
      <w:r w:rsidRPr="000B4D4D" w:rsidR="005F0B86">
        <w:rPr>
          <w:rFonts w:eastAsia="Verdana" w:cs="Verdana"/>
          <w:b/>
          <w:szCs w:val="18"/>
        </w:rPr>
        <w:t>314,2</w:t>
      </w:r>
      <w:r w:rsidRPr="000B4D4D">
        <w:rPr>
          <w:rFonts w:eastAsia="Verdana" w:cs="Verdana"/>
          <w:b/>
          <w:szCs w:val="18"/>
        </w:rPr>
        <w:t xml:space="preserve"> miljard euro bedroeg</w:t>
      </w:r>
      <w:r w:rsidRPr="000B4D4D" w:rsidR="007F4195">
        <w:rPr>
          <w:rFonts w:eastAsia="Verdana" w:cs="Verdana"/>
          <w:b/>
          <w:szCs w:val="18"/>
        </w:rPr>
        <w:t>.</w:t>
      </w:r>
      <w:r w:rsidRPr="000B4D4D">
        <w:rPr>
          <w:rFonts w:eastAsia="Verdana" w:cs="Verdana"/>
          <w:szCs w:val="18"/>
        </w:rPr>
        <w:t xml:space="preserve"> In het geval van achterborgstellingen wordt de daadwerkelijke garantieverplichting niet afgegeven door het Rijk maar door een daarvoor aangewezen tussenpersoon in de vorm van een stichting. In de begroting van het betreffende vakdepartement worden achterborgstellingen daarom niet als verplichting opgenomen. Een overzicht van de achterborgstellingen is gepresenteerd in Tabel </w:t>
      </w:r>
      <w:r w:rsidRPr="000B4D4D" w:rsidR="00AE7C47">
        <w:rPr>
          <w:rFonts w:eastAsia="Verdana" w:cs="Verdana"/>
          <w:szCs w:val="18"/>
        </w:rPr>
        <w:t>9</w:t>
      </w:r>
      <w:r w:rsidRPr="000B4D4D">
        <w:rPr>
          <w:rFonts w:eastAsia="Verdana" w:cs="Verdana"/>
          <w:szCs w:val="18"/>
        </w:rPr>
        <w:t>.</w:t>
      </w:r>
    </w:p>
    <w:p w:rsidRPr="000B4D4D" w:rsidR="00B72AF9" w:rsidP="00F67FC5" w:rsidRDefault="00B72AF9" w14:paraId="4B1F7104" w14:textId="77777777">
      <w:pPr>
        <w:rPr>
          <w:rFonts w:eastAsia="Verdana" w:cs="Verdana"/>
          <w:i/>
          <w:szCs w:val="18"/>
        </w:rPr>
      </w:pPr>
    </w:p>
    <w:p w:rsidRPr="000B4D4D" w:rsidR="00B72AF9" w:rsidP="00F67FC5" w:rsidRDefault="00B72AF9" w14:paraId="6FADC8F7" w14:textId="77777777">
      <w:pPr>
        <w:rPr>
          <w:rFonts w:eastAsia="Verdana" w:cs="Verdana"/>
          <w:i/>
          <w:szCs w:val="18"/>
        </w:rPr>
      </w:pPr>
    </w:p>
    <w:p w:rsidRPr="000B4D4D" w:rsidR="00B72AF9" w:rsidP="00F67FC5" w:rsidRDefault="00B72AF9" w14:paraId="1D2CBE78" w14:textId="77777777">
      <w:pPr>
        <w:rPr>
          <w:rFonts w:eastAsia="Verdana" w:cs="Verdana"/>
          <w:i/>
          <w:szCs w:val="18"/>
        </w:rPr>
      </w:pPr>
    </w:p>
    <w:p w:rsidRPr="000B4D4D" w:rsidR="00B72AF9" w:rsidP="00F67FC5" w:rsidRDefault="00B72AF9" w14:paraId="39001DE6" w14:textId="77777777">
      <w:pPr>
        <w:rPr>
          <w:rFonts w:eastAsia="Verdana" w:cs="Verdana"/>
          <w:i/>
          <w:szCs w:val="18"/>
        </w:rPr>
      </w:pPr>
    </w:p>
    <w:p w:rsidRPr="000B4D4D" w:rsidR="00B72AF9" w:rsidP="00F67FC5" w:rsidRDefault="00B72AF9" w14:paraId="76FB1297" w14:textId="77777777">
      <w:pPr>
        <w:rPr>
          <w:rFonts w:eastAsia="Verdana" w:cs="Verdana"/>
          <w:i/>
          <w:szCs w:val="18"/>
        </w:rPr>
      </w:pPr>
    </w:p>
    <w:p w:rsidRPr="000B4D4D" w:rsidR="00B72AF9" w:rsidP="00F67FC5" w:rsidRDefault="00B72AF9" w14:paraId="74BF424C" w14:textId="77777777">
      <w:pPr>
        <w:rPr>
          <w:rFonts w:eastAsia="Verdana" w:cs="Verdana"/>
          <w:i/>
          <w:szCs w:val="18"/>
        </w:rPr>
      </w:pPr>
    </w:p>
    <w:p w:rsidRPr="000B4D4D" w:rsidR="00B72AF9" w:rsidP="00F67FC5" w:rsidRDefault="00B72AF9" w14:paraId="2ED2588C" w14:textId="77777777">
      <w:pPr>
        <w:rPr>
          <w:rFonts w:eastAsia="Verdana" w:cs="Verdana"/>
          <w:i/>
          <w:szCs w:val="18"/>
        </w:rPr>
      </w:pPr>
    </w:p>
    <w:p w:rsidRPr="000B4D4D" w:rsidR="003F0B22" w:rsidP="00F67FC5" w:rsidRDefault="003F0B22" w14:paraId="6398260E" w14:textId="77777777">
      <w:pPr>
        <w:rPr>
          <w:rFonts w:eastAsia="Verdana" w:cs="Verdana"/>
          <w:i/>
          <w:szCs w:val="18"/>
        </w:rPr>
      </w:pPr>
    </w:p>
    <w:p w:rsidRPr="000B4D4D" w:rsidR="003F0B22" w:rsidP="00F67FC5" w:rsidRDefault="003F0B22" w14:paraId="2A3D5C0B" w14:textId="77777777">
      <w:pPr>
        <w:rPr>
          <w:rFonts w:eastAsia="Verdana" w:cs="Verdana"/>
          <w:i/>
          <w:szCs w:val="18"/>
        </w:rPr>
      </w:pPr>
    </w:p>
    <w:p w:rsidRPr="000B4D4D" w:rsidR="003F0B22" w:rsidP="00F67FC5" w:rsidRDefault="003F0B22" w14:paraId="2FF452F8" w14:textId="77777777">
      <w:pPr>
        <w:rPr>
          <w:rFonts w:eastAsia="Verdana" w:cs="Verdana"/>
          <w:i/>
          <w:szCs w:val="18"/>
        </w:rPr>
      </w:pPr>
    </w:p>
    <w:p w:rsidRPr="000B4D4D" w:rsidR="003F0B22" w:rsidP="00F67FC5" w:rsidRDefault="003F0B22" w14:paraId="1CAAECD4" w14:textId="77777777">
      <w:pPr>
        <w:rPr>
          <w:rFonts w:eastAsia="Verdana" w:cs="Verdana"/>
          <w:i/>
          <w:szCs w:val="18"/>
        </w:rPr>
      </w:pPr>
    </w:p>
    <w:p w:rsidRPr="000B4D4D" w:rsidR="003F0B22" w:rsidP="00F67FC5" w:rsidRDefault="003F0B22" w14:paraId="5CB9FE19" w14:textId="77777777">
      <w:pPr>
        <w:rPr>
          <w:rFonts w:eastAsia="Verdana" w:cs="Verdana"/>
          <w:i/>
          <w:szCs w:val="18"/>
        </w:rPr>
      </w:pPr>
    </w:p>
    <w:p w:rsidRPr="000B4D4D" w:rsidR="003F0B22" w:rsidP="00F67FC5" w:rsidRDefault="003F0B22" w14:paraId="06F419CF" w14:textId="77777777">
      <w:pPr>
        <w:rPr>
          <w:rFonts w:eastAsia="Verdana" w:cs="Verdana"/>
          <w:i/>
          <w:szCs w:val="18"/>
        </w:rPr>
      </w:pPr>
    </w:p>
    <w:p w:rsidRPr="000B4D4D" w:rsidR="00B72AF9" w:rsidP="00F67FC5" w:rsidRDefault="00B72AF9" w14:paraId="5901670A" w14:textId="77777777">
      <w:pPr>
        <w:rPr>
          <w:rFonts w:eastAsia="Verdana" w:cs="Verdana"/>
          <w:i/>
          <w:szCs w:val="18"/>
        </w:rPr>
      </w:pPr>
    </w:p>
    <w:p w:rsidRPr="000B4D4D" w:rsidR="003F0B22" w:rsidP="00F67FC5" w:rsidRDefault="003F0B22" w14:paraId="544C4B39" w14:textId="77777777">
      <w:pPr>
        <w:rPr>
          <w:rFonts w:eastAsia="Verdana" w:cs="Verdana"/>
          <w:i/>
          <w:szCs w:val="18"/>
        </w:rPr>
      </w:pPr>
    </w:p>
    <w:p w:rsidRPr="000B4D4D" w:rsidR="003F0B22" w:rsidP="003F0B22" w:rsidRDefault="003F0B22" w14:paraId="1AB9D901" w14:textId="77777777">
      <w:pPr>
        <w:rPr>
          <w:rFonts w:eastAsia="Verdana" w:cs="Verdana"/>
          <w:i/>
          <w:szCs w:val="18"/>
        </w:rPr>
      </w:pPr>
    </w:p>
    <w:p w:rsidRPr="000B4D4D" w:rsidR="005F0B86" w:rsidP="003F0B22" w:rsidRDefault="005F0B86" w14:paraId="4D77A1D6" w14:textId="77777777">
      <w:pPr>
        <w:rPr>
          <w:rFonts w:eastAsia="Verdana" w:cs="Verdana"/>
          <w:i/>
          <w:szCs w:val="18"/>
        </w:rPr>
      </w:pPr>
    </w:p>
    <w:p w:rsidRPr="000B4D4D" w:rsidR="005F0B86" w:rsidP="003F0B22" w:rsidRDefault="005F0B86" w14:paraId="67EA7BC4" w14:textId="77777777">
      <w:pPr>
        <w:rPr>
          <w:rFonts w:eastAsia="Verdana" w:cs="Verdana"/>
          <w:i/>
          <w:szCs w:val="18"/>
        </w:rPr>
      </w:pPr>
    </w:p>
    <w:p w:rsidRPr="000B4D4D" w:rsidR="005F0B86" w:rsidP="003F0B22" w:rsidRDefault="005F0B86" w14:paraId="3A28E414" w14:textId="77777777">
      <w:pPr>
        <w:rPr>
          <w:rFonts w:eastAsia="Verdana" w:cs="Verdana"/>
          <w:i/>
          <w:szCs w:val="18"/>
        </w:rPr>
      </w:pPr>
    </w:p>
    <w:p w:rsidRPr="000B4D4D" w:rsidR="005F0B86" w:rsidP="003F0B22" w:rsidRDefault="005F0B86" w14:paraId="3CA94253" w14:textId="77777777">
      <w:pPr>
        <w:rPr>
          <w:rFonts w:eastAsia="Verdana" w:cs="Verdana"/>
          <w:i/>
          <w:szCs w:val="18"/>
        </w:rPr>
      </w:pPr>
    </w:p>
    <w:tbl>
      <w:tblPr>
        <w:tblpPr w:leftFromText="141" w:rightFromText="141" w:vertAnchor="page" w:horzAnchor="margin" w:tblpXSpec="center" w:tblpY="1751"/>
        <w:tblW w:w="11076" w:type="dxa"/>
        <w:tblCellMar>
          <w:left w:w="70" w:type="dxa"/>
          <w:right w:w="70" w:type="dxa"/>
        </w:tblCellMar>
        <w:tblLook w:val="04A0" w:firstRow="1" w:lastRow="0" w:firstColumn="1" w:lastColumn="0" w:noHBand="0" w:noVBand="1"/>
      </w:tblPr>
      <w:tblGrid>
        <w:gridCol w:w="3823"/>
        <w:gridCol w:w="1112"/>
        <w:gridCol w:w="1156"/>
        <w:gridCol w:w="1275"/>
        <w:gridCol w:w="1134"/>
        <w:gridCol w:w="1199"/>
        <w:gridCol w:w="1377"/>
      </w:tblGrid>
      <w:tr w:rsidRPr="000B4D4D" w:rsidR="004E1CA4" w:rsidTr="004E1CA4" w14:paraId="3B84B5F9" w14:textId="77777777">
        <w:trPr>
          <w:trHeight w:val="290"/>
        </w:trPr>
        <w:tc>
          <w:tcPr>
            <w:tcW w:w="3823" w:type="dxa"/>
            <w:tcBorders>
              <w:top w:val="single" w:color="auto" w:sz="4" w:space="0"/>
              <w:left w:val="single" w:color="auto" w:sz="4" w:space="0"/>
              <w:bottom w:val="single" w:color="auto" w:sz="4" w:space="0"/>
              <w:right w:val="single" w:color="auto" w:sz="4" w:space="0"/>
            </w:tcBorders>
            <w:shd w:val="clear" w:color="auto" w:fill="01689B"/>
            <w:noWrap/>
            <w:vAlign w:val="bottom"/>
            <w:hideMark/>
          </w:tcPr>
          <w:p w:rsidRPr="0059487B" w:rsidR="004E1CA4" w:rsidP="004E1CA4" w:rsidRDefault="004E1CA4" w14:paraId="5AD603F4" w14:textId="77777777">
            <w:pPr>
              <w:spacing w:after="0" w:line="240" w:lineRule="auto"/>
              <w:rPr>
                <w:rFonts w:eastAsia="Times New Roman" w:cs="Times New Roman"/>
                <w:b/>
                <w:color w:val="FFFFFF"/>
                <w:kern w:val="0"/>
                <w:sz w:val="14"/>
                <w:szCs w:val="14"/>
                <w:lang w:eastAsia="nl-NL"/>
                <w14:ligatures w14:val="none"/>
              </w:rPr>
            </w:pPr>
          </w:p>
        </w:tc>
        <w:tc>
          <w:tcPr>
            <w:tcW w:w="1112" w:type="dxa"/>
            <w:tcBorders>
              <w:top w:val="single" w:color="auto" w:sz="4" w:space="0"/>
              <w:left w:val="nil"/>
              <w:bottom w:val="single" w:color="auto" w:sz="4" w:space="0"/>
              <w:right w:val="single" w:color="auto" w:sz="4" w:space="0"/>
            </w:tcBorders>
            <w:shd w:val="clear" w:color="auto" w:fill="01689B"/>
            <w:noWrap/>
            <w:vAlign w:val="bottom"/>
            <w:hideMark/>
          </w:tcPr>
          <w:p w:rsidRPr="0059487B" w:rsidR="004E1CA4" w:rsidP="004E1CA4" w:rsidRDefault="004E1CA4" w14:paraId="5F628D77"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Uitstaande garanties</w:t>
            </w:r>
          </w:p>
        </w:tc>
        <w:tc>
          <w:tcPr>
            <w:tcW w:w="1156" w:type="dxa"/>
            <w:tcBorders>
              <w:top w:val="single" w:color="auto" w:sz="4" w:space="0"/>
              <w:left w:val="nil"/>
              <w:bottom w:val="single" w:color="auto" w:sz="4" w:space="0"/>
              <w:right w:val="single" w:color="auto" w:sz="4" w:space="0"/>
            </w:tcBorders>
            <w:shd w:val="clear" w:color="auto" w:fill="01689B"/>
            <w:noWrap/>
            <w:vAlign w:val="bottom"/>
            <w:hideMark/>
          </w:tcPr>
          <w:p w:rsidRPr="0059487B" w:rsidR="004E1CA4" w:rsidP="004E1CA4" w:rsidRDefault="004E1CA4" w14:paraId="62DA08A9"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Verleende garanties</w:t>
            </w:r>
          </w:p>
        </w:tc>
        <w:tc>
          <w:tcPr>
            <w:tcW w:w="1275" w:type="dxa"/>
            <w:tcBorders>
              <w:top w:val="single" w:color="auto" w:sz="4" w:space="0"/>
              <w:left w:val="nil"/>
              <w:bottom w:val="single" w:color="auto" w:sz="4" w:space="0"/>
              <w:right w:val="single" w:color="auto" w:sz="4" w:space="0"/>
            </w:tcBorders>
            <w:shd w:val="clear" w:color="auto" w:fill="01689B"/>
            <w:noWrap/>
            <w:vAlign w:val="bottom"/>
            <w:hideMark/>
          </w:tcPr>
          <w:p w:rsidRPr="0059487B" w:rsidR="004E1CA4" w:rsidP="004E1CA4" w:rsidRDefault="004E1CA4" w14:paraId="618B33F4"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Vervallen garanties</w:t>
            </w:r>
          </w:p>
        </w:tc>
        <w:tc>
          <w:tcPr>
            <w:tcW w:w="1134" w:type="dxa"/>
            <w:tcBorders>
              <w:top w:val="single" w:color="auto" w:sz="4" w:space="0"/>
              <w:left w:val="nil"/>
              <w:bottom w:val="single" w:color="auto" w:sz="4" w:space="0"/>
              <w:right w:val="single" w:color="auto" w:sz="4" w:space="0"/>
            </w:tcBorders>
            <w:shd w:val="clear" w:color="auto" w:fill="01689B"/>
            <w:noWrap/>
            <w:vAlign w:val="bottom"/>
            <w:hideMark/>
          </w:tcPr>
          <w:p w:rsidRPr="0059487B" w:rsidR="004E1CA4" w:rsidP="004E1CA4" w:rsidRDefault="004E1CA4" w14:paraId="3454FB72"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Uitstaande garanties</w:t>
            </w:r>
          </w:p>
        </w:tc>
        <w:tc>
          <w:tcPr>
            <w:tcW w:w="1199" w:type="dxa"/>
            <w:tcBorders>
              <w:top w:val="single" w:color="auto" w:sz="4" w:space="0"/>
              <w:left w:val="nil"/>
              <w:bottom w:val="single" w:color="auto" w:sz="4" w:space="0"/>
              <w:right w:val="single" w:color="auto" w:sz="4" w:space="0"/>
            </w:tcBorders>
            <w:shd w:val="clear" w:color="auto" w:fill="01689B"/>
            <w:noWrap/>
            <w:vAlign w:val="bottom"/>
            <w:hideMark/>
          </w:tcPr>
          <w:p w:rsidRPr="0059487B" w:rsidR="004E1CA4" w:rsidP="004E1CA4" w:rsidRDefault="004E1CA4" w14:paraId="3B3F1C28"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Jaarplafond</w:t>
            </w:r>
          </w:p>
        </w:tc>
        <w:tc>
          <w:tcPr>
            <w:tcW w:w="1377" w:type="dxa"/>
            <w:tcBorders>
              <w:top w:val="single" w:color="auto" w:sz="4" w:space="0"/>
              <w:left w:val="nil"/>
              <w:bottom w:val="single" w:color="auto" w:sz="4" w:space="0"/>
              <w:right w:val="single" w:color="auto" w:sz="4" w:space="0"/>
            </w:tcBorders>
            <w:shd w:val="clear" w:color="auto" w:fill="01689B"/>
            <w:noWrap/>
            <w:vAlign w:val="bottom"/>
            <w:hideMark/>
          </w:tcPr>
          <w:p w:rsidRPr="0059487B" w:rsidR="004E1CA4" w:rsidP="004E1CA4" w:rsidRDefault="004E1CA4" w14:paraId="7F27F8E7"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Totaalplafond</w:t>
            </w:r>
          </w:p>
        </w:tc>
      </w:tr>
      <w:tr w:rsidRPr="000B4D4D" w:rsidR="004E1CA4" w:rsidTr="004E1CA4" w14:paraId="02485754" w14:textId="77777777">
        <w:trPr>
          <w:trHeight w:val="290"/>
        </w:trPr>
        <w:tc>
          <w:tcPr>
            <w:tcW w:w="3823" w:type="dxa"/>
            <w:tcBorders>
              <w:top w:val="nil"/>
              <w:left w:val="single" w:color="auto" w:sz="4" w:space="0"/>
              <w:bottom w:val="single" w:color="auto" w:sz="4" w:space="0"/>
              <w:right w:val="single" w:color="auto" w:sz="4" w:space="0"/>
            </w:tcBorders>
            <w:shd w:val="clear" w:color="auto" w:fill="01689B"/>
            <w:noWrap/>
            <w:vAlign w:val="bottom"/>
            <w:hideMark/>
          </w:tcPr>
          <w:p w:rsidRPr="0059487B" w:rsidR="004E1CA4" w:rsidP="004E1CA4" w:rsidRDefault="004E1CA4" w14:paraId="6D45D544"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 </w:t>
            </w:r>
          </w:p>
        </w:tc>
        <w:tc>
          <w:tcPr>
            <w:tcW w:w="1112" w:type="dxa"/>
            <w:tcBorders>
              <w:top w:val="nil"/>
              <w:left w:val="nil"/>
              <w:bottom w:val="single" w:color="auto" w:sz="4" w:space="0"/>
              <w:right w:val="single" w:color="auto" w:sz="4" w:space="0"/>
            </w:tcBorders>
            <w:shd w:val="clear" w:color="auto" w:fill="01689B"/>
            <w:noWrap/>
            <w:vAlign w:val="bottom"/>
            <w:hideMark/>
          </w:tcPr>
          <w:p w:rsidRPr="0059487B" w:rsidR="004E1CA4" w:rsidP="004E1CA4" w:rsidRDefault="004E1CA4" w14:paraId="2B137A4E" w14:textId="77777777">
            <w:pPr>
              <w:spacing w:after="0" w:line="240" w:lineRule="auto"/>
              <w:jc w:val="right"/>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2023</w:t>
            </w:r>
          </w:p>
        </w:tc>
        <w:tc>
          <w:tcPr>
            <w:tcW w:w="1156" w:type="dxa"/>
            <w:tcBorders>
              <w:top w:val="nil"/>
              <w:left w:val="nil"/>
              <w:bottom w:val="single" w:color="auto" w:sz="4" w:space="0"/>
              <w:right w:val="single" w:color="auto" w:sz="4" w:space="0"/>
            </w:tcBorders>
            <w:shd w:val="clear" w:color="auto" w:fill="01689B"/>
            <w:noWrap/>
            <w:vAlign w:val="bottom"/>
            <w:hideMark/>
          </w:tcPr>
          <w:p w:rsidRPr="0059487B" w:rsidR="004E1CA4" w:rsidP="004E1CA4" w:rsidRDefault="004E1CA4" w14:paraId="2547CBB1" w14:textId="77777777">
            <w:pPr>
              <w:spacing w:after="0" w:line="240" w:lineRule="auto"/>
              <w:jc w:val="right"/>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2024</w:t>
            </w:r>
          </w:p>
        </w:tc>
        <w:tc>
          <w:tcPr>
            <w:tcW w:w="1275" w:type="dxa"/>
            <w:tcBorders>
              <w:top w:val="nil"/>
              <w:left w:val="nil"/>
              <w:bottom w:val="single" w:color="auto" w:sz="4" w:space="0"/>
              <w:right w:val="single" w:color="auto" w:sz="4" w:space="0"/>
            </w:tcBorders>
            <w:shd w:val="clear" w:color="auto" w:fill="01689B"/>
            <w:noWrap/>
            <w:vAlign w:val="bottom"/>
            <w:hideMark/>
          </w:tcPr>
          <w:p w:rsidRPr="0059487B" w:rsidR="004E1CA4" w:rsidP="004E1CA4" w:rsidRDefault="004E1CA4" w14:paraId="4E5E1878" w14:textId="77777777">
            <w:pPr>
              <w:spacing w:after="0" w:line="240" w:lineRule="auto"/>
              <w:jc w:val="right"/>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2024</w:t>
            </w:r>
          </w:p>
        </w:tc>
        <w:tc>
          <w:tcPr>
            <w:tcW w:w="1134" w:type="dxa"/>
            <w:tcBorders>
              <w:top w:val="nil"/>
              <w:left w:val="nil"/>
              <w:bottom w:val="single" w:color="auto" w:sz="4" w:space="0"/>
              <w:right w:val="single" w:color="auto" w:sz="4" w:space="0"/>
            </w:tcBorders>
            <w:shd w:val="clear" w:color="auto" w:fill="01689B"/>
            <w:noWrap/>
            <w:vAlign w:val="bottom"/>
            <w:hideMark/>
          </w:tcPr>
          <w:p w:rsidRPr="0059487B" w:rsidR="004E1CA4" w:rsidP="004E1CA4" w:rsidRDefault="004E1CA4" w14:paraId="0ADDA543" w14:textId="77777777">
            <w:pPr>
              <w:spacing w:after="0" w:line="240" w:lineRule="auto"/>
              <w:jc w:val="right"/>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2024</w:t>
            </w:r>
          </w:p>
        </w:tc>
        <w:tc>
          <w:tcPr>
            <w:tcW w:w="1199" w:type="dxa"/>
            <w:tcBorders>
              <w:top w:val="nil"/>
              <w:left w:val="nil"/>
              <w:bottom w:val="single" w:color="auto" w:sz="4" w:space="0"/>
              <w:right w:val="single" w:color="auto" w:sz="4" w:space="0"/>
            </w:tcBorders>
            <w:shd w:val="clear" w:color="auto" w:fill="01689B"/>
            <w:noWrap/>
            <w:vAlign w:val="bottom"/>
            <w:hideMark/>
          </w:tcPr>
          <w:p w:rsidRPr="0059487B" w:rsidR="004E1CA4" w:rsidP="004E1CA4" w:rsidRDefault="004E1CA4" w14:paraId="7419C3DE" w14:textId="77777777">
            <w:pPr>
              <w:spacing w:after="0" w:line="240" w:lineRule="auto"/>
              <w:jc w:val="right"/>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2024</w:t>
            </w:r>
          </w:p>
        </w:tc>
        <w:tc>
          <w:tcPr>
            <w:tcW w:w="1377" w:type="dxa"/>
            <w:tcBorders>
              <w:top w:val="nil"/>
              <w:left w:val="nil"/>
              <w:bottom w:val="single" w:color="auto" w:sz="4" w:space="0"/>
              <w:right w:val="single" w:color="auto" w:sz="4" w:space="0"/>
            </w:tcBorders>
            <w:shd w:val="clear" w:color="auto" w:fill="01689B"/>
            <w:noWrap/>
            <w:vAlign w:val="bottom"/>
            <w:hideMark/>
          </w:tcPr>
          <w:p w:rsidRPr="0059487B" w:rsidR="004E1CA4" w:rsidP="004E1CA4" w:rsidRDefault="004E1CA4" w14:paraId="1B7C1542" w14:textId="77777777">
            <w:pPr>
              <w:spacing w:after="0" w:line="240" w:lineRule="auto"/>
              <w:rPr>
                <w:rFonts w:eastAsia="Times New Roman" w:cs="Times New Roman"/>
                <w:b/>
                <w:color w:val="FFFFFF"/>
                <w:kern w:val="0"/>
                <w:sz w:val="14"/>
                <w:szCs w:val="14"/>
                <w:lang w:eastAsia="nl-NL"/>
                <w14:ligatures w14:val="none"/>
              </w:rPr>
            </w:pPr>
            <w:r w:rsidRPr="0059487B">
              <w:rPr>
                <w:rFonts w:eastAsia="Times New Roman" w:cs="Times New Roman"/>
                <w:b/>
                <w:color w:val="FFFFFF"/>
                <w:kern w:val="0"/>
                <w:sz w:val="14"/>
                <w:szCs w:val="14"/>
                <w:lang w:eastAsia="nl-NL"/>
                <w14:ligatures w14:val="none"/>
              </w:rPr>
              <w:t> </w:t>
            </w:r>
          </w:p>
        </w:tc>
      </w:tr>
      <w:tr w:rsidRPr="000B4D4D" w:rsidR="004E1CA4" w:rsidTr="004E1CA4" w14:paraId="0190365D"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2C4AD688"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Raad van Europa</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E14EEE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177</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41E206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111</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2CE25B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98A124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287</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0EC397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1652D8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287</w:t>
            </w:r>
          </w:p>
        </w:tc>
      </w:tr>
      <w:tr w:rsidRPr="000B4D4D" w:rsidR="004E1CA4" w:rsidTr="004E1CA4" w14:paraId="3FE4FCB1"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1482489B"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Indemniteitsregeling</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5282C5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194</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139D64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440</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2DDC9F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502</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199EBB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132</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8F47CF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669B22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450</w:t>
            </w:r>
          </w:p>
        </w:tc>
      </w:tr>
      <w:tr w:rsidRPr="000B4D4D" w:rsidR="004E1CA4" w:rsidTr="004E1CA4" w14:paraId="58B9BEAA"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4EBEE50F"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Achterborgovereenkomst Nationaal Restauratie Fonds (NRF)</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C664F0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374</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BF1E26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97</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987921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62</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0FC3BD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409</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78FBB5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0138A9F" w14:textId="77777777">
            <w:pPr>
              <w:spacing w:after="0" w:line="240" w:lineRule="auto"/>
              <w:ind w:right="305"/>
              <w:jc w:val="right"/>
              <w:rPr>
                <w:rFonts w:eastAsia="Times New Roman" w:cs="Times New Roman"/>
                <w:color w:val="000000"/>
                <w:kern w:val="0"/>
                <w:sz w:val="14"/>
                <w:szCs w:val="14"/>
                <w:lang w:eastAsia="nl-NL"/>
                <w14:ligatures w14:val="none"/>
              </w:rPr>
            </w:pPr>
            <w:r>
              <w:rPr>
                <w:rFonts w:eastAsia="Times New Roman" w:cs="Times New Roman"/>
                <w:color w:val="000000"/>
                <w:kern w:val="0"/>
                <w:sz w:val="14"/>
                <w:szCs w:val="14"/>
                <w:lang w:eastAsia="nl-NL"/>
                <w14:ligatures w14:val="none"/>
              </w:rPr>
              <w:t xml:space="preserve">                                  500</w:t>
            </w:r>
          </w:p>
        </w:tc>
      </w:tr>
      <w:tr w:rsidRPr="000B4D4D" w:rsidR="004E1CA4" w:rsidTr="004E1CA4" w14:paraId="529765F7"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68D475D8"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WAKO (kernongevallen)</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9B9C38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9.200</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68DCBC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8CFA00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03B2DB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9.200</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955CB6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B68126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9.200</w:t>
            </w:r>
          </w:p>
        </w:tc>
      </w:tr>
      <w:tr w:rsidRPr="000B4D4D" w:rsidR="004E1CA4" w:rsidTr="004E1CA4" w14:paraId="679CE915"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152F9F6E"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Single Resolution Fund</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F040B9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4.164</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93E58E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7E5921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4.164</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D21BBE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0</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232F81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865774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0</w:t>
            </w:r>
          </w:p>
        </w:tc>
      </w:tr>
      <w:tr w:rsidRPr="000B4D4D" w:rsidR="004E1CA4" w:rsidTr="004E1CA4" w14:paraId="4F3ADF9B"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09A6ADC3"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Financieringsmaatschappij voor ontwikkelingslanden (FMO)</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A64D13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14.494</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8BB918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908</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ECB0B1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E752E6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15.402</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082C09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3228AF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15.402</w:t>
            </w:r>
          </w:p>
        </w:tc>
      </w:tr>
      <w:tr w:rsidRPr="000B4D4D" w:rsidR="004E1CA4" w:rsidTr="004E1CA4" w14:paraId="388FE043"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20A11E88"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Asian Infrastructure Investment Bank (AIIB)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01D01B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747</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3D7160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47</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D74065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725347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794</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95A9DD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466D89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794</w:t>
            </w:r>
          </w:p>
        </w:tc>
      </w:tr>
      <w:tr w:rsidRPr="000B4D4D" w:rsidR="004E1CA4" w:rsidTr="004E1CA4" w14:paraId="6CD80A62"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029B4827"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DNB - deelneming in kapitaal IMF</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A2BC38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31.585</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BF8F73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2.870</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930324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904891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34.454</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E0CB212"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818072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34.454</w:t>
            </w:r>
          </w:p>
        </w:tc>
      </w:tr>
      <w:tr w:rsidRPr="000B4D4D" w:rsidR="004E1CA4" w:rsidTr="004E1CA4" w14:paraId="5392B56C"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371344EB"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EIB - pan Europees Garantiefonds</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947B3D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1.292</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ECA984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D414BC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338</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D05565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954</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0CEAFF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4412E1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954</w:t>
            </w:r>
          </w:p>
        </w:tc>
      </w:tr>
      <w:tr w:rsidRPr="000B4D4D" w:rsidR="004E1CA4" w:rsidTr="004E1CA4" w14:paraId="628E7EC8"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3E46D47D"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European Bank for Reconstruction and Development (EBRD)</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E529A9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589</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201BB9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786922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0A1DD8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589</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CBB679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C8201D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589</w:t>
            </w:r>
          </w:p>
        </w:tc>
      </w:tr>
      <w:tr w:rsidRPr="000B4D4D" w:rsidR="004E1CA4" w:rsidTr="004E1CA4" w14:paraId="3FD13913"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0FA2B665"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European Financial Stabilisation Mechanism (EFSM)</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03BFE3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2.436</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89415F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255</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41B6EF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B7D939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2.691</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B94AE6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1F35A0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2.691</w:t>
            </w:r>
          </w:p>
        </w:tc>
      </w:tr>
      <w:tr w:rsidRPr="000B4D4D" w:rsidR="004E1CA4" w:rsidTr="004E1CA4" w14:paraId="33EA7B38"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58875DC6"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European Financial Stability Facility (EFSF)</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C2566E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34.154</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1E9439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CD3075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6CD8EB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34.154</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6E9C55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144B542"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34.154</w:t>
            </w:r>
          </w:p>
        </w:tc>
      </w:tr>
      <w:tr w:rsidRPr="000B4D4D" w:rsidR="004E1CA4" w:rsidTr="004E1CA4" w14:paraId="204F9B5A"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4585EFCE"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European Investment Bank (EIB)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E4D913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11.796</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0C8F3F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8438C9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2764CF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11.796</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F74336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7E466F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11.796</w:t>
            </w:r>
          </w:p>
        </w:tc>
      </w:tr>
      <w:tr w:rsidRPr="000B4D4D" w:rsidR="004E1CA4" w:rsidTr="004E1CA4" w14:paraId="2D83FCF4"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2907A250"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European Stability Mechanism (ESM)</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4EAB00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35.339</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A6EE12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AC0068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3C865A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35.339</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9F193D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3C23BF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35.339</w:t>
            </w:r>
          </w:p>
        </w:tc>
      </w:tr>
      <w:tr w:rsidRPr="000B4D4D" w:rsidR="004E1CA4" w:rsidTr="004E1CA4" w14:paraId="3675DB12"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3B8BDE47"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Headroomgarantie macro-financiële bijstand (MFB)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FDB282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1.062</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59F47C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27</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A90F2A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5BA09A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1.089</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D11E1E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21338C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1.089</w:t>
            </w:r>
          </w:p>
        </w:tc>
      </w:tr>
      <w:tr w:rsidRPr="000B4D4D" w:rsidR="004E1CA4" w:rsidTr="004E1CA4" w14:paraId="42989404"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626224E5"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Kredieten EU-betalingsbalanssteun (BoP-faciliteit)</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A2E507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3.776</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DD2A97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94</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5BB52A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E5FB60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3.870</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8D6013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4F9149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3.870</w:t>
            </w:r>
          </w:p>
        </w:tc>
      </w:tr>
      <w:tr w:rsidRPr="000B4D4D" w:rsidR="004E1CA4" w:rsidTr="004E1CA4" w14:paraId="23617CCA"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72733424"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Bilaterale garantie Macro-financiële bijstand (MFB)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8A44F5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215</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284F65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1EBBF8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C204A6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215</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DD43F5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28FD81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215</w:t>
            </w:r>
          </w:p>
        </w:tc>
      </w:tr>
      <w:tr w:rsidRPr="000B4D4D" w:rsidR="004E1CA4" w:rsidTr="004E1CA4" w14:paraId="2BE92C4D"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6DFD1F15"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Next Generation EU (NGEU)</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29E505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27.870</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E7C8F5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B93DAD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2403D7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27.176</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5827E02"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A28D7B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27.176</w:t>
            </w:r>
          </w:p>
        </w:tc>
      </w:tr>
      <w:tr w:rsidRPr="000B4D4D" w:rsidR="004E1CA4" w:rsidTr="004E1CA4" w14:paraId="2FDAE350"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2B555A1E"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Support to mitigate Unemployment Risks in an Emergency (SURE)</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46F0A1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6.144</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2E1E77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F7ACB4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160</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4D4477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5.984</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EC68BA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1E957D2"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5.984</w:t>
            </w:r>
          </w:p>
        </w:tc>
      </w:tr>
      <w:tr w:rsidRPr="000B4D4D" w:rsidR="004E1CA4" w:rsidTr="004E1CA4" w14:paraId="07AA93D3"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7B4F4D99"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Garantie Wereldbank - IBRD garantie kapitaal</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C60E91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5.305</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CDB9AD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521</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FCFB80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ED44F9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5.826</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1FE4CA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p w:rsidRPr="0059487B" w:rsidR="004E1CA4" w:rsidP="004E1CA4" w:rsidRDefault="004E1CA4" w14:paraId="53CF01EC" w14:textId="77777777">
            <w:pPr>
              <w:spacing w:after="0" w:line="240" w:lineRule="auto"/>
              <w:jc w:val="center"/>
              <w:rPr>
                <w:rFonts w:eastAsia="Times New Roman" w:cs="Times New Roman"/>
                <w:color w:val="000000"/>
                <w:kern w:val="0"/>
                <w:sz w:val="14"/>
                <w:szCs w:val="14"/>
                <w:lang w:eastAsia="nl-NL"/>
                <w14:ligatures w14:val="none"/>
              </w:rPr>
            </w:pP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789AC7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5.826</w:t>
            </w:r>
          </w:p>
        </w:tc>
      </w:tr>
      <w:tr w:rsidRPr="000B4D4D" w:rsidR="004E1CA4" w:rsidTr="004E1CA4" w14:paraId="06F7F41D"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35F5AE6A"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Oekraïne Faciliteit</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D30EB2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8BA1E6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1.999</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72DD44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4346BE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1.999</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A1B34F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0CA966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1.999</w:t>
            </w:r>
          </w:p>
        </w:tc>
      </w:tr>
      <w:tr w:rsidRPr="000B4D4D" w:rsidR="004E1CA4" w:rsidTr="004E1CA4" w14:paraId="165E758F"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715CAD16"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Macro-Financiële Bijstand - Ukraine Loan Cooperation Mechanism (MFB-ULCM)</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B6919C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A0FD49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3.416</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C5AAB9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D76D0A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3.416</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22F3AA2"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8E939E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3.416</w:t>
            </w:r>
          </w:p>
        </w:tc>
      </w:tr>
      <w:tr w:rsidRPr="000B4D4D" w:rsidR="004E1CA4" w:rsidTr="004E1CA4" w14:paraId="2BDCDABF"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40D0BC5A"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Garantie Wereldbank - IBRD garantie Oekraïne</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2D6948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100</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D0CABA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A20F5E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D85DA5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100</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316CD8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CD82A5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100</w:t>
            </w:r>
          </w:p>
        </w:tc>
      </w:tr>
      <w:tr w:rsidRPr="000B4D4D" w:rsidR="004E1CA4" w:rsidTr="004E1CA4" w14:paraId="105AEC15"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52C09007"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Exportkredietverzekering</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06230B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17.863</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1F2A91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3.453</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54E2A2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3.775</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2B30C1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17.541</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9E432A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10.000</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27868D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r>
      <w:tr w:rsidRPr="000B4D4D" w:rsidR="004E1CA4" w:rsidTr="004E1CA4" w14:paraId="4514ED9E"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0B1F8B5E"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Garantie Ondernemingsfinanciering (GO)</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4324F4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213</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918C84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19</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6C882C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33</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54D88C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199</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A84D92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400</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58BF3C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r>
      <w:tr w:rsidRPr="000B4D4D" w:rsidR="004E1CA4" w:rsidTr="004E1CA4" w14:paraId="7EAA32F2"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4EECA0B0"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Borgstelling MKB Kredieten (BMKB)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6DD550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1.301</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414E11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268</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00CE602"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402</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9E0B7B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1.167</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CF4AAEA"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765</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14DBF2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r>
      <w:tr w:rsidRPr="000B4D4D" w:rsidR="004E1CA4" w:rsidTr="004E1CA4" w14:paraId="0F27766B"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62716593"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Borgstelling MKB-Landbouwkredieten</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352956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272</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239E0C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14</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17084F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54</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4A9AF5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231</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CB811D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80</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C90194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r>
      <w:tr w:rsidRPr="000B4D4D" w:rsidR="004E1CA4" w:rsidTr="004E1CA4" w14:paraId="30E6C89D"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77F6995F"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Garantie voor natuurgebieden en landschappen</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A66BBA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243</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23B113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F11949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20</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07D9A7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223</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D9B1FD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320804D"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208</w:t>
            </w:r>
          </w:p>
        </w:tc>
      </w:tr>
      <w:tr w:rsidRPr="000B4D4D" w:rsidR="004E1CA4" w:rsidTr="004E1CA4" w14:paraId="45541B84"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20AB032F"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Instellingen voor de gezondheidszorg</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BA5D4E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69</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3E4751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6</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E6B989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8</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0C8BD8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67</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01BCF9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5F6BA4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67</w:t>
            </w:r>
          </w:p>
        </w:tc>
      </w:tr>
      <w:tr w:rsidRPr="000B4D4D" w:rsidR="004E1CA4" w:rsidTr="004E1CA4" w14:paraId="5A096EB8"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46B070DE"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Garantie Dutch Good Growth Fund (DGGF)</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9E6CD4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101</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65E652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20</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E5B57E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13</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148A88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108</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B768BA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DD75CA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675</w:t>
            </w:r>
          </w:p>
        </w:tc>
      </w:tr>
      <w:tr w:rsidRPr="000B4D4D" w:rsidR="004E1CA4" w:rsidTr="004E1CA4" w14:paraId="6423889B"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36E967B4"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Garanties African Development Bank (AfDB)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33C3C9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14.79</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8ECF1F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915</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50ADE9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39</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D0AA64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2.355</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C9A57C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82525B0"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2.355</w:t>
            </w:r>
          </w:p>
        </w:tc>
      </w:tr>
      <w:tr w:rsidRPr="000B4D4D" w:rsidR="004E1CA4" w:rsidTr="004E1CA4" w14:paraId="1346BFC5"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423CA0F0"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Garanties Asian Development Bank (AsDB)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AF6EFF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12.72</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E612D0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1092BE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21</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7E605E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1.252</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E7D1F3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12493CC"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1.252</w:t>
            </w:r>
          </w:p>
        </w:tc>
      </w:tr>
      <w:tr w:rsidRPr="000B4D4D" w:rsidR="004E1CA4" w:rsidTr="004E1CA4" w14:paraId="1E3CF447"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1C37A70F" w14:textId="77777777">
            <w:pPr>
              <w:spacing w:after="0" w:line="240" w:lineRule="auto"/>
              <w:rPr>
                <w:rFonts w:eastAsia="Times New Roman" w:cs="Times New Roman"/>
                <w:color w:val="000000"/>
                <w:kern w:val="0"/>
                <w:sz w:val="14"/>
                <w:szCs w:val="14"/>
                <w:lang w:val="en-US" w:eastAsia="nl-NL"/>
                <w14:ligatures w14:val="none"/>
              </w:rPr>
            </w:pPr>
            <w:r w:rsidRPr="0059487B">
              <w:rPr>
                <w:rFonts w:eastAsia="Times New Roman" w:cs="Times New Roman"/>
                <w:color w:val="000000"/>
                <w:kern w:val="0"/>
                <w:sz w:val="14"/>
                <w:szCs w:val="14"/>
                <w:lang w:val="en-US" w:eastAsia="nl-NL"/>
                <w14:ligatures w14:val="none"/>
              </w:rPr>
              <w:t>Garanties Inter American Development Bank (IDB)</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E10B0A9"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301</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155FE7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B0EED9F"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6BECBE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291</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40A1F5E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063583E"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291</w:t>
            </w:r>
          </w:p>
        </w:tc>
      </w:tr>
      <w:tr w:rsidRPr="000B4D4D" w:rsidR="004E1CA4" w:rsidTr="004E1CA4" w14:paraId="25DF3EF8"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237412A6"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Nationale garanties coronacrisis</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6FC2F6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189</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03B2D4F1"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 xml:space="preserve">                -</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7E9FCB35"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142</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343B028"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47</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6C9CAC4"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674B20B"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3.088</w:t>
            </w:r>
          </w:p>
        </w:tc>
      </w:tr>
      <w:tr w:rsidRPr="000B4D4D" w:rsidR="004E1CA4" w:rsidTr="004E1CA4" w14:paraId="18B9B532"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9487B" w:rsidR="004E1CA4" w:rsidP="004E1CA4" w:rsidRDefault="004E1CA4" w14:paraId="007F63F3" w14:textId="77777777">
            <w:pPr>
              <w:spacing w:after="0" w:line="240" w:lineRule="auto"/>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Overig</w:t>
            </w:r>
          </w:p>
        </w:tc>
        <w:tc>
          <w:tcPr>
            <w:tcW w:w="1112"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322A0911"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786</w:t>
            </w:r>
          </w:p>
        </w:tc>
        <w:tc>
          <w:tcPr>
            <w:tcW w:w="1156"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11AA95F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101</w:t>
            </w:r>
          </w:p>
        </w:tc>
        <w:tc>
          <w:tcPr>
            <w:tcW w:w="1275"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847D9F7"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106</w:t>
            </w:r>
          </w:p>
        </w:tc>
        <w:tc>
          <w:tcPr>
            <w:tcW w:w="1134"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5781C7E3"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781</w:t>
            </w:r>
          </w:p>
        </w:tc>
        <w:tc>
          <w:tcPr>
            <w:tcW w:w="1199"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28DE27E2"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185</w:t>
            </w:r>
          </w:p>
        </w:tc>
        <w:tc>
          <w:tcPr>
            <w:tcW w:w="1377" w:type="dxa"/>
            <w:tcBorders>
              <w:top w:val="nil"/>
              <w:left w:val="nil"/>
              <w:bottom w:val="single" w:color="auto" w:sz="4" w:space="0"/>
              <w:right w:val="single" w:color="auto" w:sz="4" w:space="0"/>
            </w:tcBorders>
            <w:shd w:val="clear" w:color="auto" w:fill="auto"/>
            <w:noWrap/>
            <w:vAlign w:val="bottom"/>
            <w:hideMark/>
          </w:tcPr>
          <w:p w:rsidRPr="0059487B" w:rsidR="004E1CA4" w:rsidP="004E1CA4" w:rsidRDefault="004E1CA4" w14:paraId="6DACC976" w14:textId="77777777">
            <w:pPr>
              <w:spacing w:after="0" w:line="240" w:lineRule="auto"/>
              <w:jc w:val="right"/>
              <w:rPr>
                <w:rFonts w:eastAsia="Times New Roman" w:cs="Times New Roman"/>
                <w:color w:val="000000"/>
                <w:kern w:val="0"/>
                <w:sz w:val="14"/>
                <w:szCs w:val="14"/>
                <w:lang w:eastAsia="nl-NL"/>
                <w14:ligatures w14:val="none"/>
              </w:rPr>
            </w:pPr>
            <w:r w:rsidRPr="0059487B">
              <w:rPr>
                <w:rFonts w:eastAsia="Times New Roman" w:cs="Times New Roman"/>
                <w:color w:val="000000"/>
                <w:kern w:val="0"/>
                <w:sz w:val="14"/>
                <w:szCs w:val="14"/>
                <w:lang w:eastAsia="nl-NL"/>
                <w14:ligatures w14:val="none"/>
              </w:rPr>
              <w:t>1.930</w:t>
            </w:r>
          </w:p>
        </w:tc>
      </w:tr>
      <w:tr w:rsidRPr="000B4D4D" w:rsidR="004E1CA4" w:rsidTr="004E1CA4" w14:paraId="6B1B32CE" w14:textId="77777777">
        <w:trPr>
          <w:trHeight w:val="290"/>
        </w:trPr>
        <w:tc>
          <w:tcPr>
            <w:tcW w:w="3823" w:type="dxa"/>
            <w:tcBorders>
              <w:top w:val="nil"/>
              <w:left w:val="single" w:color="auto" w:sz="4" w:space="0"/>
              <w:bottom w:val="single" w:color="auto" w:sz="4" w:space="0"/>
              <w:right w:val="single" w:color="auto" w:sz="4" w:space="0"/>
            </w:tcBorders>
            <w:shd w:val="clear" w:color="auto" w:fill="DDEFF8"/>
            <w:noWrap/>
            <w:vAlign w:val="bottom"/>
            <w:hideMark/>
          </w:tcPr>
          <w:p w:rsidRPr="005D1698" w:rsidR="004E1CA4" w:rsidP="004E1CA4" w:rsidRDefault="004E1CA4" w14:paraId="2769066C" w14:textId="77777777">
            <w:pPr>
              <w:spacing w:after="0" w:line="240" w:lineRule="auto"/>
              <w:rPr>
                <w:rFonts w:eastAsia="Times New Roman" w:cs="Times New Roman"/>
                <w:b/>
                <w:bCs/>
                <w:color w:val="000000"/>
                <w:kern w:val="0"/>
                <w:sz w:val="14"/>
                <w:szCs w:val="14"/>
                <w:lang w:eastAsia="nl-NL"/>
                <w14:ligatures w14:val="none"/>
              </w:rPr>
            </w:pPr>
            <w:r w:rsidRPr="005D1698">
              <w:rPr>
                <w:rFonts w:eastAsia="Times New Roman" w:cs="Times New Roman"/>
                <w:b/>
                <w:bCs/>
                <w:color w:val="000000"/>
                <w:kern w:val="0"/>
                <w:sz w:val="14"/>
                <w:szCs w:val="14"/>
                <w:lang w:eastAsia="nl-NL"/>
                <w14:ligatures w14:val="none"/>
              </w:rPr>
              <w:t xml:space="preserve">Subtotaal </w:t>
            </w:r>
          </w:p>
        </w:tc>
        <w:tc>
          <w:tcPr>
            <w:tcW w:w="1112" w:type="dxa"/>
            <w:tcBorders>
              <w:top w:val="nil"/>
              <w:left w:val="nil"/>
              <w:bottom w:val="single" w:color="auto" w:sz="4" w:space="0"/>
              <w:right w:val="single" w:color="auto" w:sz="4" w:space="0"/>
            </w:tcBorders>
            <w:shd w:val="clear" w:color="auto" w:fill="auto"/>
            <w:noWrap/>
            <w:vAlign w:val="bottom"/>
            <w:hideMark/>
          </w:tcPr>
          <w:p w:rsidRPr="005D1698" w:rsidR="004E1CA4" w:rsidP="004E1CA4" w:rsidRDefault="004E1CA4" w14:paraId="03282D1D" w14:textId="77777777">
            <w:pPr>
              <w:spacing w:after="0" w:line="240" w:lineRule="auto"/>
              <w:jc w:val="right"/>
              <w:rPr>
                <w:rFonts w:eastAsia="Times New Roman" w:cs="Times New Roman"/>
                <w:b/>
                <w:bCs/>
                <w:color w:val="000000"/>
                <w:kern w:val="0"/>
                <w:sz w:val="14"/>
                <w:szCs w:val="14"/>
                <w:lang w:eastAsia="nl-NL"/>
                <w14:ligatures w14:val="none"/>
              </w:rPr>
            </w:pPr>
            <w:r w:rsidRPr="005D1698">
              <w:rPr>
                <w:rFonts w:eastAsia="Times New Roman" w:cs="Times New Roman"/>
                <w:b/>
                <w:bCs/>
                <w:color w:val="000000"/>
                <w:kern w:val="0"/>
                <w:sz w:val="14"/>
                <w:szCs w:val="14"/>
                <w:lang w:eastAsia="nl-NL"/>
                <w14:ligatures w14:val="none"/>
              </w:rPr>
              <w:t>215.100</w:t>
            </w:r>
          </w:p>
        </w:tc>
        <w:tc>
          <w:tcPr>
            <w:tcW w:w="1156" w:type="dxa"/>
            <w:tcBorders>
              <w:top w:val="nil"/>
              <w:left w:val="nil"/>
              <w:bottom w:val="single" w:color="auto" w:sz="4" w:space="0"/>
              <w:right w:val="single" w:color="auto" w:sz="4" w:space="0"/>
            </w:tcBorders>
            <w:shd w:val="clear" w:color="auto" w:fill="auto"/>
            <w:noWrap/>
            <w:vAlign w:val="bottom"/>
            <w:hideMark/>
          </w:tcPr>
          <w:p w:rsidRPr="005D1698" w:rsidR="004E1CA4" w:rsidP="004E1CA4" w:rsidRDefault="004E1CA4" w14:paraId="375756C6" w14:textId="77777777">
            <w:pPr>
              <w:spacing w:after="0" w:line="240" w:lineRule="auto"/>
              <w:jc w:val="right"/>
              <w:rPr>
                <w:rFonts w:eastAsia="Times New Roman" w:cs="Times New Roman"/>
                <w:b/>
                <w:bCs/>
                <w:color w:val="000000"/>
                <w:kern w:val="0"/>
                <w:sz w:val="14"/>
                <w:szCs w:val="14"/>
                <w:lang w:eastAsia="nl-NL"/>
                <w14:ligatures w14:val="none"/>
              </w:rPr>
            </w:pPr>
            <w:r w:rsidRPr="005D1698">
              <w:rPr>
                <w:rFonts w:eastAsia="Times New Roman" w:cs="Times New Roman"/>
                <w:b/>
                <w:bCs/>
                <w:color w:val="000000"/>
                <w:kern w:val="0"/>
                <w:sz w:val="14"/>
                <w:szCs w:val="14"/>
                <w:lang w:eastAsia="nl-NL"/>
                <w14:ligatures w14:val="none"/>
              </w:rPr>
              <w:t>15.578</w:t>
            </w:r>
          </w:p>
        </w:tc>
        <w:tc>
          <w:tcPr>
            <w:tcW w:w="1275" w:type="dxa"/>
            <w:tcBorders>
              <w:top w:val="nil"/>
              <w:left w:val="nil"/>
              <w:bottom w:val="single" w:color="auto" w:sz="4" w:space="0"/>
              <w:right w:val="single" w:color="auto" w:sz="4" w:space="0"/>
            </w:tcBorders>
            <w:shd w:val="clear" w:color="auto" w:fill="auto"/>
            <w:noWrap/>
            <w:vAlign w:val="bottom"/>
            <w:hideMark/>
          </w:tcPr>
          <w:p w:rsidRPr="005D1698" w:rsidR="004E1CA4" w:rsidP="004E1CA4" w:rsidRDefault="004E1CA4" w14:paraId="2CA8CE56" w14:textId="77777777">
            <w:pPr>
              <w:spacing w:after="0" w:line="240" w:lineRule="auto"/>
              <w:jc w:val="right"/>
              <w:rPr>
                <w:rFonts w:eastAsia="Times New Roman" w:cs="Times New Roman"/>
                <w:b/>
                <w:bCs/>
                <w:color w:val="000000"/>
                <w:kern w:val="0"/>
                <w:sz w:val="14"/>
                <w:szCs w:val="14"/>
                <w:lang w:eastAsia="nl-NL"/>
                <w14:ligatures w14:val="none"/>
              </w:rPr>
            </w:pPr>
            <w:r w:rsidRPr="005D1698">
              <w:rPr>
                <w:rFonts w:eastAsia="Times New Roman" w:cs="Times New Roman"/>
                <w:b/>
                <w:bCs/>
                <w:color w:val="000000"/>
                <w:kern w:val="0"/>
                <w:sz w:val="14"/>
                <w:szCs w:val="14"/>
                <w:lang w:eastAsia="nl-NL"/>
                <w14:ligatures w14:val="none"/>
              </w:rPr>
              <w:t>9.847</w:t>
            </w:r>
          </w:p>
        </w:tc>
        <w:tc>
          <w:tcPr>
            <w:tcW w:w="1134" w:type="dxa"/>
            <w:tcBorders>
              <w:top w:val="nil"/>
              <w:left w:val="nil"/>
              <w:bottom w:val="single" w:color="auto" w:sz="4" w:space="0"/>
              <w:right w:val="single" w:color="auto" w:sz="4" w:space="0"/>
            </w:tcBorders>
            <w:shd w:val="clear" w:color="auto" w:fill="auto"/>
            <w:noWrap/>
            <w:vAlign w:val="bottom"/>
            <w:hideMark/>
          </w:tcPr>
          <w:p w:rsidRPr="005D1698" w:rsidR="004E1CA4" w:rsidP="004E1CA4" w:rsidRDefault="004E1CA4" w14:paraId="63009301" w14:textId="77777777">
            <w:pPr>
              <w:spacing w:after="0" w:line="240" w:lineRule="auto"/>
              <w:jc w:val="right"/>
              <w:rPr>
                <w:rFonts w:eastAsia="Times New Roman" w:cs="Times New Roman"/>
                <w:b/>
                <w:bCs/>
                <w:color w:val="000000"/>
                <w:kern w:val="0"/>
                <w:sz w:val="14"/>
                <w:szCs w:val="14"/>
                <w:lang w:eastAsia="nl-NL"/>
                <w14:ligatures w14:val="none"/>
              </w:rPr>
            </w:pPr>
            <w:r w:rsidRPr="005D1698">
              <w:rPr>
                <w:rFonts w:eastAsia="Times New Roman" w:cs="Times New Roman"/>
                <w:b/>
                <w:bCs/>
                <w:color w:val="000000"/>
                <w:kern w:val="0"/>
                <w:sz w:val="14"/>
                <w:szCs w:val="14"/>
                <w:lang w:eastAsia="nl-NL"/>
                <w14:ligatures w14:val="none"/>
              </w:rPr>
              <w:t>220.137</w:t>
            </w:r>
          </w:p>
        </w:tc>
        <w:tc>
          <w:tcPr>
            <w:tcW w:w="1199" w:type="dxa"/>
            <w:tcBorders>
              <w:top w:val="nil"/>
              <w:left w:val="nil"/>
              <w:bottom w:val="single" w:color="auto" w:sz="4" w:space="0"/>
              <w:right w:val="single" w:color="auto" w:sz="4" w:space="0"/>
            </w:tcBorders>
            <w:shd w:val="clear" w:color="auto" w:fill="auto"/>
            <w:noWrap/>
            <w:vAlign w:val="bottom"/>
            <w:hideMark/>
          </w:tcPr>
          <w:p w:rsidRPr="005D1698" w:rsidR="004E1CA4" w:rsidP="004E1CA4" w:rsidRDefault="004E1CA4" w14:paraId="28147E6F" w14:textId="77777777">
            <w:pPr>
              <w:spacing w:after="0" w:line="240" w:lineRule="auto"/>
              <w:jc w:val="right"/>
              <w:rPr>
                <w:rFonts w:eastAsia="Times New Roman" w:cs="Times New Roman"/>
                <w:b/>
                <w:bCs/>
                <w:color w:val="000000"/>
                <w:kern w:val="0"/>
                <w:sz w:val="14"/>
                <w:szCs w:val="14"/>
                <w:lang w:eastAsia="nl-NL"/>
                <w14:ligatures w14:val="none"/>
              </w:rPr>
            </w:pPr>
            <w:r w:rsidRPr="005D1698">
              <w:rPr>
                <w:rFonts w:eastAsia="Times New Roman" w:cs="Times New Roman"/>
                <w:b/>
                <w:bCs/>
                <w:color w:val="000000"/>
                <w:kern w:val="0"/>
                <w:sz w:val="14"/>
                <w:szCs w:val="14"/>
                <w:lang w:eastAsia="nl-NL"/>
                <w14:ligatures w14:val="none"/>
              </w:rPr>
              <w:t>11.430</w:t>
            </w:r>
          </w:p>
        </w:tc>
        <w:tc>
          <w:tcPr>
            <w:tcW w:w="1377" w:type="dxa"/>
            <w:tcBorders>
              <w:top w:val="nil"/>
              <w:left w:val="nil"/>
              <w:bottom w:val="single" w:color="auto" w:sz="4" w:space="0"/>
              <w:right w:val="single" w:color="auto" w:sz="4" w:space="0"/>
            </w:tcBorders>
            <w:shd w:val="clear" w:color="auto" w:fill="auto"/>
            <w:noWrap/>
            <w:vAlign w:val="bottom"/>
            <w:hideMark/>
          </w:tcPr>
          <w:p w:rsidRPr="005D1698" w:rsidR="004E1CA4" w:rsidP="004E1CA4" w:rsidRDefault="004E1CA4" w14:paraId="35431F79" w14:textId="77777777">
            <w:pPr>
              <w:spacing w:after="0" w:line="240" w:lineRule="auto"/>
              <w:jc w:val="right"/>
              <w:rPr>
                <w:rFonts w:eastAsia="Times New Roman" w:cs="Times New Roman"/>
                <w:b/>
                <w:bCs/>
                <w:color w:val="000000"/>
                <w:kern w:val="0"/>
                <w:sz w:val="14"/>
                <w:szCs w:val="14"/>
                <w:lang w:eastAsia="nl-NL"/>
                <w14:ligatures w14:val="none"/>
              </w:rPr>
            </w:pPr>
            <w:r w:rsidRPr="005D1698">
              <w:rPr>
                <w:rFonts w:eastAsia="Times New Roman" w:cs="Times New Roman"/>
                <w:b/>
                <w:bCs/>
                <w:color w:val="000000"/>
                <w:kern w:val="0"/>
                <w:sz w:val="14"/>
                <w:szCs w:val="14"/>
                <w:lang w:eastAsia="nl-NL"/>
                <w14:ligatures w14:val="none"/>
              </w:rPr>
              <w:t>206.151</w:t>
            </w:r>
          </w:p>
        </w:tc>
      </w:tr>
    </w:tbl>
    <w:p w:rsidRPr="001E6863" w:rsidR="004E1CA4" w:rsidP="004E1CA4" w:rsidRDefault="004E1CA4" w14:paraId="68265738" w14:textId="6CFE9532">
      <w:pPr>
        <w:rPr>
          <w:rFonts w:eastAsia="Verdana" w:cs="Verdana"/>
          <w:i/>
          <w:iCs/>
          <w:szCs w:val="18"/>
        </w:rPr>
      </w:pPr>
      <w:r w:rsidRPr="001E6863">
        <w:rPr>
          <w:rFonts w:eastAsia="Verdana" w:cs="Verdana"/>
          <w:i/>
          <w:iCs/>
          <w:szCs w:val="18"/>
        </w:rPr>
        <w:t>Tabel 8: Garantieregelingen van het Rijk (in miljoenen euro</w:t>
      </w:r>
      <w:r w:rsidR="00B44514">
        <w:rPr>
          <w:rFonts w:eastAsia="Verdana" w:cs="Verdana"/>
          <w:i/>
          <w:iCs/>
          <w:szCs w:val="18"/>
        </w:rPr>
        <w:t>’s</w:t>
      </w:r>
      <w:r w:rsidRPr="001E6863">
        <w:rPr>
          <w:rFonts w:eastAsia="Verdana" w:cs="Verdana"/>
          <w:i/>
          <w:iCs/>
          <w:szCs w:val="18"/>
        </w:rPr>
        <w:t>)</w:t>
      </w:r>
    </w:p>
    <w:p w:rsidRPr="000B4D4D" w:rsidR="005F0B86" w:rsidP="003F0B22" w:rsidRDefault="005F0B86" w14:paraId="75A571B7" w14:textId="77777777">
      <w:pPr>
        <w:rPr>
          <w:rFonts w:eastAsia="Verdana" w:cs="Verdana"/>
          <w:i/>
          <w:szCs w:val="18"/>
        </w:rPr>
      </w:pPr>
    </w:p>
    <w:p w:rsidRPr="000B4D4D" w:rsidR="00A015A4" w:rsidP="003F0B22" w:rsidRDefault="00A015A4" w14:paraId="3A758932" w14:textId="77777777">
      <w:pPr>
        <w:rPr>
          <w:rFonts w:eastAsia="Verdana" w:cs="Verdana"/>
          <w:szCs w:val="18"/>
        </w:rPr>
      </w:pPr>
    </w:p>
    <w:p w:rsidR="00876D55" w:rsidP="003F0B22" w:rsidRDefault="00876D55" w14:paraId="40D4C5EB" w14:textId="77777777">
      <w:pPr>
        <w:rPr>
          <w:rFonts w:eastAsia="Verdana" w:cs="Verdana"/>
          <w:i/>
          <w:iCs/>
          <w:szCs w:val="18"/>
        </w:rPr>
      </w:pPr>
    </w:p>
    <w:p w:rsidR="00876D55" w:rsidP="003F0B22" w:rsidRDefault="00876D55" w14:paraId="00BC0A16" w14:textId="77777777">
      <w:pPr>
        <w:rPr>
          <w:rFonts w:eastAsia="Verdana" w:cs="Verdana"/>
          <w:i/>
          <w:iCs/>
          <w:szCs w:val="18"/>
        </w:rPr>
      </w:pPr>
    </w:p>
    <w:p w:rsidR="004E1CA4" w:rsidP="003F0B22" w:rsidRDefault="004E1CA4" w14:paraId="715733D7" w14:textId="77777777">
      <w:pPr>
        <w:rPr>
          <w:rFonts w:eastAsia="Verdana" w:cs="Verdana"/>
          <w:i/>
          <w:iCs/>
          <w:szCs w:val="18"/>
        </w:rPr>
      </w:pPr>
    </w:p>
    <w:tbl>
      <w:tblPr>
        <w:tblpPr w:leftFromText="141" w:rightFromText="141" w:vertAnchor="page" w:horzAnchor="margin" w:tblpXSpec="center" w:tblpY="1721"/>
        <w:tblW w:w="9849" w:type="dxa"/>
        <w:tblCellMar>
          <w:left w:w="70" w:type="dxa"/>
          <w:right w:w="70" w:type="dxa"/>
        </w:tblCellMar>
        <w:tblLook w:val="04A0" w:firstRow="1" w:lastRow="0" w:firstColumn="1" w:lastColumn="0" w:noHBand="0" w:noVBand="1"/>
      </w:tblPr>
      <w:tblGrid>
        <w:gridCol w:w="2856"/>
        <w:gridCol w:w="1134"/>
        <w:gridCol w:w="1042"/>
        <w:gridCol w:w="1095"/>
        <w:gridCol w:w="1134"/>
        <w:gridCol w:w="1755"/>
        <w:gridCol w:w="833"/>
      </w:tblGrid>
      <w:tr w:rsidRPr="004E1CA4" w:rsidR="004E1CA4" w:rsidTr="004E1CA4" w14:paraId="3E81FF44" w14:textId="77777777">
        <w:trPr>
          <w:trHeight w:val="290"/>
        </w:trPr>
        <w:tc>
          <w:tcPr>
            <w:tcW w:w="2856" w:type="dxa"/>
            <w:tcBorders>
              <w:top w:val="single" w:color="auto" w:sz="4" w:space="0"/>
              <w:left w:val="single" w:color="auto" w:sz="4" w:space="0"/>
              <w:bottom w:val="single" w:color="auto" w:sz="4" w:space="0"/>
              <w:right w:val="single" w:color="auto" w:sz="4" w:space="0"/>
            </w:tcBorders>
            <w:shd w:val="clear" w:color="auto" w:fill="01689B"/>
            <w:noWrap/>
            <w:vAlign w:val="bottom"/>
            <w:hideMark/>
          </w:tcPr>
          <w:p w:rsidRPr="004E1CA4" w:rsidR="004E1CA4" w:rsidP="004E1CA4" w:rsidRDefault="004E1CA4" w14:paraId="60B5EC8A"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lastRenderedPageBreak/>
              <w:t> </w:t>
            </w:r>
          </w:p>
        </w:tc>
        <w:tc>
          <w:tcPr>
            <w:tcW w:w="1134" w:type="dxa"/>
            <w:tcBorders>
              <w:top w:val="single" w:color="auto" w:sz="4" w:space="0"/>
              <w:left w:val="nil"/>
              <w:bottom w:val="single" w:color="auto" w:sz="4" w:space="0"/>
              <w:right w:val="single" w:color="auto" w:sz="4" w:space="0"/>
            </w:tcBorders>
            <w:shd w:val="clear" w:color="auto" w:fill="01689B"/>
            <w:noWrap/>
            <w:vAlign w:val="bottom"/>
            <w:hideMark/>
          </w:tcPr>
          <w:p w:rsidRPr="004E1CA4" w:rsidR="004E1CA4" w:rsidP="004E1CA4" w:rsidRDefault="004E1CA4" w14:paraId="3E40555B"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Realisatie</w:t>
            </w:r>
          </w:p>
        </w:tc>
        <w:tc>
          <w:tcPr>
            <w:tcW w:w="1042" w:type="dxa"/>
            <w:tcBorders>
              <w:top w:val="single" w:color="auto" w:sz="4" w:space="0"/>
              <w:left w:val="nil"/>
              <w:bottom w:val="single" w:color="auto" w:sz="4" w:space="0"/>
              <w:right w:val="single" w:color="auto" w:sz="4" w:space="0"/>
            </w:tcBorders>
            <w:shd w:val="clear" w:color="auto" w:fill="01689B"/>
            <w:noWrap/>
            <w:vAlign w:val="bottom"/>
            <w:hideMark/>
          </w:tcPr>
          <w:p w:rsidRPr="004E1CA4" w:rsidR="004E1CA4" w:rsidP="004E1CA4" w:rsidRDefault="004E1CA4" w14:paraId="45175B20"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Verleend</w:t>
            </w:r>
          </w:p>
        </w:tc>
        <w:tc>
          <w:tcPr>
            <w:tcW w:w="1095" w:type="dxa"/>
            <w:tcBorders>
              <w:top w:val="single" w:color="auto" w:sz="4" w:space="0"/>
              <w:left w:val="nil"/>
              <w:bottom w:val="single" w:color="auto" w:sz="4" w:space="0"/>
              <w:right w:val="single" w:color="auto" w:sz="4" w:space="0"/>
            </w:tcBorders>
            <w:shd w:val="clear" w:color="auto" w:fill="01689B"/>
            <w:noWrap/>
            <w:vAlign w:val="bottom"/>
            <w:hideMark/>
          </w:tcPr>
          <w:p w:rsidRPr="004E1CA4" w:rsidR="004E1CA4" w:rsidP="004E1CA4" w:rsidRDefault="004E1CA4" w14:paraId="2C0FB703"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Vervallen</w:t>
            </w:r>
          </w:p>
        </w:tc>
        <w:tc>
          <w:tcPr>
            <w:tcW w:w="1134" w:type="dxa"/>
            <w:tcBorders>
              <w:top w:val="single" w:color="auto" w:sz="4" w:space="0"/>
              <w:left w:val="nil"/>
              <w:bottom w:val="single" w:color="auto" w:sz="4" w:space="0"/>
              <w:right w:val="single" w:color="auto" w:sz="4" w:space="0"/>
            </w:tcBorders>
            <w:shd w:val="clear" w:color="auto" w:fill="01689B"/>
            <w:noWrap/>
            <w:vAlign w:val="bottom"/>
            <w:hideMark/>
          </w:tcPr>
          <w:p w:rsidRPr="004E1CA4" w:rsidR="004E1CA4" w:rsidP="004E1CA4" w:rsidRDefault="004E1CA4" w14:paraId="71ECC681"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 xml:space="preserve">Realisatie </w:t>
            </w:r>
          </w:p>
        </w:tc>
        <w:tc>
          <w:tcPr>
            <w:tcW w:w="1755" w:type="dxa"/>
            <w:tcBorders>
              <w:top w:val="single" w:color="auto" w:sz="4" w:space="0"/>
              <w:left w:val="nil"/>
              <w:bottom w:val="single" w:color="auto" w:sz="4" w:space="0"/>
              <w:right w:val="single" w:color="auto" w:sz="4" w:space="0"/>
            </w:tcBorders>
            <w:shd w:val="clear" w:color="auto" w:fill="01689B"/>
            <w:noWrap/>
            <w:vAlign w:val="bottom"/>
            <w:hideMark/>
          </w:tcPr>
          <w:p w:rsidRPr="004E1CA4" w:rsidR="004E1CA4" w:rsidP="004E1CA4" w:rsidRDefault="004E1CA4" w14:paraId="23882998"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Buffer kapitaal</w:t>
            </w:r>
          </w:p>
        </w:tc>
        <w:tc>
          <w:tcPr>
            <w:tcW w:w="833" w:type="dxa"/>
            <w:tcBorders>
              <w:top w:val="single" w:color="auto" w:sz="4" w:space="0"/>
              <w:left w:val="nil"/>
              <w:bottom w:val="single" w:color="auto" w:sz="4" w:space="0"/>
              <w:right w:val="single" w:color="auto" w:sz="4" w:space="0"/>
            </w:tcBorders>
            <w:shd w:val="clear" w:color="auto" w:fill="01689B"/>
            <w:noWrap/>
            <w:vAlign w:val="bottom"/>
            <w:hideMark/>
          </w:tcPr>
          <w:p w:rsidRPr="004E1CA4" w:rsidR="004E1CA4" w:rsidP="004E1CA4" w:rsidRDefault="004E1CA4" w14:paraId="39B060E5"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Obligo</w:t>
            </w:r>
          </w:p>
        </w:tc>
      </w:tr>
      <w:tr w:rsidRPr="004E1CA4" w:rsidR="004E1CA4" w:rsidTr="004E1CA4" w14:paraId="53F18632" w14:textId="77777777">
        <w:trPr>
          <w:trHeight w:val="290"/>
        </w:trPr>
        <w:tc>
          <w:tcPr>
            <w:tcW w:w="2856" w:type="dxa"/>
            <w:tcBorders>
              <w:top w:val="nil"/>
              <w:left w:val="single" w:color="auto" w:sz="4" w:space="0"/>
              <w:bottom w:val="single" w:color="auto" w:sz="4" w:space="0"/>
              <w:right w:val="single" w:color="auto" w:sz="4" w:space="0"/>
            </w:tcBorders>
            <w:shd w:val="clear" w:color="auto" w:fill="01689B"/>
            <w:noWrap/>
            <w:vAlign w:val="bottom"/>
            <w:hideMark/>
          </w:tcPr>
          <w:p w:rsidRPr="004E1CA4" w:rsidR="004E1CA4" w:rsidP="004E1CA4" w:rsidRDefault="004E1CA4" w14:paraId="1C2AB7E2" w14:textId="77777777">
            <w:pPr>
              <w:spacing w:after="0" w:line="240" w:lineRule="auto"/>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 </w:t>
            </w:r>
          </w:p>
        </w:tc>
        <w:tc>
          <w:tcPr>
            <w:tcW w:w="1134" w:type="dxa"/>
            <w:tcBorders>
              <w:top w:val="nil"/>
              <w:left w:val="nil"/>
              <w:bottom w:val="single" w:color="auto" w:sz="4" w:space="0"/>
              <w:right w:val="single" w:color="auto" w:sz="4" w:space="0"/>
            </w:tcBorders>
            <w:shd w:val="clear" w:color="auto" w:fill="01689B"/>
            <w:noWrap/>
            <w:vAlign w:val="bottom"/>
            <w:hideMark/>
          </w:tcPr>
          <w:p w:rsidRPr="004E1CA4" w:rsidR="004E1CA4" w:rsidP="004E1CA4" w:rsidRDefault="004E1CA4" w14:paraId="2DDD2D53" w14:textId="77777777">
            <w:pPr>
              <w:spacing w:after="0" w:line="240" w:lineRule="auto"/>
              <w:jc w:val="right"/>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2023</w:t>
            </w:r>
          </w:p>
        </w:tc>
        <w:tc>
          <w:tcPr>
            <w:tcW w:w="1042" w:type="dxa"/>
            <w:tcBorders>
              <w:top w:val="nil"/>
              <w:left w:val="nil"/>
              <w:bottom w:val="single" w:color="auto" w:sz="4" w:space="0"/>
              <w:right w:val="single" w:color="auto" w:sz="4" w:space="0"/>
            </w:tcBorders>
            <w:shd w:val="clear" w:color="auto" w:fill="01689B"/>
            <w:noWrap/>
            <w:vAlign w:val="bottom"/>
            <w:hideMark/>
          </w:tcPr>
          <w:p w:rsidRPr="004E1CA4" w:rsidR="004E1CA4" w:rsidP="004E1CA4" w:rsidRDefault="004E1CA4" w14:paraId="192082ED" w14:textId="77777777">
            <w:pPr>
              <w:spacing w:after="0" w:line="240" w:lineRule="auto"/>
              <w:jc w:val="right"/>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2024</w:t>
            </w:r>
          </w:p>
        </w:tc>
        <w:tc>
          <w:tcPr>
            <w:tcW w:w="1095" w:type="dxa"/>
            <w:tcBorders>
              <w:top w:val="nil"/>
              <w:left w:val="nil"/>
              <w:bottom w:val="single" w:color="auto" w:sz="4" w:space="0"/>
              <w:right w:val="single" w:color="auto" w:sz="4" w:space="0"/>
            </w:tcBorders>
            <w:shd w:val="clear" w:color="auto" w:fill="01689B"/>
            <w:noWrap/>
            <w:vAlign w:val="bottom"/>
            <w:hideMark/>
          </w:tcPr>
          <w:p w:rsidRPr="004E1CA4" w:rsidR="004E1CA4" w:rsidP="004E1CA4" w:rsidRDefault="004E1CA4" w14:paraId="0F4B734D" w14:textId="77777777">
            <w:pPr>
              <w:spacing w:after="0" w:line="240" w:lineRule="auto"/>
              <w:jc w:val="right"/>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2024</w:t>
            </w:r>
          </w:p>
        </w:tc>
        <w:tc>
          <w:tcPr>
            <w:tcW w:w="1134" w:type="dxa"/>
            <w:tcBorders>
              <w:top w:val="nil"/>
              <w:left w:val="nil"/>
              <w:bottom w:val="single" w:color="auto" w:sz="4" w:space="0"/>
              <w:right w:val="single" w:color="auto" w:sz="4" w:space="0"/>
            </w:tcBorders>
            <w:shd w:val="clear" w:color="auto" w:fill="01689B"/>
            <w:noWrap/>
            <w:vAlign w:val="bottom"/>
            <w:hideMark/>
          </w:tcPr>
          <w:p w:rsidRPr="004E1CA4" w:rsidR="004E1CA4" w:rsidP="004E1CA4" w:rsidRDefault="004E1CA4" w14:paraId="5C930319" w14:textId="77777777">
            <w:pPr>
              <w:spacing w:after="0" w:line="240" w:lineRule="auto"/>
              <w:jc w:val="right"/>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2024</w:t>
            </w:r>
          </w:p>
        </w:tc>
        <w:tc>
          <w:tcPr>
            <w:tcW w:w="1755" w:type="dxa"/>
            <w:tcBorders>
              <w:top w:val="nil"/>
              <w:left w:val="nil"/>
              <w:bottom w:val="single" w:color="auto" w:sz="4" w:space="0"/>
              <w:right w:val="single" w:color="auto" w:sz="4" w:space="0"/>
            </w:tcBorders>
            <w:shd w:val="clear" w:color="auto" w:fill="01689B"/>
            <w:noWrap/>
            <w:vAlign w:val="bottom"/>
            <w:hideMark/>
          </w:tcPr>
          <w:p w:rsidRPr="004E1CA4" w:rsidR="004E1CA4" w:rsidP="004E1CA4" w:rsidRDefault="004E1CA4" w14:paraId="0EEAC3C8" w14:textId="77777777">
            <w:pPr>
              <w:spacing w:after="0" w:line="240" w:lineRule="auto"/>
              <w:jc w:val="right"/>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2024</w:t>
            </w:r>
          </w:p>
        </w:tc>
        <w:tc>
          <w:tcPr>
            <w:tcW w:w="833" w:type="dxa"/>
            <w:tcBorders>
              <w:top w:val="nil"/>
              <w:left w:val="nil"/>
              <w:bottom w:val="single" w:color="auto" w:sz="4" w:space="0"/>
              <w:right w:val="single" w:color="auto" w:sz="4" w:space="0"/>
            </w:tcBorders>
            <w:shd w:val="clear" w:color="auto" w:fill="01689B"/>
            <w:noWrap/>
            <w:vAlign w:val="bottom"/>
            <w:hideMark/>
          </w:tcPr>
          <w:p w:rsidRPr="004E1CA4" w:rsidR="004E1CA4" w:rsidP="004E1CA4" w:rsidRDefault="004E1CA4" w14:paraId="5F658022" w14:textId="77777777">
            <w:pPr>
              <w:spacing w:after="0" w:line="240" w:lineRule="auto"/>
              <w:jc w:val="right"/>
              <w:rPr>
                <w:rFonts w:eastAsia="Times New Roman" w:cs="Times New Roman"/>
                <w:b/>
                <w:bCs/>
                <w:color w:val="FFFFFF" w:themeColor="background1"/>
                <w:kern w:val="0"/>
                <w:sz w:val="16"/>
                <w:szCs w:val="16"/>
                <w:lang w:eastAsia="nl-NL"/>
                <w14:ligatures w14:val="none"/>
              </w:rPr>
            </w:pPr>
            <w:r w:rsidRPr="004E1CA4">
              <w:rPr>
                <w:rFonts w:eastAsia="Times New Roman" w:cs="Times New Roman"/>
                <w:b/>
                <w:bCs/>
                <w:color w:val="FFFFFF" w:themeColor="background1"/>
                <w:kern w:val="0"/>
                <w:sz w:val="16"/>
                <w:szCs w:val="16"/>
                <w:lang w:eastAsia="nl-NL"/>
                <w14:ligatures w14:val="none"/>
              </w:rPr>
              <w:t>2024</w:t>
            </w:r>
          </w:p>
        </w:tc>
      </w:tr>
      <w:tr w:rsidRPr="004E1CA4" w:rsidR="004E1CA4" w:rsidTr="004E1CA4" w14:paraId="02C7F969" w14:textId="77777777">
        <w:trPr>
          <w:trHeight w:val="290"/>
        </w:trPr>
        <w:tc>
          <w:tcPr>
            <w:tcW w:w="2856" w:type="dxa"/>
            <w:tcBorders>
              <w:top w:val="nil"/>
              <w:left w:val="single" w:color="auto" w:sz="4" w:space="0"/>
              <w:bottom w:val="single" w:color="auto" w:sz="4" w:space="0"/>
              <w:right w:val="single" w:color="auto" w:sz="4" w:space="0"/>
            </w:tcBorders>
            <w:shd w:val="clear" w:color="auto" w:fill="DDEFF8"/>
            <w:noWrap/>
            <w:vAlign w:val="bottom"/>
            <w:hideMark/>
          </w:tcPr>
          <w:p w:rsidRPr="004E1CA4" w:rsidR="004E1CA4" w:rsidP="004E1CA4" w:rsidRDefault="004E1CA4" w14:paraId="73B610F1"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Stichting  Waarborgfonds Zorg</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2AB4D328"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88.552</w:t>
            </w:r>
          </w:p>
        </w:tc>
        <w:tc>
          <w:tcPr>
            <w:tcW w:w="1042"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761564B1"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10.373</w:t>
            </w:r>
          </w:p>
        </w:tc>
        <w:tc>
          <w:tcPr>
            <w:tcW w:w="109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2DC4DF3A"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3.988</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74B47089"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94.937</w:t>
            </w:r>
          </w:p>
        </w:tc>
        <w:tc>
          <w:tcPr>
            <w:tcW w:w="175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494E2803"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606</w:t>
            </w:r>
          </w:p>
        </w:tc>
        <w:tc>
          <w:tcPr>
            <w:tcW w:w="833"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5661D8D3"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2463</w:t>
            </w:r>
          </w:p>
        </w:tc>
      </w:tr>
      <w:tr w:rsidRPr="004E1CA4" w:rsidR="004E1CA4" w:rsidTr="004E1CA4" w14:paraId="645261E2" w14:textId="77777777">
        <w:trPr>
          <w:trHeight w:val="290"/>
        </w:trPr>
        <w:tc>
          <w:tcPr>
            <w:tcW w:w="2856" w:type="dxa"/>
            <w:tcBorders>
              <w:top w:val="nil"/>
              <w:left w:val="single" w:color="auto" w:sz="4" w:space="0"/>
              <w:bottom w:val="single" w:color="auto" w:sz="4" w:space="0"/>
              <w:right w:val="single" w:color="auto" w:sz="4" w:space="0"/>
            </w:tcBorders>
            <w:shd w:val="clear" w:color="auto" w:fill="DDEFF8"/>
            <w:noWrap/>
            <w:vAlign w:val="bottom"/>
            <w:hideMark/>
          </w:tcPr>
          <w:p w:rsidRPr="004E1CA4" w:rsidR="004E1CA4" w:rsidP="004E1CA4" w:rsidRDefault="004E1CA4" w14:paraId="4CB7F40E"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Waarborgfonds Sociale Woningbouw</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481A9ECB"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198.968</w:t>
            </w:r>
          </w:p>
        </w:tc>
        <w:tc>
          <w:tcPr>
            <w:tcW w:w="1042"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404ABD32"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30.454</w:t>
            </w:r>
          </w:p>
        </w:tc>
        <w:tc>
          <w:tcPr>
            <w:tcW w:w="109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0E48ECC7"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15.905</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1EB037F5"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213.517</w:t>
            </w:r>
          </w:p>
        </w:tc>
        <w:tc>
          <w:tcPr>
            <w:tcW w:w="175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695F652E"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1.746</w:t>
            </w:r>
          </w:p>
        </w:tc>
        <w:tc>
          <w:tcPr>
            <w:tcW w:w="833"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0BB971E0"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w:t>
            </w:r>
          </w:p>
        </w:tc>
      </w:tr>
      <w:tr w:rsidRPr="004E1CA4" w:rsidR="004E1CA4" w:rsidTr="004E1CA4" w14:paraId="3352476A" w14:textId="77777777">
        <w:trPr>
          <w:trHeight w:val="290"/>
        </w:trPr>
        <w:tc>
          <w:tcPr>
            <w:tcW w:w="2856" w:type="dxa"/>
            <w:tcBorders>
              <w:top w:val="nil"/>
              <w:left w:val="single" w:color="auto" w:sz="4" w:space="0"/>
              <w:bottom w:val="single" w:color="auto" w:sz="4" w:space="0"/>
              <w:right w:val="single" w:color="auto" w:sz="4" w:space="0"/>
            </w:tcBorders>
            <w:shd w:val="clear" w:color="auto" w:fill="DDEFF8"/>
            <w:noWrap/>
            <w:vAlign w:val="bottom"/>
            <w:hideMark/>
          </w:tcPr>
          <w:p w:rsidRPr="004E1CA4" w:rsidR="004E1CA4" w:rsidP="004E1CA4" w:rsidRDefault="004E1CA4" w14:paraId="47820E31"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Waarborgfonds Eigen Woningen</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636747A3"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5.965</w:t>
            </w:r>
          </w:p>
        </w:tc>
        <w:tc>
          <w:tcPr>
            <w:tcW w:w="1042"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0C343041"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w:t>
            </w:r>
          </w:p>
        </w:tc>
        <w:tc>
          <w:tcPr>
            <w:tcW w:w="109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492BE0A4"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186</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3355C1CE"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5779</w:t>
            </w:r>
          </w:p>
        </w:tc>
        <w:tc>
          <w:tcPr>
            <w:tcW w:w="175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7BF8C796"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298</w:t>
            </w:r>
          </w:p>
        </w:tc>
        <w:tc>
          <w:tcPr>
            <w:tcW w:w="833"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120DB7D6" w14:textId="77777777">
            <w:pPr>
              <w:spacing w:after="0" w:line="240" w:lineRule="auto"/>
              <w:jc w:val="right"/>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173</w:t>
            </w:r>
          </w:p>
        </w:tc>
      </w:tr>
      <w:tr w:rsidRPr="004E1CA4" w:rsidR="004E1CA4" w:rsidTr="004E1CA4" w14:paraId="0FEF4109" w14:textId="77777777">
        <w:trPr>
          <w:trHeight w:val="290"/>
        </w:trPr>
        <w:tc>
          <w:tcPr>
            <w:tcW w:w="2856" w:type="dxa"/>
            <w:tcBorders>
              <w:top w:val="nil"/>
              <w:left w:val="single" w:color="auto" w:sz="4" w:space="0"/>
              <w:bottom w:val="single" w:color="auto" w:sz="4" w:space="0"/>
              <w:right w:val="single" w:color="auto" w:sz="4" w:space="0"/>
            </w:tcBorders>
            <w:shd w:val="clear" w:color="auto" w:fill="DDEFF8"/>
            <w:noWrap/>
            <w:vAlign w:val="bottom"/>
            <w:hideMark/>
          </w:tcPr>
          <w:p w:rsidRPr="004E1CA4" w:rsidR="004E1CA4" w:rsidP="004E1CA4" w:rsidRDefault="004E1CA4" w14:paraId="768A6999"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 </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37020659"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 </w:t>
            </w:r>
          </w:p>
        </w:tc>
        <w:tc>
          <w:tcPr>
            <w:tcW w:w="1042"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63BA503C"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 </w:t>
            </w:r>
          </w:p>
        </w:tc>
        <w:tc>
          <w:tcPr>
            <w:tcW w:w="109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7DA4E7B5"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 </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3A5A09C2"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 </w:t>
            </w:r>
          </w:p>
        </w:tc>
        <w:tc>
          <w:tcPr>
            <w:tcW w:w="175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2B352CD2"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 </w:t>
            </w:r>
          </w:p>
        </w:tc>
        <w:tc>
          <w:tcPr>
            <w:tcW w:w="833"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320549DC" w14:textId="77777777">
            <w:pPr>
              <w:spacing w:after="0" w:line="240" w:lineRule="auto"/>
              <w:rPr>
                <w:rFonts w:eastAsia="Times New Roman" w:cs="Times New Roman"/>
                <w:color w:val="000000"/>
                <w:kern w:val="0"/>
                <w:sz w:val="16"/>
                <w:szCs w:val="16"/>
                <w:lang w:eastAsia="nl-NL"/>
                <w14:ligatures w14:val="none"/>
              </w:rPr>
            </w:pPr>
            <w:r w:rsidRPr="004E1CA4">
              <w:rPr>
                <w:rFonts w:eastAsia="Times New Roman" w:cs="Times New Roman"/>
                <w:color w:val="000000"/>
                <w:kern w:val="0"/>
                <w:sz w:val="16"/>
                <w:szCs w:val="16"/>
                <w:lang w:eastAsia="nl-NL"/>
                <w14:ligatures w14:val="none"/>
              </w:rPr>
              <w:t> </w:t>
            </w:r>
          </w:p>
        </w:tc>
      </w:tr>
      <w:tr w:rsidRPr="004E1CA4" w:rsidR="004E1CA4" w:rsidTr="004E1CA4" w14:paraId="12538BB2" w14:textId="77777777">
        <w:trPr>
          <w:trHeight w:val="290"/>
        </w:trPr>
        <w:tc>
          <w:tcPr>
            <w:tcW w:w="2856" w:type="dxa"/>
            <w:tcBorders>
              <w:top w:val="nil"/>
              <w:left w:val="single" w:color="auto" w:sz="4" w:space="0"/>
              <w:bottom w:val="single" w:color="auto" w:sz="4" w:space="0"/>
              <w:right w:val="single" w:color="auto" w:sz="4" w:space="0"/>
            </w:tcBorders>
            <w:shd w:val="clear" w:color="auto" w:fill="DDEFF8"/>
            <w:noWrap/>
            <w:vAlign w:val="bottom"/>
            <w:hideMark/>
          </w:tcPr>
          <w:p w:rsidRPr="004E1CA4" w:rsidR="004E1CA4" w:rsidP="004E1CA4" w:rsidRDefault="004E1CA4" w14:paraId="689EAE04" w14:textId="77777777">
            <w:pPr>
              <w:spacing w:after="0" w:line="240" w:lineRule="auto"/>
              <w:rPr>
                <w:rFonts w:eastAsia="Times New Roman" w:cs="Times New Roman"/>
                <w:b/>
                <w:bCs/>
                <w:color w:val="000000"/>
                <w:kern w:val="0"/>
                <w:sz w:val="16"/>
                <w:szCs w:val="16"/>
                <w:lang w:eastAsia="nl-NL"/>
                <w14:ligatures w14:val="none"/>
              </w:rPr>
            </w:pPr>
            <w:r w:rsidRPr="004E1CA4">
              <w:rPr>
                <w:rFonts w:eastAsia="Times New Roman" w:cs="Times New Roman"/>
                <w:b/>
                <w:bCs/>
                <w:color w:val="000000"/>
                <w:kern w:val="0"/>
                <w:sz w:val="16"/>
                <w:szCs w:val="16"/>
                <w:lang w:eastAsia="nl-NL"/>
                <w14:ligatures w14:val="none"/>
              </w:rPr>
              <w:t>Totaal Achterborgstellingen</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2A86AEB0" w14:textId="77777777">
            <w:pPr>
              <w:spacing w:after="0" w:line="240" w:lineRule="auto"/>
              <w:jc w:val="right"/>
              <w:rPr>
                <w:rFonts w:eastAsia="Times New Roman" w:cs="Times New Roman"/>
                <w:b/>
                <w:bCs/>
                <w:color w:val="000000"/>
                <w:kern w:val="0"/>
                <w:sz w:val="16"/>
                <w:szCs w:val="16"/>
                <w:lang w:eastAsia="nl-NL"/>
                <w14:ligatures w14:val="none"/>
              </w:rPr>
            </w:pPr>
            <w:r w:rsidRPr="004E1CA4">
              <w:rPr>
                <w:rFonts w:eastAsia="Times New Roman" w:cs="Times New Roman"/>
                <w:b/>
                <w:bCs/>
                <w:color w:val="000000"/>
                <w:kern w:val="0"/>
                <w:sz w:val="16"/>
                <w:szCs w:val="16"/>
                <w:lang w:eastAsia="nl-NL"/>
                <w14:ligatures w14:val="none"/>
              </w:rPr>
              <w:t>293.486</w:t>
            </w:r>
          </w:p>
        </w:tc>
        <w:tc>
          <w:tcPr>
            <w:tcW w:w="1042"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0BE86A9C" w14:textId="77777777">
            <w:pPr>
              <w:spacing w:after="0" w:line="240" w:lineRule="auto"/>
              <w:jc w:val="right"/>
              <w:rPr>
                <w:rFonts w:eastAsia="Times New Roman" w:cs="Times New Roman"/>
                <w:b/>
                <w:bCs/>
                <w:color w:val="000000"/>
                <w:kern w:val="0"/>
                <w:sz w:val="16"/>
                <w:szCs w:val="16"/>
                <w:lang w:eastAsia="nl-NL"/>
                <w14:ligatures w14:val="none"/>
              </w:rPr>
            </w:pPr>
            <w:r w:rsidRPr="004E1CA4">
              <w:rPr>
                <w:rFonts w:eastAsia="Times New Roman" w:cs="Times New Roman"/>
                <w:b/>
                <w:bCs/>
                <w:color w:val="000000"/>
                <w:kern w:val="0"/>
                <w:sz w:val="16"/>
                <w:szCs w:val="16"/>
                <w:lang w:eastAsia="nl-NL"/>
                <w14:ligatures w14:val="none"/>
              </w:rPr>
              <w:t>40.827</w:t>
            </w:r>
          </w:p>
        </w:tc>
        <w:tc>
          <w:tcPr>
            <w:tcW w:w="109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6E4E9FE3" w14:textId="77777777">
            <w:pPr>
              <w:spacing w:after="0" w:line="240" w:lineRule="auto"/>
              <w:jc w:val="right"/>
              <w:rPr>
                <w:rFonts w:eastAsia="Times New Roman" w:cs="Times New Roman"/>
                <w:b/>
                <w:bCs/>
                <w:color w:val="000000"/>
                <w:kern w:val="0"/>
                <w:sz w:val="16"/>
                <w:szCs w:val="16"/>
                <w:lang w:eastAsia="nl-NL"/>
                <w14:ligatures w14:val="none"/>
              </w:rPr>
            </w:pPr>
            <w:r w:rsidRPr="004E1CA4">
              <w:rPr>
                <w:rFonts w:eastAsia="Times New Roman" w:cs="Times New Roman"/>
                <w:b/>
                <w:bCs/>
                <w:color w:val="000000"/>
                <w:kern w:val="0"/>
                <w:sz w:val="16"/>
                <w:szCs w:val="16"/>
                <w:lang w:eastAsia="nl-NL"/>
                <w14:ligatures w14:val="none"/>
              </w:rPr>
              <w:t>20.079</w:t>
            </w:r>
          </w:p>
        </w:tc>
        <w:tc>
          <w:tcPr>
            <w:tcW w:w="1134"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5958B0AA" w14:textId="77777777">
            <w:pPr>
              <w:spacing w:after="0" w:line="240" w:lineRule="auto"/>
              <w:jc w:val="right"/>
              <w:rPr>
                <w:rFonts w:eastAsia="Times New Roman" w:cs="Times New Roman"/>
                <w:b/>
                <w:bCs/>
                <w:color w:val="000000"/>
                <w:kern w:val="0"/>
                <w:sz w:val="16"/>
                <w:szCs w:val="16"/>
                <w:lang w:eastAsia="nl-NL"/>
                <w14:ligatures w14:val="none"/>
              </w:rPr>
            </w:pPr>
            <w:r w:rsidRPr="004E1CA4">
              <w:rPr>
                <w:rFonts w:eastAsia="Times New Roman" w:cs="Times New Roman"/>
                <w:b/>
                <w:bCs/>
                <w:color w:val="000000"/>
                <w:kern w:val="0"/>
                <w:sz w:val="16"/>
                <w:szCs w:val="16"/>
                <w:lang w:eastAsia="nl-NL"/>
                <w14:ligatures w14:val="none"/>
              </w:rPr>
              <w:t>314.234</w:t>
            </w:r>
          </w:p>
        </w:tc>
        <w:tc>
          <w:tcPr>
            <w:tcW w:w="1755"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3A7E447F" w14:textId="77777777">
            <w:pPr>
              <w:spacing w:after="0" w:line="240" w:lineRule="auto"/>
              <w:jc w:val="right"/>
              <w:rPr>
                <w:rFonts w:eastAsia="Times New Roman" w:cs="Times New Roman"/>
                <w:b/>
                <w:bCs/>
                <w:color w:val="000000"/>
                <w:kern w:val="0"/>
                <w:sz w:val="16"/>
                <w:szCs w:val="16"/>
                <w:lang w:eastAsia="nl-NL"/>
                <w14:ligatures w14:val="none"/>
              </w:rPr>
            </w:pPr>
            <w:r w:rsidRPr="004E1CA4">
              <w:rPr>
                <w:rFonts w:eastAsia="Times New Roman" w:cs="Times New Roman"/>
                <w:b/>
                <w:bCs/>
                <w:color w:val="000000"/>
                <w:kern w:val="0"/>
                <w:sz w:val="16"/>
                <w:szCs w:val="16"/>
                <w:lang w:eastAsia="nl-NL"/>
                <w14:ligatures w14:val="none"/>
              </w:rPr>
              <w:t>2.649</w:t>
            </w:r>
          </w:p>
        </w:tc>
        <w:tc>
          <w:tcPr>
            <w:tcW w:w="833" w:type="dxa"/>
            <w:tcBorders>
              <w:top w:val="nil"/>
              <w:left w:val="nil"/>
              <w:bottom w:val="single" w:color="auto" w:sz="4" w:space="0"/>
              <w:right w:val="single" w:color="auto" w:sz="4" w:space="0"/>
            </w:tcBorders>
            <w:shd w:val="clear" w:color="auto" w:fill="auto"/>
            <w:noWrap/>
            <w:vAlign w:val="bottom"/>
            <w:hideMark/>
          </w:tcPr>
          <w:p w:rsidRPr="004E1CA4" w:rsidR="004E1CA4" w:rsidP="004E1CA4" w:rsidRDefault="004E1CA4" w14:paraId="191694B4" w14:textId="77777777">
            <w:pPr>
              <w:spacing w:after="0" w:line="240" w:lineRule="auto"/>
              <w:jc w:val="right"/>
              <w:rPr>
                <w:rFonts w:eastAsia="Times New Roman" w:cs="Times New Roman"/>
                <w:b/>
                <w:bCs/>
                <w:color w:val="000000"/>
                <w:kern w:val="0"/>
                <w:sz w:val="16"/>
                <w:szCs w:val="16"/>
                <w:lang w:eastAsia="nl-NL"/>
                <w14:ligatures w14:val="none"/>
              </w:rPr>
            </w:pPr>
            <w:r w:rsidRPr="004E1CA4">
              <w:rPr>
                <w:rFonts w:eastAsia="Times New Roman" w:cs="Times New Roman"/>
                <w:b/>
                <w:bCs/>
                <w:color w:val="000000"/>
                <w:kern w:val="0"/>
                <w:sz w:val="16"/>
                <w:szCs w:val="16"/>
                <w:lang w:eastAsia="nl-NL"/>
                <w14:ligatures w14:val="none"/>
              </w:rPr>
              <w:t>2.636</w:t>
            </w:r>
          </w:p>
        </w:tc>
      </w:tr>
    </w:tbl>
    <w:p w:rsidRPr="004E1CA4" w:rsidR="00A015A4" w:rsidP="003F0B22" w:rsidRDefault="008215B1" w14:paraId="5A6CFB58" w14:textId="2D47BE9B">
      <w:pPr>
        <w:rPr>
          <w:rFonts w:eastAsia="Verdana" w:cs="Verdana"/>
          <w:i/>
          <w:szCs w:val="18"/>
        </w:rPr>
      </w:pPr>
      <w:r w:rsidRPr="004E1CA4">
        <w:rPr>
          <w:rFonts w:eastAsia="Verdana" w:cs="Verdana"/>
          <w:i/>
          <w:szCs w:val="18"/>
        </w:rPr>
        <w:t xml:space="preserve">Tabel </w:t>
      </w:r>
      <w:r w:rsidRPr="004E1CA4" w:rsidR="00EA5D9F">
        <w:rPr>
          <w:rFonts w:eastAsia="Verdana" w:cs="Verdana"/>
          <w:i/>
          <w:szCs w:val="18"/>
        </w:rPr>
        <w:t>9</w:t>
      </w:r>
      <w:r w:rsidRPr="004E1CA4">
        <w:rPr>
          <w:rFonts w:eastAsia="Verdana" w:cs="Verdana"/>
          <w:i/>
          <w:szCs w:val="18"/>
        </w:rPr>
        <w:t>: Achterborgstellingen van het Rijk (in miljoenen euro</w:t>
      </w:r>
      <w:r w:rsidR="00B44514">
        <w:rPr>
          <w:rFonts w:eastAsia="Verdana" w:cs="Verdana"/>
          <w:i/>
          <w:szCs w:val="18"/>
        </w:rPr>
        <w:t>’s</w:t>
      </w:r>
      <w:r w:rsidRPr="004E1CA4">
        <w:rPr>
          <w:rFonts w:eastAsia="Verdana" w:cs="Verdana"/>
          <w:i/>
          <w:szCs w:val="18"/>
        </w:rPr>
        <w:t>)</w:t>
      </w:r>
    </w:p>
    <w:p w:rsidRPr="0059487B" w:rsidR="00A015A4" w:rsidP="003F0B22" w:rsidRDefault="00A015A4" w14:paraId="6495469D" w14:textId="77777777">
      <w:pPr>
        <w:rPr>
          <w:rFonts w:eastAsia="Verdana" w:cs="Verdana"/>
          <w:sz w:val="16"/>
          <w:szCs w:val="16"/>
        </w:rPr>
      </w:pPr>
    </w:p>
    <w:p w:rsidRPr="000B4D4D" w:rsidR="00A015A4" w:rsidP="003F0B22" w:rsidRDefault="00A015A4" w14:paraId="308E4D53" w14:textId="77777777">
      <w:pPr>
        <w:rPr>
          <w:rFonts w:eastAsia="Verdana" w:cs="Verdana"/>
          <w:szCs w:val="18"/>
        </w:rPr>
      </w:pPr>
    </w:p>
    <w:p w:rsidRPr="000B4D4D" w:rsidR="00A015A4" w:rsidP="003F0B22" w:rsidRDefault="00A015A4" w14:paraId="54F5EFC5" w14:textId="77777777">
      <w:pPr>
        <w:rPr>
          <w:rFonts w:eastAsia="Verdana" w:cs="Verdana"/>
          <w:szCs w:val="18"/>
        </w:rPr>
      </w:pPr>
    </w:p>
    <w:p w:rsidRPr="000B4D4D" w:rsidR="00A015A4" w:rsidP="003F0B22" w:rsidRDefault="00A015A4" w14:paraId="21A4E19C" w14:textId="77777777">
      <w:pPr>
        <w:rPr>
          <w:rFonts w:eastAsia="Verdana" w:cs="Verdana"/>
          <w:szCs w:val="18"/>
        </w:rPr>
      </w:pPr>
    </w:p>
    <w:p w:rsidRPr="000B4D4D" w:rsidR="00A015A4" w:rsidP="003F0B22" w:rsidRDefault="00A015A4" w14:paraId="36687D9C" w14:textId="77777777">
      <w:pPr>
        <w:rPr>
          <w:rFonts w:eastAsia="Verdana" w:cs="Verdana"/>
          <w:szCs w:val="18"/>
        </w:rPr>
      </w:pPr>
    </w:p>
    <w:p w:rsidRPr="000B4D4D" w:rsidR="00A015A4" w:rsidP="003F0B22" w:rsidRDefault="00A015A4" w14:paraId="0996969D" w14:textId="77777777">
      <w:pPr>
        <w:rPr>
          <w:rFonts w:eastAsia="Verdana" w:cs="Verdana"/>
          <w:szCs w:val="18"/>
        </w:rPr>
      </w:pPr>
    </w:p>
    <w:p w:rsidRPr="000B4D4D" w:rsidR="00A015A4" w:rsidP="003F0B22" w:rsidRDefault="00A015A4" w14:paraId="17F6B7C7" w14:textId="77777777">
      <w:pPr>
        <w:rPr>
          <w:rFonts w:eastAsia="Verdana" w:cs="Verdana"/>
          <w:szCs w:val="18"/>
        </w:rPr>
      </w:pPr>
    </w:p>
    <w:p w:rsidRPr="000B4D4D" w:rsidR="00A015A4" w:rsidP="003F0B22" w:rsidRDefault="00A015A4" w14:paraId="123680B2" w14:textId="77777777">
      <w:pPr>
        <w:rPr>
          <w:rFonts w:eastAsia="Verdana" w:cs="Verdana"/>
          <w:szCs w:val="18"/>
        </w:rPr>
      </w:pPr>
    </w:p>
    <w:p w:rsidRPr="000B4D4D" w:rsidR="00A015A4" w:rsidP="003F0B22" w:rsidRDefault="00A015A4" w14:paraId="3FB793FC" w14:textId="77777777">
      <w:pPr>
        <w:rPr>
          <w:rFonts w:eastAsia="Verdana" w:cs="Verdana"/>
          <w:szCs w:val="18"/>
        </w:rPr>
      </w:pPr>
    </w:p>
    <w:p w:rsidRPr="000B4D4D" w:rsidR="00A015A4" w:rsidP="003F0B22" w:rsidRDefault="00A015A4" w14:paraId="0D86E9F2" w14:textId="77777777">
      <w:pPr>
        <w:rPr>
          <w:rFonts w:eastAsia="Verdana" w:cs="Verdana"/>
          <w:szCs w:val="18"/>
        </w:rPr>
      </w:pPr>
    </w:p>
    <w:p w:rsidRPr="000B4D4D" w:rsidR="00A015A4" w:rsidP="003F0B22" w:rsidRDefault="00A015A4" w14:paraId="7FBB9E87" w14:textId="77777777">
      <w:pPr>
        <w:rPr>
          <w:rFonts w:eastAsia="Verdana" w:cs="Verdana"/>
          <w:szCs w:val="18"/>
        </w:rPr>
      </w:pPr>
    </w:p>
    <w:p w:rsidRPr="000B4D4D" w:rsidR="00A015A4" w:rsidP="003F0B22" w:rsidRDefault="00A015A4" w14:paraId="25182F66" w14:textId="77777777">
      <w:pPr>
        <w:rPr>
          <w:rFonts w:eastAsia="Verdana" w:cs="Verdana"/>
          <w:szCs w:val="18"/>
        </w:rPr>
      </w:pPr>
    </w:p>
    <w:p w:rsidRPr="000B4D4D" w:rsidR="00A015A4" w:rsidP="003F0B22" w:rsidRDefault="00A015A4" w14:paraId="49C5845E" w14:textId="77777777">
      <w:pPr>
        <w:rPr>
          <w:rFonts w:eastAsia="Verdana" w:cs="Verdana"/>
          <w:szCs w:val="18"/>
        </w:rPr>
      </w:pPr>
    </w:p>
    <w:p w:rsidRPr="000B4D4D" w:rsidR="00A015A4" w:rsidP="003F0B22" w:rsidRDefault="00A015A4" w14:paraId="744DF9F1" w14:textId="77777777">
      <w:pPr>
        <w:rPr>
          <w:rFonts w:eastAsia="Verdana" w:cs="Verdana"/>
          <w:szCs w:val="18"/>
        </w:rPr>
      </w:pPr>
    </w:p>
    <w:p w:rsidRPr="000B4D4D" w:rsidR="00A015A4" w:rsidP="003F0B22" w:rsidRDefault="00A015A4" w14:paraId="3A720DCB" w14:textId="77777777">
      <w:pPr>
        <w:rPr>
          <w:rFonts w:eastAsia="Verdana" w:cs="Verdana"/>
          <w:szCs w:val="18"/>
        </w:rPr>
      </w:pPr>
    </w:p>
    <w:p w:rsidRPr="000B4D4D" w:rsidR="00A015A4" w:rsidP="003F0B22" w:rsidRDefault="00A015A4" w14:paraId="65D56863" w14:textId="77777777">
      <w:pPr>
        <w:rPr>
          <w:rFonts w:eastAsia="Verdana" w:cs="Verdana"/>
          <w:szCs w:val="18"/>
        </w:rPr>
      </w:pPr>
    </w:p>
    <w:p w:rsidRPr="000B4D4D" w:rsidR="00A015A4" w:rsidP="003F0B22" w:rsidRDefault="00A015A4" w14:paraId="5B752E5F" w14:textId="77777777">
      <w:pPr>
        <w:rPr>
          <w:rFonts w:eastAsia="Verdana" w:cs="Verdana"/>
          <w:szCs w:val="18"/>
        </w:rPr>
      </w:pPr>
    </w:p>
    <w:p w:rsidRPr="003B3605" w:rsidR="00876D55" w:rsidRDefault="00876D55" w14:paraId="247FD04E" w14:textId="77777777">
      <w:pPr>
        <w:rPr>
          <w:color w:val="01689B"/>
          <w:sz w:val="32"/>
          <w:szCs w:val="32"/>
        </w:rPr>
      </w:pPr>
      <w:r w:rsidRPr="003B3605">
        <w:br w:type="page"/>
      </w:r>
    </w:p>
    <w:p w:rsidRPr="001E6863" w:rsidR="007D3628" w:rsidP="007D3628" w:rsidRDefault="007D3628" w14:paraId="70A1C91B" w14:textId="6180154E">
      <w:pPr>
        <w:pStyle w:val="Kop1"/>
        <w:rPr>
          <w:lang w:val="en-US"/>
        </w:rPr>
      </w:pPr>
      <w:bookmarkStart w:name="_Toc196830277" w:id="27"/>
      <w:r w:rsidRPr="001E6863">
        <w:rPr>
          <w:lang w:val="en-US"/>
        </w:rPr>
        <w:lastRenderedPageBreak/>
        <w:t>Bijlage</w:t>
      </w:r>
      <w:r w:rsidR="00331E93">
        <w:rPr>
          <w:lang w:val="en-US"/>
        </w:rPr>
        <w:t xml:space="preserve"> 1</w:t>
      </w:r>
      <w:r w:rsidRPr="001E6863">
        <w:rPr>
          <w:lang w:val="en-US"/>
        </w:rPr>
        <w:t xml:space="preserve">: </w:t>
      </w:r>
      <w:r w:rsidRPr="001E6863">
        <w:rPr>
          <w:color w:val="auto"/>
          <w:lang w:val="en-US"/>
        </w:rPr>
        <w:t>Voortgang European Pillar of Social Rights &amp; Sustainable Development Goals</w:t>
      </w:r>
      <w:bookmarkEnd w:id="27"/>
    </w:p>
    <w:p w:rsidRPr="001E6863" w:rsidR="007D3628" w:rsidP="007D3628" w:rsidRDefault="007D3628" w14:paraId="09AD0733" w14:textId="6F743B55">
      <w:pPr>
        <w:rPr>
          <w:i/>
          <w:iCs/>
          <w:szCs w:val="18"/>
        </w:rPr>
      </w:pPr>
      <w:r w:rsidRPr="001E6863">
        <w:rPr>
          <w:bCs/>
          <w:i/>
          <w:iCs/>
          <w:szCs w:val="18"/>
        </w:rPr>
        <w:t xml:space="preserve">Tabel </w:t>
      </w:r>
      <w:r w:rsidRPr="001E6863" w:rsidR="00EA5D9F">
        <w:rPr>
          <w:bCs/>
          <w:i/>
          <w:iCs/>
          <w:szCs w:val="18"/>
        </w:rPr>
        <w:t>10</w:t>
      </w:r>
      <w:r w:rsidRPr="000B4D4D">
        <w:rPr>
          <w:b/>
          <w:szCs w:val="18"/>
        </w:rPr>
        <w:t>:</w:t>
      </w:r>
      <w:r w:rsidRPr="000B4D4D">
        <w:rPr>
          <w:szCs w:val="18"/>
        </w:rPr>
        <w:t xml:space="preserve"> </w:t>
      </w:r>
      <w:r w:rsidRPr="001E6863">
        <w:rPr>
          <w:i/>
          <w:iCs/>
          <w:szCs w:val="18"/>
        </w:rPr>
        <w:t>Rapportage van de implementatie van de European Pillar of Social Rights: voornaamste maatregelen en de geschatte impact.</w:t>
      </w:r>
    </w:p>
    <w:tbl>
      <w:tblPr>
        <w:tblStyle w:val="Tabelraster"/>
        <w:tblW w:w="9661" w:type="dxa"/>
        <w:tblLook w:val="04A0" w:firstRow="1" w:lastRow="0" w:firstColumn="1" w:lastColumn="0" w:noHBand="0" w:noVBand="1"/>
      </w:tblPr>
      <w:tblGrid>
        <w:gridCol w:w="2907"/>
        <w:gridCol w:w="3377"/>
        <w:gridCol w:w="3377"/>
      </w:tblGrid>
      <w:tr w:rsidRPr="000B4D4D" w:rsidR="007D3628" w:rsidTr="00D2195D" w14:paraId="2E0931CF" w14:textId="77777777">
        <w:trPr>
          <w:trHeight w:val="623"/>
        </w:trPr>
        <w:tc>
          <w:tcPr>
            <w:tcW w:w="32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0B4D4D" w:rsidR="007D3628" w:rsidP="002F36C1" w:rsidRDefault="007D3628" w14:paraId="4DF9E2B4" w14:textId="77777777">
            <w:pPr>
              <w:spacing w:after="160" w:line="259" w:lineRule="auto"/>
              <w:rPr>
                <w:b/>
                <w:color w:val="FFFFFF" w:themeColor="background1"/>
                <w:szCs w:val="18"/>
                <w:lang w:val="en-US"/>
              </w:rPr>
            </w:pPr>
            <w:r w:rsidRPr="000B4D4D">
              <w:rPr>
                <w:b/>
                <w:color w:val="FFFFFF" w:themeColor="background1"/>
                <w:szCs w:val="18"/>
                <w:lang w:val="en-US"/>
              </w:rPr>
              <w:t xml:space="preserve">Pillar </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0B4D4D" w:rsidR="007D3628" w:rsidP="002F36C1" w:rsidRDefault="007D3628" w14:paraId="067AEF8E" w14:textId="77777777">
            <w:pPr>
              <w:spacing w:after="160" w:line="259" w:lineRule="auto"/>
              <w:rPr>
                <w:b/>
                <w:color w:val="FFFFFF" w:themeColor="background1"/>
                <w:szCs w:val="18"/>
                <w:lang w:val="en-US"/>
              </w:rPr>
            </w:pPr>
            <w:r w:rsidRPr="000B4D4D">
              <w:rPr>
                <w:b/>
                <w:color w:val="FFFFFF" w:themeColor="background1"/>
                <w:szCs w:val="18"/>
                <w:lang w:val="en-US"/>
              </w:rPr>
              <w:t>Maatregel</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0B4D4D" w:rsidR="007D3628" w:rsidP="002F36C1" w:rsidRDefault="007D3628" w14:paraId="3544DE19" w14:textId="77777777">
            <w:pPr>
              <w:spacing w:after="160" w:line="259" w:lineRule="auto"/>
              <w:rPr>
                <w:b/>
                <w:color w:val="FFFFFF" w:themeColor="background1"/>
                <w:szCs w:val="18"/>
                <w:lang w:val="en-US"/>
              </w:rPr>
            </w:pPr>
            <w:r w:rsidRPr="000B4D4D">
              <w:rPr>
                <w:b/>
                <w:color w:val="FFFFFF" w:themeColor="background1"/>
                <w:szCs w:val="18"/>
                <w:lang w:val="en-US"/>
              </w:rPr>
              <w:t>Geschatte impact van maatregel</w:t>
            </w:r>
          </w:p>
        </w:tc>
      </w:tr>
      <w:tr w:rsidRPr="000B4D4D" w:rsidR="007D3628" w:rsidTr="00800A85" w14:paraId="3D6CC804"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31C8AC0A" w14:textId="77777777">
            <w:pPr>
              <w:numPr>
                <w:ilvl w:val="0"/>
                <w:numId w:val="10"/>
              </w:numPr>
              <w:spacing w:after="160" w:line="259" w:lineRule="auto"/>
              <w:ind w:left="360"/>
              <w:rPr>
                <w:szCs w:val="18"/>
                <w:lang w:val="en-US"/>
              </w:rPr>
            </w:pPr>
            <w:r w:rsidRPr="000B4D4D">
              <w:rPr>
                <w:szCs w:val="18"/>
                <w:lang w:val="en-US"/>
              </w:rPr>
              <w:t>Education, training and life-long learning</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A7CCD4D" w14:textId="77777777">
            <w:pPr>
              <w:rPr>
                <w:szCs w:val="18"/>
              </w:rPr>
            </w:pPr>
            <w:r w:rsidRPr="000B4D4D">
              <w:rPr>
                <w:szCs w:val="18"/>
              </w:rPr>
              <w:t>1. Actieplan Groene en Digitale Banen (11)</w:t>
            </w:r>
          </w:p>
          <w:p w:rsidRPr="000B4D4D" w:rsidR="007D3628" w:rsidP="007A1FCF" w:rsidRDefault="007D3628" w14:paraId="20DD02BA" w14:textId="77777777">
            <w:pPr>
              <w:rPr>
                <w:szCs w:val="18"/>
              </w:rPr>
            </w:pPr>
            <w:r w:rsidRPr="000B4D4D">
              <w:rPr>
                <w:szCs w:val="18"/>
              </w:rPr>
              <w:t>2. Quantum Delta NL (13)</w:t>
            </w:r>
          </w:p>
          <w:p w:rsidRPr="000B4D4D" w:rsidR="007D3628" w:rsidP="007A1FCF" w:rsidRDefault="007D3628" w14:paraId="59BE67DE" w14:textId="77777777">
            <w:pPr>
              <w:spacing w:line="259" w:lineRule="auto"/>
              <w:rPr>
                <w:szCs w:val="18"/>
              </w:rPr>
            </w:pPr>
            <w:r w:rsidRPr="000B4D4D">
              <w:rPr>
                <w:szCs w:val="18"/>
              </w:rPr>
              <w:t>3. Ontwikkelpaden (42)</w:t>
            </w:r>
          </w:p>
          <w:p w:rsidRPr="000B4D4D" w:rsidR="007D3628" w:rsidP="007A1FCF" w:rsidRDefault="007D3628" w14:paraId="78A3A8BB" w14:textId="77777777">
            <w:pPr>
              <w:spacing w:line="259" w:lineRule="auto"/>
              <w:rPr>
                <w:szCs w:val="18"/>
              </w:rPr>
            </w:pPr>
            <w:r w:rsidRPr="000B4D4D">
              <w:rPr>
                <w:szCs w:val="18"/>
              </w:rPr>
              <w:t>4. SLIM-regeling (43)</w:t>
            </w:r>
          </w:p>
          <w:p w:rsidRPr="000B4D4D" w:rsidR="007D3628" w:rsidP="007A1FCF" w:rsidRDefault="007D3628" w14:paraId="398CFC27" w14:textId="77777777">
            <w:pPr>
              <w:spacing w:after="160" w:line="259" w:lineRule="auto"/>
              <w:rPr>
                <w:szCs w:val="18"/>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0B2457F" w14:textId="77777777">
            <w:pPr>
              <w:rPr>
                <w:szCs w:val="18"/>
              </w:rPr>
            </w:pPr>
            <w:r w:rsidRPr="000B4D4D">
              <w:rPr>
                <w:szCs w:val="18"/>
              </w:rPr>
              <w:t>1. Het actieplan voor groene en digitale banen werd in 2023 ingevoerd om tekorten aan arbeidskrachten aan te pakken in sectoren die belangrijk zijn voor de dubbele transitie. Het actieplan heeft tot doel de instroom van studenten in bèta-/technische studies te vergroten en de instroom van mensen in bèta-/technische banen te behouden en te vergroten. Het opschalen van succesvolle regionale publiek-private initiatieven is een van de belangrijkste maatregelen van het actieplan. De overheid investeert 210 miljoen euro in deze publiek-private partnerschappen om bij te dragen aan het aanbieden en verwerven van vaardigheden en competenties die nodig zijn voor de transities.</w:t>
            </w:r>
          </w:p>
          <w:p w:rsidRPr="000B4D4D" w:rsidR="007D3628" w:rsidP="007A1FCF" w:rsidRDefault="007D3628" w14:paraId="02211778" w14:textId="77777777">
            <w:pPr>
              <w:rPr>
                <w:szCs w:val="18"/>
              </w:rPr>
            </w:pPr>
            <w:r w:rsidRPr="000B4D4D">
              <w:rPr>
                <w:szCs w:val="18"/>
              </w:rPr>
              <w:t>2. De ambitie van QDNL is om de kennispositie van Nederland in de top te versterken door jong talent op te leiden. In verschillende hubs zijn al academische leerlijnen ontwikkeld, zoals de minor 'Quantum Science and Quantum Information', het masterprogramma 'Quantum Information Science &amp; Technology' en de master-track 'Physics for Quantum Devices and Quantum Computing' aan de Technische Universiteit Delft, of de 'Quantum Software'-tracks aan de Universiteit van Amsterdam. Via gerichte en tijdelijke impulsen worden deze tracks uitgebreid naar andere hubs en worden specifieke multidisciplinaire masterprogramma's ontwikkeld die gedurende de hele looptijd kunnen worden aangeboden in Nederland, bijvoorbeeld via de in de volgende paragraaf genoemde TLC's.</w:t>
            </w:r>
          </w:p>
          <w:p w:rsidRPr="000B4D4D" w:rsidR="007D3628" w:rsidP="007A1FCF" w:rsidRDefault="007D3628" w14:paraId="4A8E13A9" w14:textId="77777777">
            <w:pPr>
              <w:rPr>
                <w:szCs w:val="18"/>
              </w:rPr>
            </w:pPr>
            <w:r w:rsidRPr="000B4D4D">
              <w:rPr>
                <w:szCs w:val="18"/>
              </w:rPr>
              <w:t xml:space="preserve">3. Sectorale ontwikkelingspaden worden momenteel landelijk ontwikkeld in nauwe samenwerking tussen het ministerie van Sociale Zaken en </w:t>
            </w:r>
            <w:r w:rsidRPr="000B4D4D">
              <w:rPr>
                <w:szCs w:val="18"/>
              </w:rPr>
              <w:lastRenderedPageBreak/>
              <w:t>Werkgelegenheid en het ministerie van OCW en brancheorganisaties. Eind 2025 start de uitvoering van de ontwikkelingstrajecten voor de technische sectoren.</w:t>
            </w:r>
          </w:p>
          <w:p w:rsidRPr="000B4D4D" w:rsidR="007D3628" w:rsidP="007A1FCF" w:rsidRDefault="007D3628" w14:paraId="479515A9" w14:textId="77777777">
            <w:pPr>
              <w:spacing w:after="160" w:line="259" w:lineRule="auto"/>
              <w:rPr>
                <w:szCs w:val="18"/>
              </w:rPr>
            </w:pPr>
            <w:r w:rsidRPr="000B4D4D">
              <w:rPr>
                <w:szCs w:val="18"/>
              </w:rPr>
              <w:t>4. De SLIM-begroting is een subsidie die bedoeld is om het MKB en zijn werknemers te stimuleren meer te investeren in onderwijs en opleiding. Op jaarbasis is een budget van € 35-40 miljoen beschikbaar, aanvragers kunnen gedurende het jaar een aanvraag indienen via speciale tijdslots. Tot 2027 is € 73 miljoen beschikbaar om werknemers op te leiden voor cruciale sectoren. Daarnaast is er een jaarlijks budget van € 1,2 miljoen beschikbaar voor bedrijven in de landbouw, de horeca en de vrijetijds-/recreatiesector, aangezien deze sectoren een beperkte leercultuur hebben.</w:t>
            </w:r>
          </w:p>
        </w:tc>
      </w:tr>
      <w:tr w:rsidRPr="000B4D4D" w:rsidR="007D3628" w:rsidTr="00800A85" w14:paraId="20E77B99"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11421035" w14:textId="77777777">
            <w:pPr>
              <w:numPr>
                <w:ilvl w:val="0"/>
                <w:numId w:val="10"/>
              </w:numPr>
              <w:spacing w:after="160" w:line="259" w:lineRule="auto"/>
              <w:ind w:left="360"/>
              <w:rPr>
                <w:szCs w:val="18"/>
                <w:lang w:val="en-US"/>
              </w:rPr>
            </w:pPr>
            <w:r w:rsidRPr="000B4D4D">
              <w:rPr>
                <w:szCs w:val="18"/>
                <w:lang w:val="en-US"/>
              </w:rPr>
              <w:lastRenderedPageBreak/>
              <w:t>Gender equality</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2F36C1" w:rsidRDefault="007D3628" w14:paraId="2E74710F" w14:textId="77777777">
            <w:pPr>
              <w:spacing w:line="259" w:lineRule="auto"/>
              <w:rPr>
                <w:szCs w:val="18"/>
                <w:lang w:val="en-GB"/>
              </w:rPr>
            </w:pPr>
            <w:r w:rsidRPr="000B4D4D">
              <w:rPr>
                <w:szCs w:val="18"/>
                <w:lang w:val="en-GB"/>
              </w:rPr>
              <w:t>1. Meer uren werkt! (44)</w:t>
            </w:r>
          </w:p>
          <w:p w:rsidRPr="000B4D4D" w:rsidR="007D3628" w:rsidP="002F36C1" w:rsidRDefault="007D3628" w14:paraId="442221F1" w14:textId="77777777">
            <w:pPr>
              <w:spacing w:line="259" w:lineRule="auto"/>
              <w:rPr>
                <w:szCs w:val="18"/>
                <w:lang w:val="en-GB"/>
              </w:rPr>
            </w:pPr>
            <w:r w:rsidRPr="000B4D4D">
              <w:rPr>
                <w:szCs w:val="18"/>
                <w:lang w:val="en-GB"/>
              </w:rPr>
              <w:t>2. Ontwikkelpaden (42)</w:t>
            </w:r>
          </w:p>
          <w:p w:rsidRPr="000B4D4D" w:rsidR="007D3628" w:rsidP="002F36C1" w:rsidRDefault="007D3628" w14:paraId="6C7CFE0E" w14:textId="77777777">
            <w:pPr>
              <w:spacing w:line="259" w:lineRule="auto"/>
              <w:rPr>
                <w:szCs w:val="18"/>
                <w:lang w:val="en-GB"/>
              </w:rPr>
            </w:pPr>
            <w:r w:rsidRPr="000B4D4D">
              <w:rPr>
                <w:szCs w:val="18"/>
                <w:lang w:val="en-GB"/>
              </w:rPr>
              <w:t xml:space="preserve">3. </w:t>
            </w:r>
            <w:r w:rsidRPr="000B4D4D">
              <w:rPr>
                <w:szCs w:val="18"/>
              </w:rPr>
              <w:t>Quantum Delta NL (13)</w:t>
            </w:r>
          </w:p>
          <w:p w:rsidRPr="000B4D4D" w:rsidR="007D3628" w:rsidP="007A1FCF" w:rsidRDefault="007D3628" w14:paraId="122B4152" w14:textId="77777777">
            <w:pPr>
              <w:spacing w:after="160" w:line="259" w:lineRule="auto"/>
              <w:rPr>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20759F5D" w14:textId="71D3532B">
            <w:pPr>
              <w:rPr>
                <w:szCs w:val="18"/>
              </w:rPr>
            </w:pPr>
            <w:r w:rsidRPr="000B4D4D">
              <w:rPr>
                <w:szCs w:val="18"/>
              </w:rPr>
              <w:t xml:space="preserve">1. Meer Uren werkt! (Meer uren werkt!) heeft tot doel zichtbare en onzichtbare barrières in de sociale omgeving, bij bedrijven en bij parttimers zelf te identificeren en weg te nemen. Parttimers die meer uren willen en kunnen werken, worden dan in staat gesteld om dit te doen. Het project identificeert en pakt knelpunten aan met bewezen interventie. Denk bijvoorbeeld aan het verzetten van de werkdag, het mogelijk maken van combinatiebanen of het bespreekbaar maken van mantelzorg en het creëren van begrip. Door naar al deze zaken te kijken, wil het project tot oplossingen komen die mensen helpen om meer uren te kunnen werken. Het </w:t>
            </w:r>
            <w:r w:rsidR="008470E5">
              <w:rPr>
                <w:szCs w:val="18"/>
              </w:rPr>
              <w:t>NGF</w:t>
            </w:r>
            <w:r w:rsidRPr="000B4D4D">
              <w:rPr>
                <w:szCs w:val="18"/>
              </w:rPr>
              <w:t xml:space="preserve"> investeert maximaal € 75 miljoen euro in het project.</w:t>
            </w:r>
          </w:p>
          <w:p w:rsidRPr="000B4D4D" w:rsidR="007D3628" w:rsidP="007A1FCF" w:rsidRDefault="007D3628" w14:paraId="5B6F6B94" w14:textId="77777777">
            <w:pPr>
              <w:rPr>
                <w:szCs w:val="18"/>
              </w:rPr>
            </w:pPr>
            <w:r w:rsidRPr="000B4D4D">
              <w:rPr>
                <w:szCs w:val="18"/>
              </w:rPr>
              <w:t>2. Sectorale ontwikkelingspaden worden momenteel landelijk ontwikkeld in nauwe samenwerking tussen het ministerie van Sociale Zaken en Werkgelegenheid en het ministerie van OCW en brancheorganisaties. Eind 2025 start de uitvoering van de ontwikkelingstrajecten voor de technische sectoren.</w:t>
            </w:r>
          </w:p>
          <w:p w:rsidRPr="000B4D4D" w:rsidR="007D3628" w:rsidP="007A1FCF" w:rsidRDefault="007D3628" w14:paraId="5C7F00D4" w14:textId="77777777">
            <w:pPr>
              <w:rPr>
                <w:szCs w:val="18"/>
              </w:rPr>
            </w:pPr>
            <w:r w:rsidRPr="000B4D4D">
              <w:rPr>
                <w:szCs w:val="18"/>
              </w:rPr>
              <w:t xml:space="preserve">3. Ondersteunen </w:t>
            </w:r>
          </w:p>
          <w:p w:rsidRPr="000B4D4D" w:rsidR="007D3628" w:rsidP="007A1FCF" w:rsidRDefault="007D3628" w14:paraId="0F4FACB8" w14:textId="77777777">
            <w:pPr>
              <w:rPr>
                <w:szCs w:val="18"/>
              </w:rPr>
            </w:pPr>
            <w:r w:rsidRPr="000B4D4D">
              <w:rPr>
                <w:szCs w:val="18"/>
              </w:rPr>
              <w:lastRenderedPageBreak/>
              <w:t xml:space="preserve">het Women in Quantum Development-initiatief (WIQD). </w:t>
            </w:r>
          </w:p>
          <w:p w:rsidRPr="000B4D4D" w:rsidR="007D3628" w:rsidP="007A1FCF" w:rsidRDefault="007D3628" w14:paraId="7EA1D14D" w14:textId="77777777">
            <w:pPr>
              <w:spacing w:after="160" w:line="259" w:lineRule="auto"/>
              <w:rPr>
                <w:szCs w:val="18"/>
              </w:rPr>
            </w:pPr>
          </w:p>
        </w:tc>
      </w:tr>
      <w:tr w:rsidRPr="000B4D4D" w:rsidR="007D3628" w:rsidTr="00800A85" w14:paraId="3F38A3A3" w14:textId="77777777">
        <w:trPr>
          <w:trHeight w:val="322"/>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6B7D6389" w14:textId="77777777">
            <w:pPr>
              <w:numPr>
                <w:ilvl w:val="0"/>
                <w:numId w:val="10"/>
              </w:numPr>
              <w:spacing w:after="160" w:line="259" w:lineRule="auto"/>
              <w:ind w:left="360"/>
              <w:rPr>
                <w:szCs w:val="18"/>
                <w:lang w:val="en-US"/>
              </w:rPr>
            </w:pPr>
            <w:r w:rsidRPr="000B4D4D">
              <w:rPr>
                <w:szCs w:val="18"/>
                <w:lang w:val="en-US"/>
              </w:rPr>
              <w:lastRenderedPageBreak/>
              <w:t>Equal opportunities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4607F7F" w14:textId="77777777">
            <w:pPr>
              <w:spacing w:line="259" w:lineRule="auto"/>
              <w:rPr>
                <w:szCs w:val="18"/>
              </w:rPr>
            </w:pPr>
            <w:r w:rsidRPr="000B4D4D">
              <w:rPr>
                <w:szCs w:val="18"/>
              </w:rPr>
              <w:t xml:space="preserve">1. Programma voor een inclusieve arbeidsmarkt (39) </w:t>
            </w:r>
          </w:p>
          <w:p w:rsidRPr="000B4D4D" w:rsidR="007D3628" w:rsidP="007A1FCF" w:rsidRDefault="007D3628" w14:paraId="562043AA" w14:textId="06522F16">
            <w:pPr>
              <w:rPr>
                <w:szCs w:val="18"/>
              </w:rPr>
            </w:pPr>
            <w:r w:rsidRPr="000B4D4D">
              <w:rPr>
                <w:szCs w:val="18"/>
              </w:rPr>
              <w:t>2. Wet Breed Offensief (32)3. Aanwijzing grootschalige bouwlocaties en NOVEX gebieden (21)</w:t>
            </w:r>
          </w:p>
          <w:p w:rsidRPr="000B4D4D" w:rsidR="007D3628" w:rsidP="007A1FCF" w:rsidRDefault="007D3628" w14:paraId="2ED0AAF9" w14:textId="77777777">
            <w:pPr>
              <w:rPr>
                <w:szCs w:val="18"/>
              </w:rPr>
            </w:pPr>
            <w:r w:rsidRPr="000B4D4D">
              <w:rPr>
                <w:szCs w:val="18"/>
              </w:rPr>
              <w:t>4. Wet Versterking Regie Volkshuisvesting (23)</w:t>
            </w:r>
          </w:p>
          <w:p w:rsidRPr="000B4D4D" w:rsidR="007D3628" w:rsidP="007A1FCF" w:rsidRDefault="007D3628" w14:paraId="163BE09C" w14:textId="77777777">
            <w:pPr>
              <w:rPr>
                <w:szCs w:val="18"/>
              </w:rPr>
            </w:pPr>
            <w:r w:rsidRPr="000B4D4D">
              <w:rPr>
                <w:szCs w:val="18"/>
              </w:rPr>
              <w:t>5. Wetsvoorstel hervorming huurtoeslag (25)</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2248576" w14:textId="77777777">
            <w:pPr>
              <w:rPr>
                <w:szCs w:val="18"/>
              </w:rPr>
            </w:pPr>
            <w:r w:rsidRPr="000B4D4D">
              <w:rPr>
                <w:szCs w:val="18"/>
              </w:rPr>
              <w:t>1. Het programma Voor een inclusieve arbeidsmarkt heeft als doel bij te dragen aan een diverse en inclusieve arbeidsmarkt met gelijke kansen en de positie van niet-Europese migranten op de arbeidsmarkt te versterken.</w:t>
            </w:r>
          </w:p>
          <w:p w:rsidRPr="000B4D4D" w:rsidR="007D3628" w:rsidP="007A1FCF" w:rsidRDefault="007D3628" w14:paraId="1E20A99B" w14:textId="77777777">
            <w:pPr>
              <w:rPr>
                <w:szCs w:val="18"/>
              </w:rPr>
            </w:pPr>
          </w:p>
          <w:p w:rsidRPr="000B4D4D" w:rsidR="007D3628" w:rsidP="007A1FCF" w:rsidRDefault="007D3628" w14:paraId="66175973" w14:textId="77777777">
            <w:pPr>
              <w:rPr>
                <w:szCs w:val="18"/>
              </w:rPr>
            </w:pPr>
            <w:r w:rsidRPr="000B4D4D">
              <w:rPr>
                <w:szCs w:val="18"/>
              </w:rPr>
              <w:t>2. Het doel van het Breed Offensief is het vergroten van de kansen op de arbeidsmarkt voor mensen met een arbeidsbeperking.</w:t>
            </w:r>
          </w:p>
          <w:p w:rsidRPr="000B4D4D" w:rsidR="007D3628" w:rsidP="007A1FCF" w:rsidRDefault="007D3628" w14:paraId="28CF8F2F" w14:textId="77777777">
            <w:pPr>
              <w:rPr>
                <w:szCs w:val="18"/>
              </w:rPr>
            </w:pPr>
            <w:r w:rsidRPr="000B4D4D">
              <w:rPr>
                <w:szCs w:val="18"/>
              </w:rPr>
              <w:t>3. Zal de bouwcoördinatie versterken om de kansen voor buitenstaanders op de woningmarkt te vergroten</w:t>
            </w:r>
          </w:p>
          <w:p w:rsidRPr="000B4D4D" w:rsidR="007D3628" w:rsidP="007A1FCF" w:rsidRDefault="007D3628" w14:paraId="3DB4C1F6" w14:textId="77777777">
            <w:pPr>
              <w:rPr>
                <w:szCs w:val="18"/>
              </w:rPr>
            </w:pPr>
            <w:r w:rsidRPr="000B4D4D">
              <w:rPr>
                <w:szCs w:val="18"/>
              </w:rPr>
              <w:t>4. Zal de bouw versterken en versnellen om de kansen voor buitenstaanders op de woningmarkt te vergroten.</w:t>
            </w:r>
          </w:p>
          <w:p w:rsidRPr="000B4D4D" w:rsidR="007D3628" w:rsidP="007A1FCF" w:rsidRDefault="007D3628" w14:paraId="5A81C392" w14:textId="77777777">
            <w:pPr>
              <w:spacing w:after="160" w:line="259" w:lineRule="auto"/>
              <w:rPr>
                <w:szCs w:val="18"/>
              </w:rPr>
            </w:pPr>
            <w:r w:rsidRPr="000B4D4D">
              <w:rPr>
                <w:szCs w:val="18"/>
              </w:rPr>
              <w:t>5. Ca. 117.000 voorheen kansarme huishoudens krijgen huurtoeslag.</w:t>
            </w:r>
          </w:p>
        </w:tc>
      </w:tr>
      <w:tr w:rsidRPr="000B4D4D" w:rsidR="007D3628" w:rsidTr="00800A85" w14:paraId="02DD5961"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7AEA77C2" w14:textId="77777777">
            <w:pPr>
              <w:numPr>
                <w:ilvl w:val="0"/>
                <w:numId w:val="10"/>
              </w:numPr>
              <w:spacing w:after="160" w:line="259" w:lineRule="auto"/>
              <w:ind w:left="360"/>
              <w:rPr>
                <w:szCs w:val="18"/>
                <w:lang w:val="en-US"/>
              </w:rPr>
            </w:pPr>
            <w:r w:rsidRPr="000B4D4D">
              <w:rPr>
                <w:szCs w:val="18"/>
                <w:lang w:val="en-US"/>
              </w:rPr>
              <w:t>Active support to employment</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0013BA0" w14:textId="77777777">
            <w:pPr>
              <w:spacing w:line="259" w:lineRule="auto"/>
              <w:rPr>
                <w:szCs w:val="18"/>
              </w:rPr>
            </w:pPr>
            <w:r w:rsidRPr="000B4D4D">
              <w:rPr>
                <w:szCs w:val="18"/>
              </w:rPr>
              <w:t xml:space="preserve">1. Programma voor een inclusieve arbeidsmarkt (39) </w:t>
            </w:r>
          </w:p>
          <w:p w:rsidRPr="000B4D4D" w:rsidR="007D3628" w:rsidP="002F36C1" w:rsidRDefault="007D3628" w14:paraId="1A591D34" w14:textId="77777777">
            <w:pPr>
              <w:spacing w:line="259" w:lineRule="auto"/>
              <w:rPr>
                <w:szCs w:val="18"/>
                <w:lang w:val="en-GB"/>
              </w:rPr>
            </w:pPr>
            <w:r w:rsidRPr="000B4D4D">
              <w:rPr>
                <w:szCs w:val="18"/>
                <w:lang w:val="en-GB"/>
              </w:rPr>
              <w:t xml:space="preserve">2. Regionale Mobiliteitsteams/ Regionale Werkcentra (40) Regional Mobility Teams (RMT) </w:t>
            </w:r>
          </w:p>
          <w:p w:rsidRPr="000B4D4D" w:rsidR="007D3628" w:rsidP="002F36C1" w:rsidRDefault="007D3628" w14:paraId="67C21095" w14:textId="77777777">
            <w:pPr>
              <w:spacing w:after="160" w:line="259" w:lineRule="auto"/>
              <w:rPr>
                <w:szCs w:val="18"/>
                <w:lang w:val="en-US"/>
              </w:rPr>
            </w:pPr>
            <w:r w:rsidRPr="000B4D4D">
              <w:rPr>
                <w:szCs w:val="18"/>
                <w:lang w:val="en-US"/>
              </w:rPr>
              <w:t xml:space="preserve">3. </w:t>
            </w:r>
            <w:r w:rsidRPr="000B4D4D">
              <w:rPr>
                <w:szCs w:val="18"/>
              </w:rPr>
              <w:t>Quantum Delta NL (13)</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B0302EA" w14:textId="77777777">
            <w:pPr>
              <w:rPr>
                <w:szCs w:val="18"/>
              </w:rPr>
            </w:pPr>
            <w:r w:rsidRPr="000B4D4D">
              <w:rPr>
                <w:szCs w:val="18"/>
              </w:rPr>
              <w:t>1. Het programma Voor een inclusieve arbeidsmarkt heeft als doel bij te dragen aan een diverse en inclusieve arbeidsmarkt met gelijke kansen en de positie van niet-Europese migranten op de arbeidsmarkt te versterken.</w:t>
            </w:r>
          </w:p>
          <w:p w:rsidRPr="000B4D4D" w:rsidR="007D3628" w:rsidP="007A1FCF" w:rsidRDefault="007D3628" w14:paraId="5D939C3B" w14:textId="5A706B6A">
            <w:pPr>
              <w:spacing w:after="160" w:line="259" w:lineRule="auto"/>
              <w:rPr>
                <w:szCs w:val="18"/>
              </w:rPr>
            </w:pPr>
            <w:r w:rsidRPr="000B4D4D">
              <w:rPr>
                <w:szCs w:val="18"/>
              </w:rPr>
              <w:t>2. De RMT's zijn regionale samenwerkingsverbanden tussen UWV, sociale partners en gemeenten en kunnen extra ondersteuning bieden bij het vinden van (nieuw) werk, door de werkzoekenden begeleiding, begeleiding, training te geven of door hen praktijkleren aan te bieden. Van maart 2021 tot februari 2024 hebben de RMT's ongeveer 41.000 mensen geholpen met hun arbeidsondersteunende vragen.  (</w:t>
            </w:r>
            <w:hyperlink w:history="1" r:id="rId14">
              <w:r w:rsidRPr="000B4D4D">
                <w:rPr>
                  <w:rStyle w:val="Hyperlink"/>
                  <w:rFonts w:asciiTheme="minorHAnsi" w:hAnsiTheme="minorHAnsi"/>
                  <w:szCs w:val="18"/>
                </w:rPr>
                <w:t>link</w:t>
              </w:r>
            </w:hyperlink>
            <w:r w:rsidRPr="000B4D4D">
              <w:rPr>
                <w:szCs w:val="18"/>
              </w:rPr>
              <w:t xml:space="preserve">). </w:t>
            </w:r>
            <w:r w:rsidRPr="000B4D4D" w:rsidR="00EE1103">
              <w:rPr>
                <w:szCs w:val="18"/>
              </w:rPr>
              <w:t xml:space="preserve">De geleerde lessen van de RMT's en de ervaringen met andere samenwerkingen (Werkgeversservicepunten en Leerwerkloketten in de arbeidsmarktregio's) worden gebruikt voor de hervorming van de regionale arbeidsmarktinfrastructuur. Zo komt er onder andere in elke arbeidsmarktregio een </w:t>
            </w:r>
            <w:r w:rsidRPr="000B4D4D" w:rsidR="00EE1103">
              <w:rPr>
                <w:szCs w:val="18"/>
              </w:rPr>
              <w:lastRenderedPageBreak/>
              <w:t>Werkcentrum, om arbeidsmarktdienstverlening toegankelijker te maken. In 2025 is gestart met een transitieperiode. Beoogde inwerkingtreding voor benodigde wet- en regelgeving is 1 juli 2026. Dit is aangekondigd in een brief aan het parlement (</w:t>
            </w:r>
            <w:hyperlink w:history="1" r:id="rId15">
              <w:r w:rsidRPr="000B4D4D" w:rsidR="00EE1103">
                <w:rPr>
                  <w:rStyle w:val="Hyperlink"/>
                  <w:szCs w:val="18"/>
                </w:rPr>
                <w:t>link</w:t>
              </w:r>
            </w:hyperlink>
            <w:r w:rsidRPr="000B4D4D" w:rsidR="00EE1103">
              <w:rPr>
                <w:szCs w:val="18"/>
              </w:rPr>
              <w:t>).</w:t>
            </w:r>
            <w:r w:rsidRPr="000B4D4D">
              <w:rPr>
                <w:szCs w:val="18"/>
              </w:rPr>
              <w:t>4. Alle wetenschappelijke en particuliere gebruikers van de cleanrooms maken deel uit van de NanoLabNL community waarin veel basiskennis is en wordt opgebouwd en gedeeld. Uit langdurige samenwerking is een uniek ecosysteem voor onderzoek, ontwikkeling en commercialisering ontstaan. Dit heeft geleid tot tal van innovaties en werkgelegenheid van duizenden mensen in high-end technische beroepen.</w:t>
            </w:r>
          </w:p>
        </w:tc>
      </w:tr>
      <w:tr w:rsidRPr="000B4D4D" w:rsidR="007D3628" w:rsidTr="00800A85" w14:paraId="668194CE"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00BA9ED5" w14:textId="77777777">
            <w:pPr>
              <w:numPr>
                <w:ilvl w:val="0"/>
                <w:numId w:val="10"/>
              </w:numPr>
              <w:spacing w:after="160" w:line="259" w:lineRule="auto"/>
              <w:ind w:left="360"/>
              <w:rPr>
                <w:szCs w:val="18"/>
                <w:lang w:val="en-US"/>
              </w:rPr>
            </w:pPr>
            <w:r w:rsidRPr="000B4D4D">
              <w:rPr>
                <w:szCs w:val="18"/>
                <w:lang w:val="en-US"/>
              </w:rPr>
              <w:lastRenderedPageBreak/>
              <w:t>Secure and adaptable employment</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2F36C1" w:rsidRDefault="007D3628" w14:paraId="126BF487" w14:textId="77777777">
            <w:pPr>
              <w:spacing w:line="259" w:lineRule="auto"/>
              <w:rPr>
                <w:szCs w:val="18"/>
                <w:lang w:val="en-GB"/>
              </w:rPr>
            </w:pPr>
            <w:r w:rsidRPr="000B4D4D">
              <w:rPr>
                <w:szCs w:val="18"/>
                <w:lang w:val="en-GB"/>
              </w:rPr>
              <w:t>1. Wet Meer Zekerheid Flexwerkers (35)</w:t>
            </w:r>
          </w:p>
          <w:p w:rsidRPr="000B4D4D" w:rsidR="007D3628" w:rsidP="002F36C1" w:rsidRDefault="007D3628" w14:paraId="52908A6B" w14:textId="0C6E2888">
            <w:pPr>
              <w:spacing w:line="259" w:lineRule="auto"/>
              <w:rPr>
                <w:i/>
                <w:szCs w:val="18"/>
              </w:rPr>
            </w:pPr>
            <w:r w:rsidRPr="000B4D4D">
              <w:rPr>
                <w:szCs w:val="18"/>
              </w:rPr>
              <w:t>2. Verplichte arbeidsongeschiktheidsverzekering voor zelfstandigen (</w:t>
            </w:r>
            <w:r w:rsidRPr="000B4D4D" w:rsidR="00497F39">
              <w:rPr>
                <w:szCs w:val="18"/>
              </w:rPr>
              <w:t xml:space="preserve">HVP, </w:t>
            </w:r>
            <w:r w:rsidRPr="000B4D4D">
              <w:rPr>
                <w:szCs w:val="18"/>
              </w:rPr>
              <w:t xml:space="preserve">36) </w:t>
            </w:r>
          </w:p>
          <w:p w:rsidRPr="000B4D4D" w:rsidR="007D3628" w:rsidP="002F36C1" w:rsidRDefault="007D3628" w14:paraId="0E1B1E78" w14:textId="77777777">
            <w:pPr>
              <w:spacing w:line="259" w:lineRule="auto"/>
              <w:rPr>
                <w:szCs w:val="18"/>
                <w:lang w:val="en-GB"/>
              </w:rPr>
            </w:pPr>
            <w:r w:rsidRPr="000B4D4D">
              <w:rPr>
                <w:szCs w:val="18"/>
                <w:lang w:val="en-GB"/>
              </w:rPr>
              <w:t>3. Aanpak arbeidsmarktkrapte (37)</w:t>
            </w:r>
          </w:p>
          <w:p w:rsidRPr="000B4D4D" w:rsidR="007D3628" w:rsidP="007A1FCF" w:rsidRDefault="007D3628" w14:paraId="416CA75A" w14:textId="77777777">
            <w:pPr>
              <w:spacing w:after="160" w:line="259" w:lineRule="auto"/>
              <w:rPr>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005D05A9" w14:textId="77777777">
            <w:pPr>
              <w:rPr>
                <w:szCs w:val="18"/>
              </w:rPr>
            </w:pPr>
            <w:r w:rsidRPr="000B4D4D">
              <w:rPr>
                <w:szCs w:val="18"/>
              </w:rPr>
              <w:t>1. Het pakket bestaat uit vijf uitgebreide wetgevingsvoorstellen met als doel duurzame arbeidsverhoudingen binnen wendbare ondernemingen te bevorderen.</w:t>
            </w:r>
          </w:p>
          <w:p w:rsidRPr="000B4D4D" w:rsidR="007D3628" w:rsidP="007A1FCF" w:rsidRDefault="007D3628" w14:paraId="0BAECF55" w14:textId="77777777">
            <w:pPr>
              <w:rPr>
                <w:szCs w:val="18"/>
              </w:rPr>
            </w:pPr>
            <w:r w:rsidRPr="000B4D4D">
              <w:rPr>
                <w:szCs w:val="18"/>
              </w:rPr>
              <w:t>2. Nederland bereidt de invoering van een verplichte arbeidsongeschiktheidsverzekering voor zelfstandigen voor. Het doel is om de sociale bescherming van zelfstandigen te verbeteren.</w:t>
            </w:r>
          </w:p>
          <w:p w:rsidRPr="000B4D4D" w:rsidR="007D3628" w:rsidP="007A1FCF" w:rsidRDefault="007D3628" w14:paraId="4C54A66E" w14:textId="77777777">
            <w:pPr>
              <w:spacing w:after="160" w:line="259" w:lineRule="auto"/>
              <w:rPr>
                <w:szCs w:val="18"/>
              </w:rPr>
            </w:pPr>
            <w:r w:rsidRPr="000B4D4D">
              <w:rPr>
                <w:szCs w:val="18"/>
              </w:rPr>
              <w:t>3. Onlangs is een brede arbeidsmarktagenda geïntroduceerd met algemene en sectorspecifieke strategieën om tekorten op de arbeidsmarkt aan te pakken.</w:t>
            </w:r>
          </w:p>
        </w:tc>
      </w:tr>
      <w:tr w:rsidRPr="000B4D4D" w:rsidR="007D3628" w:rsidTr="00800A85" w14:paraId="73D60A00"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14367F00" w14:textId="77777777">
            <w:pPr>
              <w:numPr>
                <w:ilvl w:val="0"/>
                <w:numId w:val="10"/>
              </w:numPr>
              <w:spacing w:after="160" w:line="259" w:lineRule="auto"/>
              <w:ind w:left="360"/>
              <w:rPr>
                <w:szCs w:val="18"/>
                <w:lang w:val="en-US"/>
              </w:rPr>
            </w:pPr>
            <w:r w:rsidRPr="000B4D4D">
              <w:rPr>
                <w:szCs w:val="18"/>
                <w:lang w:val="en-US"/>
              </w:rPr>
              <w:t>Wages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09B2E684" w14:textId="77777777">
            <w:pPr>
              <w:rPr>
                <w:szCs w:val="18"/>
                <w:lang w:val="en-GB"/>
              </w:rPr>
            </w:pPr>
            <w:r w:rsidRPr="000B4D4D">
              <w:rPr>
                <w:szCs w:val="18"/>
              </w:rPr>
              <w:t xml:space="preserve">1. Invoering van een minimumuurloon </w:t>
            </w:r>
          </w:p>
          <w:p w:rsidRPr="000B4D4D" w:rsidR="007D3628" w:rsidP="007A1FCF" w:rsidRDefault="007D3628" w14:paraId="2F41FC51" w14:textId="77777777">
            <w:pPr>
              <w:rPr>
                <w:szCs w:val="18"/>
              </w:rPr>
            </w:pPr>
            <w:r w:rsidRPr="000B4D4D">
              <w:rPr>
                <w:szCs w:val="18"/>
              </w:rPr>
              <w:t xml:space="preserve">2. Tenuitvoerlegging van de EU-richtlijn betreffende toereikende minimumlonen </w:t>
            </w:r>
          </w:p>
          <w:p w:rsidRPr="000B4D4D" w:rsidR="007D3628" w:rsidP="007A1FCF" w:rsidRDefault="007D3628" w14:paraId="11798945" w14:textId="77777777">
            <w:pPr>
              <w:rPr>
                <w:szCs w:val="18"/>
              </w:rPr>
            </w:pPr>
            <w:r w:rsidRPr="000B4D4D">
              <w:rPr>
                <w:szCs w:val="18"/>
              </w:rPr>
              <w:t xml:space="preserve">3. Roep de sociale partners op om de lonen te verhogen in sectoren waar er potentieel ruimte is voor een verhoging </w:t>
            </w:r>
          </w:p>
          <w:p w:rsidRPr="000B4D4D" w:rsidR="007D3628" w:rsidP="007A1FCF" w:rsidRDefault="007D3628" w14:paraId="7E93C75F" w14:textId="77777777">
            <w:pPr>
              <w:spacing w:after="160" w:line="259" w:lineRule="auto"/>
              <w:rPr>
                <w:szCs w:val="18"/>
              </w:rPr>
            </w:pPr>
            <w:r w:rsidRPr="000B4D4D">
              <w:rPr>
                <w:szCs w:val="18"/>
              </w:rPr>
              <w:t>4. De lonen in de publieke sector volgen de lonen in de marktsectoren</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06548745" w14:textId="12478DE2">
            <w:pPr>
              <w:spacing w:after="160" w:line="259" w:lineRule="auto"/>
              <w:rPr>
                <w:szCs w:val="18"/>
              </w:rPr>
            </w:pPr>
            <w:r w:rsidRPr="000B4D4D">
              <w:rPr>
                <w:szCs w:val="18"/>
              </w:rPr>
              <w:t>1. Er is een minimumuurloon ingevoerd dat geldt voor iedereen die binnen de reikwijdte van het wettelijk minimumloon valt (</w:t>
            </w:r>
            <w:hyperlink w:history="1" r:id="rId16">
              <w:r w:rsidRPr="000B4D4D">
                <w:rPr>
                  <w:rStyle w:val="Hyperlink"/>
                  <w:szCs w:val="18"/>
                </w:rPr>
                <w:t>link</w:t>
              </w:r>
            </w:hyperlink>
            <w:r w:rsidRPr="000B4D4D">
              <w:rPr>
                <w:szCs w:val="18"/>
              </w:rPr>
              <w:t xml:space="preserve">). 2. De regering wacht momenteel op de stemming in de Senaat om de laatste stap te zetten in de uitvoering van de EU-richtlijn inzake toereikende minimumlonen. </w:t>
            </w:r>
            <w:r w:rsidRPr="000B4D4D">
              <w:rPr>
                <w:szCs w:val="18"/>
              </w:rPr>
              <w:br/>
              <w:t xml:space="preserve">3. De regering roept werkgevers- en werknemersorganisaties op om de lonen in sectoren te verhogen in functie van het potentieel in die specifieke sectoren. </w:t>
            </w:r>
            <w:r w:rsidRPr="000B4D4D">
              <w:rPr>
                <w:szCs w:val="18"/>
              </w:rPr>
              <w:br/>
              <w:t xml:space="preserve">4. De overheid is de werkgever voor verschillende publieke </w:t>
            </w:r>
            <w:r w:rsidRPr="000B4D4D">
              <w:rPr>
                <w:szCs w:val="18"/>
              </w:rPr>
              <w:lastRenderedPageBreak/>
              <w:t>sectoren. Over het algemeen volgt de loonontwikkeling in deze publieke sectoren de loonontwikkelingen die zich voordoen in marktsectoren.</w:t>
            </w:r>
          </w:p>
        </w:tc>
      </w:tr>
      <w:tr w:rsidRPr="000B4D4D" w:rsidR="007D3628" w:rsidTr="00800A85" w14:paraId="5CB29EE2"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754A9B15" w14:textId="77777777">
            <w:pPr>
              <w:numPr>
                <w:ilvl w:val="0"/>
                <w:numId w:val="10"/>
              </w:numPr>
              <w:spacing w:after="160" w:line="259" w:lineRule="auto"/>
              <w:ind w:left="360"/>
              <w:rPr>
                <w:szCs w:val="18"/>
                <w:lang w:val="en-US"/>
              </w:rPr>
            </w:pPr>
            <w:r w:rsidRPr="000B4D4D">
              <w:rPr>
                <w:szCs w:val="18"/>
                <w:lang w:val="en-US"/>
              </w:rPr>
              <w:lastRenderedPageBreak/>
              <w:t>Information about employment conditions and protection in case of dismissals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A2C62D9" w14:textId="77777777">
            <w:pPr>
              <w:rPr>
                <w:szCs w:val="18"/>
              </w:rPr>
            </w:pPr>
            <w:r w:rsidRPr="000B4D4D">
              <w:rPr>
                <w:szCs w:val="18"/>
              </w:rPr>
              <w:t xml:space="preserve">1. Implementatierichtlijn transparante en voorspelbare arbeidsvoorwaarden </w:t>
            </w:r>
          </w:p>
          <w:p w:rsidRPr="000B4D4D" w:rsidR="007D3628" w:rsidP="007A1FCF" w:rsidRDefault="007D3628" w14:paraId="23D9002A" w14:textId="77777777">
            <w:pPr>
              <w:rPr>
                <w:szCs w:val="18"/>
              </w:rPr>
            </w:pPr>
            <w:r w:rsidRPr="000B4D4D">
              <w:rPr>
                <w:szCs w:val="18"/>
              </w:rPr>
              <w:t xml:space="preserve">2. Ondersteuning van de sociale partners </w:t>
            </w:r>
          </w:p>
          <w:p w:rsidRPr="000B4D4D" w:rsidR="007D3628" w:rsidP="002F36C1" w:rsidRDefault="007D3628" w14:paraId="56E82339" w14:textId="77777777">
            <w:pPr>
              <w:spacing w:after="160" w:line="259" w:lineRule="auto"/>
              <w:rPr>
                <w:szCs w:val="18"/>
                <w:lang w:val="en-US"/>
              </w:rPr>
            </w:pPr>
            <w:r w:rsidRPr="000B4D4D">
              <w:rPr>
                <w:szCs w:val="18"/>
              </w:rPr>
              <w:t>3. Website over cao's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229C24FD" w14:textId="77777777">
            <w:pPr>
              <w:rPr>
                <w:szCs w:val="18"/>
              </w:rPr>
            </w:pPr>
            <w:r w:rsidRPr="000B4D4D">
              <w:rPr>
                <w:szCs w:val="18"/>
              </w:rPr>
              <w:t xml:space="preserve">1. Het doel is de arbeidsomstandigheden te verbeteren door een transparantere en beter voorspelbare werkgelegenheid te bevorderen. </w:t>
            </w:r>
          </w:p>
          <w:p w:rsidRPr="000B4D4D" w:rsidR="007D3628" w:rsidP="007A1FCF" w:rsidRDefault="007D3628" w14:paraId="5B43CB3C" w14:textId="77777777">
            <w:pPr>
              <w:rPr>
                <w:szCs w:val="18"/>
              </w:rPr>
            </w:pPr>
            <w:r w:rsidRPr="000B4D4D">
              <w:rPr>
                <w:szCs w:val="18"/>
              </w:rPr>
              <w:t xml:space="preserve">2. Door de sociale partners te blijven ondersteunen, bijvoorbeeld door een ondersteunend klimaat voor de sociale dialoog te creëren, de fundamentele rechten van vrijheid van vereniging en collectieve onderhandelingen te eerbiedigen en vakbondsleden te beschermen tegen discriminatie en ontslag, wordt de sociale dialoog doeltreffend gestimuleerd. </w:t>
            </w:r>
          </w:p>
          <w:p w:rsidRPr="000B4D4D" w:rsidR="007D3628" w:rsidP="007A1FCF" w:rsidRDefault="007D3628" w14:paraId="52D8A805" w14:textId="77777777">
            <w:pPr>
              <w:spacing w:after="160" w:line="259" w:lineRule="auto"/>
              <w:rPr>
                <w:szCs w:val="18"/>
              </w:rPr>
            </w:pPr>
            <w:r w:rsidRPr="000B4D4D">
              <w:rPr>
                <w:szCs w:val="18"/>
              </w:rPr>
              <w:t>3. De overheid verstrekt informatie over cao's en algemeen verbindende verklaringen (AVV) via de website van de Directie Uitvoering Wetgeving Arbeidsvoorwaarden (UAW).</w:t>
            </w:r>
          </w:p>
        </w:tc>
      </w:tr>
      <w:tr w:rsidRPr="000B4D4D" w:rsidR="007D3628" w:rsidTr="00800A85" w14:paraId="54FD42D7"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4B86207D" w14:textId="77777777">
            <w:pPr>
              <w:numPr>
                <w:ilvl w:val="0"/>
                <w:numId w:val="10"/>
              </w:numPr>
              <w:spacing w:after="160" w:line="259" w:lineRule="auto"/>
              <w:ind w:left="360"/>
              <w:rPr>
                <w:szCs w:val="18"/>
                <w:lang w:val="en-US"/>
              </w:rPr>
            </w:pPr>
            <w:r w:rsidRPr="000B4D4D">
              <w:rPr>
                <w:szCs w:val="18"/>
                <w:lang w:val="en-US"/>
              </w:rPr>
              <w:t>Social dialogue and involvement of workers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39933D3" w14:textId="77777777">
            <w:pPr>
              <w:rPr>
                <w:szCs w:val="18"/>
              </w:rPr>
            </w:pPr>
            <w:r w:rsidRPr="000B4D4D">
              <w:rPr>
                <w:szCs w:val="18"/>
              </w:rPr>
              <w:t xml:space="preserve">1. Regelmatige besprekingen met de sociale partners </w:t>
            </w:r>
          </w:p>
          <w:p w:rsidRPr="000B4D4D" w:rsidR="007D3628" w:rsidP="007A1FCF" w:rsidRDefault="007D3628" w14:paraId="57660C61" w14:textId="77777777">
            <w:pPr>
              <w:rPr>
                <w:szCs w:val="18"/>
              </w:rPr>
            </w:pPr>
            <w:r w:rsidRPr="000B4D4D">
              <w:rPr>
                <w:szCs w:val="18"/>
              </w:rPr>
              <w:t xml:space="preserve">2. Ondersteuning van de sociale partners </w:t>
            </w:r>
          </w:p>
          <w:p w:rsidRPr="000B4D4D" w:rsidR="007D3628" w:rsidP="007A1FCF" w:rsidRDefault="007D3628" w14:paraId="00F5C048" w14:textId="77777777">
            <w:pPr>
              <w:rPr>
                <w:szCs w:val="18"/>
              </w:rPr>
            </w:pPr>
            <w:r w:rsidRPr="000B4D4D">
              <w:rPr>
                <w:szCs w:val="18"/>
              </w:rPr>
              <w:t>3. Stoel voor zelfstandigen</w:t>
            </w:r>
          </w:p>
          <w:p w:rsidRPr="000B4D4D" w:rsidR="007D3628" w:rsidP="002F36C1" w:rsidRDefault="007D3628" w14:paraId="6EDE31DE" w14:textId="77777777">
            <w:pPr>
              <w:spacing w:after="160" w:line="259" w:lineRule="auto"/>
              <w:rPr>
                <w:szCs w:val="18"/>
                <w:lang w:val="en-US"/>
              </w:rPr>
            </w:pPr>
            <w:r w:rsidRPr="000B4D4D">
              <w:rPr>
                <w:szCs w:val="18"/>
              </w:rPr>
              <w:t>4. Quantum Delta NL (13)</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D2BF5D4" w14:textId="77777777">
            <w:pPr>
              <w:rPr>
                <w:szCs w:val="18"/>
              </w:rPr>
            </w:pPr>
            <w:r w:rsidRPr="000B4D4D">
              <w:rPr>
                <w:szCs w:val="18"/>
              </w:rPr>
              <w:t xml:space="preserve">1. In Nederland vindt de sociale dialoog op centraal niveau plaats in een geïnstitutionaliseerde vorm, zoals in de Stichting Arbeid (StvdA) en de Sociaal-Economische Raad (SER). </w:t>
            </w:r>
          </w:p>
          <w:p w:rsidRPr="000B4D4D" w:rsidR="007D3628" w:rsidP="007A1FCF" w:rsidRDefault="007D3628" w14:paraId="7A82A5D8" w14:textId="77777777">
            <w:pPr>
              <w:rPr>
                <w:szCs w:val="18"/>
              </w:rPr>
            </w:pPr>
            <w:r w:rsidRPr="000B4D4D">
              <w:rPr>
                <w:szCs w:val="18"/>
              </w:rPr>
              <w:t xml:space="preserve">2. Door de sociale partners te blijven ondersteunen, bijvoorbeeld door een ondersteunend klimaat voor de sociale dialoog te creëren, de fundamentele rechten van vrijheid van vereniging en collectieve onderhandelingen te eerbiedigen en vakbondsleden te beschermen tegen discriminatie en ontslag, wordt de sociale dialoog doeltreffend gestimuleerd. </w:t>
            </w:r>
          </w:p>
          <w:p w:rsidRPr="000B4D4D" w:rsidR="007D3628" w:rsidP="007A1FCF" w:rsidRDefault="007D3628" w14:paraId="01215BE3" w14:textId="77777777">
            <w:pPr>
              <w:rPr>
                <w:szCs w:val="18"/>
              </w:rPr>
            </w:pPr>
            <w:r w:rsidRPr="000B4D4D">
              <w:rPr>
                <w:szCs w:val="18"/>
              </w:rPr>
              <w:t>3. De positie van zelfstandigen in de SER is versterkt. Twee grote organisaties die zelfstandigen vertegenwoordigen hebben een plek gekregen. Het is ook de bedoeling dat het aantal zetels wordt verhoogd om de positie van zelfstandigen verder te versterken.</w:t>
            </w:r>
          </w:p>
          <w:p w:rsidRPr="000B4D4D" w:rsidR="007D3628" w:rsidP="007A1FCF" w:rsidRDefault="007D3628" w14:paraId="77CED639" w14:textId="77777777">
            <w:pPr>
              <w:spacing w:after="160" w:line="259" w:lineRule="auto"/>
              <w:rPr>
                <w:szCs w:val="18"/>
              </w:rPr>
            </w:pPr>
            <w:r w:rsidRPr="000B4D4D">
              <w:rPr>
                <w:szCs w:val="18"/>
              </w:rPr>
              <w:t xml:space="preserve">4. Actiepunt Maatschappelijke Impact: helpt bij het inzetten van quantumtechnologie en de toepassingen ervan ten voordele van de samenleving. Daartoe is het Centrum voor Quantum &amp; </w:t>
            </w:r>
            <w:r w:rsidRPr="000B4D4D">
              <w:rPr>
                <w:szCs w:val="18"/>
              </w:rPr>
              <w:lastRenderedPageBreak/>
              <w:t>Society in het leven geroepen. Samen met bedrijven en maatschappelijke organisaties streeft het centrum naar om ethische, juridische en maatschappelijke hindernissen voor de invoering van kwantum weg te nemen technologie en om maatschappelijk belangrijke toepassingen van kwantumtechnologie te identificeren. Dat doet het met ELSA-tools die worden ontwikkeld op basis van baanbrekend onderzoek in verschillende vakgebieden.</w:t>
            </w:r>
          </w:p>
        </w:tc>
      </w:tr>
      <w:tr w:rsidRPr="000B4D4D" w:rsidR="007D3628" w:rsidTr="00800A85" w14:paraId="5927F41D"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12FA1A55" w14:textId="77777777">
            <w:pPr>
              <w:numPr>
                <w:ilvl w:val="0"/>
                <w:numId w:val="10"/>
              </w:numPr>
              <w:ind w:left="360"/>
              <w:rPr>
                <w:szCs w:val="18"/>
                <w:lang w:val="en-US"/>
              </w:rPr>
            </w:pPr>
            <w:r w:rsidRPr="000B4D4D">
              <w:rPr>
                <w:szCs w:val="18"/>
                <w:lang w:val="en-US"/>
              </w:rPr>
              <w:lastRenderedPageBreak/>
              <w:t>Work-life balance</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FD0FBC2" w14:textId="77777777">
            <w:pPr>
              <w:rPr>
                <w:szCs w:val="18"/>
              </w:rPr>
            </w:pPr>
            <w:r w:rsidRPr="000B4D4D">
              <w:rPr>
                <w:szCs w:val="18"/>
              </w:rPr>
              <w:t xml:space="preserve">1. Betaald ouderschapsverlof </w:t>
            </w:r>
          </w:p>
          <w:p w:rsidRPr="000B4D4D" w:rsidR="007D3628" w:rsidP="007A1FCF" w:rsidRDefault="007D3628" w14:paraId="2F5702E4" w14:textId="77777777">
            <w:pPr>
              <w:rPr>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816AE42" w14:textId="77777777">
            <w:pPr>
              <w:rPr>
                <w:szCs w:val="18"/>
              </w:rPr>
            </w:pPr>
            <w:r w:rsidRPr="000B4D4D">
              <w:rPr>
                <w:szCs w:val="18"/>
              </w:rPr>
              <w:t>1. Ouders helpen de zorgtaken eerlijker te verdelen.</w:t>
            </w:r>
          </w:p>
        </w:tc>
      </w:tr>
      <w:tr w:rsidRPr="000B4D4D" w:rsidR="007D3628" w:rsidTr="00800A85" w14:paraId="5BB12965"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6CCCEA14" w14:textId="77777777">
            <w:pPr>
              <w:numPr>
                <w:ilvl w:val="0"/>
                <w:numId w:val="10"/>
              </w:numPr>
              <w:ind w:left="360"/>
              <w:rPr>
                <w:szCs w:val="18"/>
                <w:lang w:val="en-US"/>
              </w:rPr>
            </w:pPr>
            <w:r w:rsidRPr="000B4D4D">
              <w:rPr>
                <w:szCs w:val="18"/>
                <w:lang w:val="en-US"/>
              </w:rPr>
              <w:t>Healthy, safe and well-adapted work environment and data protection</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0C3CF08A" w14:textId="77777777">
            <w:pPr>
              <w:rPr>
                <w:szCs w:val="18"/>
              </w:rPr>
            </w:pPr>
            <w:r w:rsidRPr="000B4D4D">
              <w:rPr>
                <w:szCs w:val="18"/>
              </w:rPr>
              <w:t>1. Herziene aanvullende risicobeoordeling en -evaluatie (</w:t>
            </w:r>
            <w:r w:rsidRPr="000B4D4D">
              <w:rPr>
                <w:i/>
                <w:szCs w:val="18"/>
              </w:rPr>
              <w:t>ARIE-regeling</w:t>
            </w:r>
            <w:r w:rsidRPr="000B4D4D">
              <w:rPr>
                <w:szCs w:val="18"/>
              </w:rPr>
              <w:t xml:space="preserve">) </w:t>
            </w:r>
          </w:p>
          <w:p w:rsidRPr="000B4D4D" w:rsidR="007D3628" w:rsidP="007A1FCF" w:rsidRDefault="007D3628" w14:paraId="18E48792" w14:textId="77777777">
            <w:pPr>
              <w:rPr>
                <w:szCs w:val="18"/>
              </w:rPr>
            </w:pPr>
            <w:r w:rsidRPr="000B4D4D">
              <w:rPr>
                <w:szCs w:val="18"/>
              </w:rPr>
              <w:t>2. Subsidie voor langdurige arbeidsparticipatie (</w:t>
            </w:r>
            <w:r w:rsidRPr="000B4D4D">
              <w:rPr>
                <w:i/>
                <w:szCs w:val="18"/>
              </w:rPr>
              <w:t>Duurzame inzetbaarheid</w:t>
            </w:r>
            <w:r w:rsidRPr="000B4D4D">
              <w:rPr>
                <w:szCs w:val="18"/>
              </w:rPr>
              <w:t xml:space="preserve">) </w:t>
            </w:r>
          </w:p>
          <w:p w:rsidRPr="000B4D4D" w:rsidR="007D3628" w:rsidP="007A1FCF" w:rsidRDefault="007D3628" w14:paraId="1231B0AD" w14:textId="77777777">
            <w:pPr>
              <w:rPr>
                <w:szCs w:val="18"/>
              </w:rPr>
            </w:pPr>
            <w:r w:rsidRPr="000B4D4D">
              <w:rPr>
                <w:szCs w:val="18"/>
              </w:rPr>
              <w:t>3. Voortdurende actualisering van de lijst van werken met kankerverwekkende, mutagene en reprotoxische stoffen</w:t>
            </w:r>
          </w:p>
          <w:p w:rsidRPr="000B4D4D" w:rsidR="007D3628" w:rsidP="007A1FCF" w:rsidRDefault="007D3628" w14:paraId="17539F03" w14:textId="77777777">
            <w:pPr>
              <w:rPr>
                <w:szCs w:val="18"/>
                <w:lang w:val="en-US"/>
              </w:rPr>
            </w:pPr>
            <w:r w:rsidRPr="000B4D4D">
              <w:rPr>
                <w:szCs w:val="18"/>
                <w:lang w:val="en-US"/>
              </w:rPr>
              <w:t>4. Arbovisie 2040</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E07F879" w14:textId="77777777">
            <w:pPr>
              <w:rPr>
                <w:szCs w:val="18"/>
              </w:rPr>
            </w:pPr>
            <w:r w:rsidRPr="000B4D4D">
              <w:rPr>
                <w:szCs w:val="18"/>
              </w:rPr>
              <w:t>1. Sinds 1 januari 2023 is de herziene regeling aanvullende risicobeoordeling en -evaluatie (</w:t>
            </w:r>
            <w:r w:rsidRPr="000B4D4D">
              <w:rPr>
                <w:i/>
                <w:szCs w:val="18"/>
              </w:rPr>
              <w:t>ARIE-regeling</w:t>
            </w:r>
            <w:r w:rsidRPr="000B4D4D">
              <w:rPr>
                <w:szCs w:val="18"/>
              </w:rPr>
              <w:t xml:space="preserve">) van kracht. Dit heeft gevolgen voor ondernemingen die reeds onderworpen waren aan ARIE en voor ondernemingen die als gevolg van de herziene verordening onderworpen worden aan ARIE. </w:t>
            </w:r>
          </w:p>
          <w:p w:rsidRPr="000B4D4D" w:rsidR="007D3628" w:rsidP="007A1FCF" w:rsidRDefault="007D3628" w14:paraId="12D4379D" w14:textId="77777777">
            <w:pPr>
              <w:rPr>
                <w:szCs w:val="18"/>
              </w:rPr>
            </w:pPr>
            <w:r w:rsidRPr="000B4D4D">
              <w:rPr>
                <w:szCs w:val="18"/>
              </w:rPr>
              <w:t xml:space="preserve">2. Vanaf september 2023 kunnen bedrijven subsidie aanvragen om de participatie van hun werknemers op de arbeidsmarkt te verlengen. </w:t>
            </w:r>
          </w:p>
          <w:p w:rsidRPr="000B4D4D" w:rsidR="007D3628" w:rsidP="007A1FCF" w:rsidRDefault="007D3628" w14:paraId="72664D09" w14:textId="77777777">
            <w:pPr>
              <w:rPr>
                <w:szCs w:val="18"/>
              </w:rPr>
            </w:pPr>
            <w:r w:rsidRPr="000B4D4D">
              <w:rPr>
                <w:szCs w:val="18"/>
              </w:rPr>
              <w:t>3. Er wordt een bijgewerkte versie van de lijst van kankerverwekkende, mutagene en reprotoxische stoffen gepubliceerd. Het ministerie van Sociale Zaken en Werkgelegenheid publiceert twee keer per jaar een geactualiseerde lijst.</w:t>
            </w:r>
          </w:p>
          <w:p w:rsidRPr="000B4D4D" w:rsidR="007D3628" w:rsidP="007A1FCF" w:rsidRDefault="007D3628" w14:paraId="59A64BA7" w14:textId="56F9FCDB">
            <w:pPr>
              <w:rPr>
                <w:szCs w:val="18"/>
              </w:rPr>
            </w:pPr>
            <w:r w:rsidRPr="000B4D4D">
              <w:rPr>
                <w:szCs w:val="18"/>
              </w:rPr>
              <w:t xml:space="preserve">4. De </w:t>
            </w:r>
            <w:hyperlink w:history="1" r:id="rId17">
              <w:r w:rsidRPr="000B4D4D">
                <w:rPr>
                  <w:rStyle w:val="Hyperlink"/>
                  <w:szCs w:val="18"/>
                </w:rPr>
                <w:t>Arbovisie 2040</w:t>
              </w:r>
            </w:hyperlink>
            <w:r w:rsidRPr="000B4D4D">
              <w:rPr>
                <w:szCs w:val="18"/>
              </w:rPr>
              <w:t xml:space="preserve"> brengt een visie op de toekomst met zich mee, in het bijzonder de missie, ambities en doelstellingen op het gebied van arbeidsomstandigheden richting 2040. Met de Arbovisie 2040 wil de Nederlandse overheid ervoor zorgen dat werkenden in Nederland zo gezond en veilig mogelijk werken en geen last krijgen van gezondheidsklachten door hun werk, ook niet na hun pensionering. Bij het ontwerpen van de Arbovisie 2040 werd de staat van de Nederlandse arbeidsmarkt</w:t>
            </w:r>
            <w:r w:rsidRPr="000B4D4D" w:rsidR="00D452B6">
              <w:rPr>
                <w:szCs w:val="18"/>
              </w:rPr>
              <w:t xml:space="preserve"> </w:t>
            </w:r>
            <w:hyperlink w:history="1" r:id="rId18">
              <w:r w:rsidRPr="000B4D4D" w:rsidR="00D452B6">
                <w:rPr>
                  <w:rStyle w:val="Hyperlink"/>
                  <w:szCs w:val="18"/>
                </w:rPr>
                <w:t>geanalyseerd</w:t>
              </w:r>
            </w:hyperlink>
            <w:r w:rsidRPr="000B4D4D">
              <w:rPr>
                <w:szCs w:val="18"/>
              </w:rPr>
              <w:t xml:space="preserve">. De Arbovisie houdt ook rekening met de EU-initiatieven op het gebied </w:t>
            </w:r>
            <w:r w:rsidRPr="000B4D4D">
              <w:rPr>
                <w:szCs w:val="18"/>
              </w:rPr>
              <w:lastRenderedPageBreak/>
              <w:t>van veiligheid en gezondheid op het werk.</w:t>
            </w:r>
          </w:p>
        </w:tc>
      </w:tr>
      <w:tr w:rsidRPr="000B4D4D" w:rsidR="007D3628" w:rsidTr="00800A85" w14:paraId="375B5431"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368DFED4" w14:textId="77777777">
            <w:pPr>
              <w:numPr>
                <w:ilvl w:val="0"/>
                <w:numId w:val="10"/>
              </w:numPr>
              <w:ind w:left="360"/>
              <w:rPr>
                <w:szCs w:val="18"/>
                <w:lang w:val="en-US"/>
              </w:rPr>
            </w:pPr>
            <w:r w:rsidRPr="000B4D4D">
              <w:rPr>
                <w:szCs w:val="18"/>
                <w:lang w:val="en-US"/>
              </w:rPr>
              <w:lastRenderedPageBreak/>
              <w:t>Childcare and support to children</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0075DD84" w14:textId="77777777">
            <w:pPr>
              <w:rPr>
                <w:szCs w:val="18"/>
              </w:rPr>
            </w:pPr>
            <w:r w:rsidRPr="000B4D4D">
              <w:rPr>
                <w:szCs w:val="18"/>
              </w:rPr>
              <w:t xml:space="preserve">1.Hervorming van het kinderopvangstelsel </w:t>
            </w:r>
          </w:p>
          <w:p w:rsidRPr="000B4D4D" w:rsidR="007D3628" w:rsidP="007A1FCF" w:rsidRDefault="007D3628" w14:paraId="44BFC3E8" w14:textId="77777777">
            <w:pPr>
              <w:rPr>
                <w:szCs w:val="18"/>
              </w:rPr>
            </w:pPr>
            <w:r w:rsidRPr="000B4D4D">
              <w:rPr>
                <w:szCs w:val="18"/>
              </w:rPr>
              <w:t>2. Nationaal Plan Kindergarantie</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0BCB628B" w14:textId="77777777">
            <w:pPr>
              <w:rPr>
                <w:szCs w:val="18"/>
              </w:rPr>
            </w:pPr>
            <w:r w:rsidRPr="000B4D4D">
              <w:rPr>
                <w:szCs w:val="18"/>
              </w:rPr>
              <w:t xml:space="preserve">1. Het voor ouders makkelijker maken om werk en zorg te combineren door meer betaalbare en financieel toegankelijke kinderopvang te realiseren. </w:t>
            </w:r>
          </w:p>
          <w:p w:rsidRPr="000B4D4D" w:rsidR="007D3628" w:rsidP="007A1FCF" w:rsidRDefault="007D3628" w14:paraId="14902379" w14:textId="77777777">
            <w:pPr>
              <w:rPr>
                <w:szCs w:val="18"/>
              </w:rPr>
            </w:pPr>
            <w:r w:rsidRPr="000B4D4D">
              <w:rPr>
                <w:szCs w:val="18"/>
              </w:rPr>
              <w:t xml:space="preserve">2. Het nationale plan weerspiegelt de stand van zaken om kinderarmoede te bestrijden en het welzijn van kinderen te bevorderen. Voorbeelden zijn gratis ontbijt op 700 basisscholen, ongeveer 10% van het totale aantal scholen in Nederland, om leerlingen in nood te voeden. In 2023 wordt deze regeling uitgebreid naar meer scholen. Daarnaast steunt de overheid samen met gemeenten en maatschappelijke organisaties programma's die kinderen in staat stellen lid te worden van sportverenigingen en gratis muzieklessen te volgen. Kinderen (0-12 jaar) worden gestimuleerd om regelmatig op controle te gaan. Sommige scholen bieden een 'schooltandarts' aan om de drempel voor kinderen te verlagen. Daarnaast worden er experimenten opgezet met zorgverleners om de betaalbaarheid van tandheelkundige zorg voor kinderen te verbeteren. </w:t>
            </w:r>
          </w:p>
          <w:p w:rsidRPr="000B4D4D" w:rsidR="007D3628" w:rsidP="007A1FCF" w:rsidRDefault="007D3628" w14:paraId="78AD9C8A" w14:textId="77777777">
            <w:pPr>
              <w:rPr>
                <w:szCs w:val="18"/>
              </w:rPr>
            </w:pPr>
          </w:p>
        </w:tc>
      </w:tr>
      <w:tr w:rsidRPr="000B4D4D" w:rsidR="007D3628" w:rsidTr="00800A85" w14:paraId="57E74D65"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45B9B198" w14:textId="77777777">
            <w:pPr>
              <w:numPr>
                <w:ilvl w:val="0"/>
                <w:numId w:val="10"/>
              </w:numPr>
              <w:ind w:left="360"/>
              <w:rPr>
                <w:szCs w:val="18"/>
                <w:lang w:val="en-US"/>
              </w:rPr>
            </w:pPr>
            <w:r w:rsidRPr="000B4D4D">
              <w:rPr>
                <w:szCs w:val="18"/>
              </w:rPr>
              <w:t>Social protection</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FDEED3B" w14:textId="3FBB4A10">
            <w:pPr>
              <w:rPr>
                <w:i/>
                <w:szCs w:val="18"/>
              </w:rPr>
            </w:pPr>
            <w:r w:rsidRPr="000B4D4D">
              <w:rPr>
                <w:szCs w:val="18"/>
              </w:rPr>
              <w:t>1. Verplichte arbeidsongeschiktheidsverzekering voor zelfstandigen (</w:t>
            </w:r>
            <w:r w:rsidRPr="000B4D4D" w:rsidR="00497F39">
              <w:rPr>
                <w:szCs w:val="18"/>
              </w:rPr>
              <w:t xml:space="preserve">HVP, </w:t>
            </w:r>
            <w:r w:rsidRPr="000B4D4D">
              <w:rPr>
                <w:szCs w:val="18"/>
              </w:rPr>
              <w:t xml:space="preserve">36) </w:t>
            </w:r>
          </w:p>
          <w:p w:rsidRPr="000B4D4D" w:rsidR="007D3628" w:rsidP="007A1FCF" w:rsidRDefault="007D3628" w14:paraId="263FE88C" w14:textId="77777777">
            <w:pPr>
              <w:rPr>
                <w:szCs w:val="18"/>
              </w:rPr>
            </w:pPr>
            <w:r w:rsidRPr="000B4D4D">
              <w:rPr>
                <w:szCs w:val="18"/>
              </w:rPr>
              <w:t>2. Participatiewet in Balans</w:t>
            </w:r>
          </w:p>
          <w:p w:rsidRPr="000B4D4D" w:rsidR="007D3628" w:rsidP="007A1FCF" w:rsidRDefault="007D3628" w14:paraId="7CC8FCED" w14:textId="77777777">
            <w:pPr>
              <w:rPr>
                <w:szCs w:val="18"/>
              </w:rPr>
            </w:pPr>
            <w:r w:rsidRPr="000B4D4D">
              <w:rPr>
                <w:szCs w:val="18"/>
              </w:rPr>
              <w:t>3. Actieplan aanpak van schijnzelfstandigheid (38)</w:t>
            </w:r>
          </w:p>
          <w:p w:rsidRPr="000B4D4D" w:rsidR="007D3628" w:rsidP="007A1FCF" w:rsidRDefault="007D3628" w14:paraId="459C0789" w14:textId="77777777">
            <w:pPr>
              <w:rPr>
                <w:szCs w:val="18"/>
              </w:rPr>
            </w:pPr>
            <w:r w:rsidRPr="000B4D4D">
              <w:rPr>
                <w:szCs w:val="18"/>
              </w:rPr>
              <w:t xml:space="preserve"> </w:t>
            </w:r>
          </w:p>
          <w:p w:rsidRPr="000B4D4D" w:rsidR="007D3628" w:rsidP="007A1FCF" w:rsidRDefault="007D3628" w14:paraId="0DD9DAEE" w14:textId="77777777">
            <w:pPr>
              <w:rPr>
                <w:szCs w:val="18"/>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9B08CDD" w14:textId="77777777">
            <w:pPr>
              <w:rPr>
                <w:szCs w:val="18"/>
              </w:rPr>
            </w:pPr>
            <w:r w:rsidRPr="000B4D4D">
              <w:rPr>
                <w:szCs w:val="18"/>
              </w:rPr>
              <w:t>1. Nederland bereidt zich voor op de invoering van een verplichte arbeidsongeschiktheidsverzekering voor zelfstandigen. Het doel is om de sociale bescherming van zelfstandigen te verbeteren.</w:t>
            </w:r>
          </w:p>
          <w:p w:rsidRPr="000B4D4D" w:rsidR="007D3628" w:rsidP="007A1FCF" w:rsidRDefault="007D3628" w14:paraId="0518E12A" w14:textId="77777777">
            <w:pPr>
              <w:rPr>
                <w:szCs w:val="18"/>
              </w:rPr>
            </w:pPr>
            <w:r w:rsidRPr="000B4D4D">
              <w:rPr>
                <w:szCs w:val="18"/>
              </w:rPr>
              <w:t xml:space="preserve">2. De Participatiewet wordt eenvoudiger van opzet en gebruik en biedt mensen passende ondersteuning om mee te doen in de samenleving, met rechten en plichten die zinvol en begrijpelijk zijn. </w:t>
            </w:r>
          </w:p>
          <w:p w:rsidRPr="000B4D4D" w:rsidR="007D3628" w:rsidP="007A1FCF" w:rsidRDefault="007D3628" w14:paraId="2682CADF" w14:textId="77777777">
            <w:pPr>
              <w:rPr>
                <w:szCs w:val="18"/>
              </w:rPr>
            </w:pPr>
            <w:r w:rsidRPr="000B4D4D">
              <w:rPr>
                <w:szCs w:val="18"/>
              </w:rPr>
              <w:t>3. Het doel van de hervorming Aanpak schijnzelfstandigheid is het terugdringen van schijnzelfstandigheid.</w:t>
            </w:r>
          </w:p>
          <w:p w:rsidRPr="000B4D4D" w:rsidR="007D3628" w:rsidP="007A1FCF" w:rsidRDefault="007D3628" w14:paraId="02AD92D9" w14:textId="77777777">
            <w:pPr>
              <w:rPr>
                <w:szCs w:val="18"/>
              </w:rPr>
            </w:pPr>
          </w:p>
        </w:tc>
      </w:tr>
      <w:tr w:rsidRPr="000B4D4D" w:rsidR="007D3628" w:rsidTr="00800A85" w14:paraId="29351D7D"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5F910F3B" w14:textId="77777777">
            <w:pPr>
              <w:numPr>
                <w:ilvl w:val="0"/>
                <w:numId w:val="10"/>
              </w:numPr>
              <w:ind w:left="360"/>
              <w:rPr>
                <w:szCs w:val="18"/>
                <w:lang w:val="en-US"/>
              </w:rPr>
            </w:pPr>
            <w:r w:rsidRPr="000B4D4D">
              <w:rPr>
                <w:szCs w:val="18"/>
              </w:rPr>
              <w:t>Unemployment benefits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B023EB9" w14:textId="77777777">
            <w:pPr>
              <w:rPr>
                <w:szCs w:val="18"/>
              </w:rPr>
            </w:pPr>
            <w:r w:rsidRPr="000B4D4D">
              <w:rPr>
                <w:szCs w:val="18"/>
              </w:rPr>
              <w:t>1. Simplificatie Werkloosheidswet</w:t>
            </w:r>
          </w:p>
          <w:p w:rsidRPr="000B4D4D" w:rsidR="007D3628" w:rsidP="007A1FCF" w:rsidRDefault="007D3628" w14:paraId="002D1574" w14:textId="77777777">
            <w:pPr>
              <w:rPr>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C9CB93D" w14:textId="77777777">
            <w:pPr>
              <w:rPr>
                <w:szCs w:val="18"/>
              </w:rPr>
            </w:pPr>
            <w:r w:rsidRPr="000B4D4D">
              <w:rPr>
                <w:szCs w:val="18"/>
              </w:rPr>
              <w:t xml:space="preserve">1. Op dit moment wordt in opdracht van het ministerie van Sociale Zaken en Werkgelegenheid onderzoek gedaan naar de knelpunten op het gebied van WW-uitkeringen. Het doel van het onderzoek is om vanuit drie verschillende perspectieven, te </w:t>
            </w:r>
            <w:r w:rsidRPr="000B4D4D">
              <w:rPr>
                <w:szCs w:val="18"/>
              </w:rPr>
              <w:lastRenderedPageBreak/>
              <w:t xml:space="preserve">weten de werknemer, de werkgever en de administratieve autoriteiten, inzicht te krijgen in de knelpunten die in het gebruik en de uitvoering van de WW kunnen worden gesignaleerd. </w:t>
            </w:r>
          </w:p>
          <w:p w:rsidRPr="000B4D4D" w:rsidR="007D3628" w:rsidP="007A1FCF" w:rsidRDefault="007D3628" w14:paraId="037B388D" w14:textId="77777777">
            <w:pPr>
              <w:rPr>
                <w:szCs w:val="18"/>
              </w:rPr>
            </w:pPr>
          </w:p>
        </w:tc>
      </w:tr>
      <w:tr w:rsidRPr="000B4D4D" w:rsidR="007D3628" w:rsidTr="00800A85" w14:paraId="2C9035DB"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75B91AF3" w14:textId="77777777">
            <w:pPr>
              <w:numPr>
                <w:ilvl w:val="0"/>
                <w:numId w:val="10"/>
              </w:numPr>
              <w:ind w:left="360"/>
              <w:rPr>
                <w:szCs w:val="18"/>
                <w:lang w:val="en-US"/>
              </w:rPr>
            </w:pPr>
            <w:r w:rsidRPr="000B4D4D">
              <w:rPr>
                <w:szCs w:val="18"/>
              </w:rPr>
              <w:lastRenderedPageBreak/>
              <w:t>Minimum income</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94BD49C" w14:textId="77777777">
            <w:pPr>
              <w:rPr>
                <w:szCs w:val="18"/>
              </w:rPr>
            </w:pPr>
            <w:r w:rsidRPr="000B4D4D">
              <w:rPr>
                <w:szCs w:val="18"/>
              </w:rPr>
              <w:t>1. Aanpak Geldzorgen, Armoede en Schulden</w:t>
            </w:r>
          </w:p>
          <w:p w:rsidRPr="000B4D4D" w:rsidR="007D3628" w:rsidP="007A1FCF" w:rsidRDefault="007D3628" w14:paraId="4D285A16" w14:textId="77777777">
            <w:pPr>
              <w:rPr>
                <w:szCs w:val="18"/>
                <w:lang w:val="en-GB"/>
              </w:rPr>
            </w:pPr>
            <w:r w:rsidRPr="000B4D4D">
              <w:rPr>
                <w:szCs w:val="18"/>
                <w:lang w:val="en-GB"/>
              </w:rPr>
              <w:t>2. Participatiewet in Balans</w:t>
            </w:r>
          </w:p>
          <w:p w:rsidRPr="000B4D4D" w:rsidR="007D3628" w:rsidP="007A1FCF" w:rsidRDefault="007D3628" w14:paraId="2014C9AC" w14:textId="77777777">
            <w:pPr>
              <w:rPr>
                <w:szCs w:val="18"/>
                <w:lang w:val="en-GB"/>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889907E" w14:textId="77777777">
            <w:pPr>
              <w:rPr>
                <w:szCs w:val="18"/>
              </w:rPr>
            </w:pPr>
            <w:r w:rsidRPr="000B4D4D">
              <w:rPr>
                <w:szCs w:val="18"/>
              </w:rPr>
              <w:t>1. Voor de zomer van 2025 wordt een nationaal plan voor schuld en armoede gelanceerd. Bovendien heeft Nederland onlangs een nieuwe armoededefinitie gelanceerd, die het resultaat is van een samenwerking tussen drie onafhankelijke autoriteiten.</w:t>
            </w:r>
          </w:p>
          <w:p w:rsidRPr="000B4D4D" w:rsidR="007D3628" w:rsidP="007A1FCF" w:rsidRDefault="007D3628" w14:paraId="307916C7" w14:textId="77777777">
            <w:pPr>
              <w:rPr>
                <w:szCs w:val="18"/>
              </w:rPr>
            </w:pPr>
            <w:r w:rsidRPr="000B4D4D">
              <w:rPr>
                <w:szCs w:val="18"/>
              </w:rPr>
              <w:t xml:space="preserve">2. De Participatiewet wordt eenvoudiger van opzet en gebruik en biedt mensen passende ondersteuning om mee te doen in de samenleving, met rechten en plichten die zinvol en begrijpelijk zijn. </w:t>
            </w:r>
          </w:p>
          <w:p w:rsidRPr="000B4D4D" w:rsidR="007D3628" w:rsidP="007A1FCF" w:rsidRDefault="007D3628" w14:paraId="306BA470" w14:textId="77777777">
            <w:pPr>
              <w:rPr>
                <w:szCs w:val="18"/>
              </w:rPr>
            </w:pPr>
          </w:p>
        </w:tc>
      </w:tr>
      <w:tr w:rsidRPr="000B4D4D" w:rsidR="007D3628" w:rsidTr="00800A85" w14:paraId="1569E326"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336ECBE1" w14:textId="77777777">
            <w:pPr>
              <w:numPr>
                <w:ilvl w:val="0"/>
                <w:numId w:val="10"/>
              </w:numPr>
              <w:ind w:left="360"/>
              <w:rPr>
                <w:szCs w:val="18"/>
                <w:lang w:val="en-US"/>
              </w:rPr>
            </w:pPr>
            <w:r w:rsidRPr="000B4D4D">
              <w:rPr>
                <w:szCs w:val="18"/>
                <w:lang w:val="en-US"/>
              </w:rPr>
              <w:t>Old age income and pensions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C904EDB" w14:textId="77777777">
            <w:pPr>
              <w:rPr>
                <w:szCs w:val="18"/>
              </w:rPr>
            </w:pPr>
            <w:r w:rsidRPr="000B4D4D">
              <w:rPr>
                <w:szCs w:val="18"/>
              </w:rPr>
              <w:t>1. Wet Toekomst Pensioenen (60)</w:t>
            </w:r>
          </w:p>
          <w:p w:rsidRPr="000B4D4D" w:rsidR="007D3628" w:rsidP="007A1FCF" w:rsidRDefault="007D3628" w14:paraId="072DF26A" w14:textId="77777777">
            <w:pPr>
              <w:rPr>
                <w:szCs w:val="18"/>
              </w:rPr>
            </w:pPr>
            <w:r w:rsidRPr="000B4D4D">
              <w:rPr>
                <w:szCs w:val="18"/>
              </w:rPr>
              <w:t xml:space="preserve">2. Experimenteren met tweedepijlerpensioen voor zelfstandigen </w:t>
            </w:r>
          </w:p>
          <w:p w:rsidRPr="000B4D4D" w:rsidR="007D3628" w:rsidP="007A1FCF" w:rsidRDefault="007D3628" w14:paraId="08B99198" w14:textId="77777777">
            <w:pPr>
              <w:rPr>
                <w:szCs w:val="18"/>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21339D4" w14:textId="77777777">
            <w:pPr>
              <w:pStyle w:val="Default"/>
              <w:rPr>
                <w:rFonts w:ascii="Verdana" w:hAnsi="Verdana"/>
                <w:color w:val="auto"/>
                <w:sz w:val="18"/>
                <w:szCs w:val="18"/>
              </w:rPr>
            </w:pPr>
            <w:r w:rsidRPr="000B4D4D">
              <w:rPr>
                <w:rFonts w:ascii="Verdana" w:hAnsi="Verdana"/>
                <w:color w:val="auto"/>
                <w:sz w:val="18"/>
                <w:szCs w:val="18"/>
              </w:rPr>
              <w:t xml:space="preserve">1. Na een kaderakkoord over de algemene beginselen voor de pensioenhervorming in 2019 bereikten de regering en de sociale partners in juni 2020 overeenstemming over een nieuwe contractstructuur van de tweede pijler. In het algemeen is de hervorming bedoeld om de belangrijkste kwetsbaarheden van het pensioenstelsel aan te pakken. Na rijp beraad heeft de Tweede Kamer op 22 december 2022 ingestemd met de Wet toekomst pensioenen. De wet moet nog worden aangenomen door de Eerste Kamer. De wet zal naar verwachting op 1 juli 2023 in werking treden. </w:t>
            </w:r>
          </w:p>
          <w:p w:rsidRPr="000B4D4D" w:rsidR="007D3628" w:rsidP="007A1FCF" w:rsidRDefault="007D3628" w14:paraId="469E4A0A" w14:textId="77777777">
            <w:pPr>
              <w:pStyle w:val="Default"/>
              <w:rPr>
                <w:rFonts w:ascii="Verdana" w:hAnsi="Verdana"/>
                <w:color w:val="auto"/>
                <w:sz w:val="18"/>
                <w:szCs w:val="18"/>
              </w:rPr>
            </w:pPr>
            <w:r w:rsidRPr="000B4D4D">
              <w:rPr>
                <w:rFonts w:ascii="Verdana" w:hAnsi="Verdana"/>
                <w:color w:val="auto"/>
                <w:sz w:val="18"/>
                <w:szCs w:val="18"/>
              </w:rPr>
              <w:t xml:space="preserve">2. De overheid wil via experimenten een bredere pensioenopbouw in de tweede pijler mogelijk maken voor zelfstandigen. Aan de hand van de pilootwetgeving (die deel uitmaakt van de Wet op de toekomst van de pensioenen) kan worden nagegaan of en op welke manier in de tweede pijler ruimere en toegankelijkere mogelijkheden kunnen worden gecreëerd voor zelfstandigen om een betere pensioenopbouw te realiseren en zo de inkomensdaling bij pensionering voor deze groep te beperken. </w:t>
            </w:r>
          </w:p>
          <w:p w:rsidRPr="000B4D4D" w:rsidR="007D3628" w:rsidP="007A1FCF" w:rsidRDefault="007D3628" w14:paraId="418B3B2C" w14:textId="77777777">
            <w:pPr>
              <w:rPr>
                <w:szCs w:val="18"/>
              </w:rPr>
            </w:pPr>
          </w:p>
        </w:tc>
      </w:tr>
      <w:tr w:rsidRPr="000B4D4D" w:rsidR="007D3628" w:rsidTr="00800A85" w14:paraId="64EE04DB"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1A3BEC51" w14:textId="77777777">
            <w:pPr>
              <w:numPr>
                <w:ilvl w:val="0"/>
                <w:numId w:val="10"/>
              </w:numPr>
              <w:ind w:left="360"/>
              <w:rPr>
                <w:szCs w:val="18"/>
                <w:lang w:val="en-US"/>
              </w:rPr>
            </w:pPr>
            <w:r w:rsidRPr="000B4D4D">
              <w:rPr>
                <w:szCs w:val="18"/>
              </w:rPr>
              <w:t>Health care</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07E5AC28" w14:textId="77777777">
            <w:pPr>
              <w:rPr>
                <w:szCs w:val="18"/>
              </w:rPr>
            </w:pPr>
            <w:r w:rsidRPr="000B4D4D">
              <w:rPr>
                <w:szCs w:val="18"/>
              </w:rPr>
              <w:t>1. Toekomstagenda zorg voor mensen met een beperking</w:t>
            </w:r>
          </w:p>
          <w:p w:rsidRPr="000B4D4D" w:rsidR="007D3628" w:rsidP="007A1FCF" w:rsidRDefault="007D3628" w14:paraId="110A2E03" w14:textId="77777777">
            <w:pPr>
              <w:rPr>
                <w:szCs w:val="18"/>
              </w:rPr>
            </w:pPr>
            <w:r w:rsidRPr="000B4D4D">
              <w:rPr>
                <w:szCs w:val="18"/>
              </w:rPr>
              <w:t>2. Nationale Zorgreserve</w:t>
            </w:r>
          </w:p>
          <w:p w:rsidRPr="000B4D4D" w:rsidR="007D3628" w:rsidP="007A1FCF" w:rsidRDefault="007D3628" w14:paraId="4E93D466" w14:textId="77777777">
            <w:pPr>
              <w:rPr>
                <w:szCs w:val="18"/>
              </w:rPr>
            </w:pPr>
            <w:r w:rsidRPr="000B4D4D">
              <w:rPr>
                <w:szCs w:val="18"/>
              </w:rPr>
              <w:lastRenderedPageBreak/>
              <w:t>3. Kennisinfrastructuur langdurige zorg</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8482672" w14:textId="77777777">
            <w:pPr>
              <w:rPr>
                <w:szCs w:val="18"/>
              </w:rPr>
            </w:pPr>
            <w:r w:rsidRPr="000B4D4D">
              <w:rPr>
                <w:szCs w:val="18"/>
              </w:rPr>
              <w:lastRenderedPageBreak/>
              <w:t xml:space="preserve">1. Een betere gezondheid voor mensen met een beperking betekent dat zij een zinvol leven </w:t>
            </w:r>
            <w:r w:rsidRPr="000B4D4D">
              <w:rPr>
                <w:szCs w:val="18"/>
              </w:rPr>
              <w:lastRenderedPageBreak/>
              <w:t>kunnen leiden door de inzet van zorg en ondersteuning. De Toekomstagenda werkt aan innovatie in de gehandicaptenzorg, meer aandacht voor eigen regie en meer inzet van technologie, zodat passende zorg ook in de toekomst beschikbaar blijft.</w:t>
            </w:r>
          </w:p>
          <w:p w:rsidRPr="000B4D4D" w:rsidR="007D3628" w:rsidP="007A1FCF" w:rsidRDefault="007D3628" w14:paraId="22F7B1A4" w14:textId="77777777">
            <w:pPr>
              <w:rPr>
                <w:szCs w:val="18"/>
              </w:rPr>
            </w:pPr>
            <w:r w:rsidRPr="000B4D4D">
              <w:rPr>
                <w:szCs w:val="18"/>
              </w:rPr>
              <w:t>2. Begin vorig jaar heeft het ministerie van VWS na een aanbestedingsprocedure voor de komende 3-5 jaar aan Stichting ExtraZorg Samen een contract en middelen gegund om een professionele en toekomstbestendige reservemacht te creëren. Het doel is om deze strijdmacht te laten groeien naar 5.000 direct inzetbare zorgreservisten. De reservisten kunnen in tijden van crisis direct worden ingezet en bijdragen aan het blijven leveren van voldoende en kwalitatief goede zorg, ook in tijden van crisis, wanneer de zorgvraag toeneemt. Op deze manier draagt de NZR bij aan het doel om een goede gezondheid voor mensen te waarborgen, ook in tijden van crisis.</w:t>
            </w:r>
          </w:p>
          <w:p w:rsidRPr="000B4D4D" w:rsidR="007D3628" w:rsidP="007A1FCF" w:rsidRDefault="007D3628" w14:paraId="1366AC55" w14:textId="77777777">
            <w:pPr>
              <w:rPr>
                <w:szCs w:val="18"/>
              </w:rPr>
            </w:pPr>
            <w:r w:rsidRPr="000B4D4D">
              <w:rPr>
                <w:szCs w:val="18"/>
              </w:rPr>
              <w:t>3. In de kennisinfrastructuur langdurige zorg wordt kennis ontwikkeld zodat zorgaanbieders in de wet langdurige zorg beter weten wat zij moeten doen om cliënten te helpen een goede kwaliteit van leven te realiseren. Op deze manier draagt de maatregel bij aan de kwaliteit van de zorg.</w:t>
            </w:r>
          </w:p>
        </w:tc>
      </w:tr>
      <w:tr w:rsidRPr="000B4D4D" w:rsidR="007D3628" w:rsidTr="00800A85" w14:paraId="0B7A3B62"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1A3D2672" w14:textId="77777777">
            <w:pPr>
              <w:numPr>
                <w:ilvl w:val="0"/>
                <w:numId w:val="10"/>
              </w:numPr>
              <w:ind w:left="360"/>
              <w:rPr>
                <w:szCs w:val="18"/>
                <w:lang w:val="en-US"/>
              </w:rPr>
            </w:pPr>
            <w:r w:rsidRPr="000B4D4D">
              <w:rPr>
                <w:szCs w:val="18"/>
                <w:lang w:val="en-US"/>
              </w:rPr>
              <w:lastRenderedPageBreak/>
              <w:t>Inclusion of people with disabilities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6F89192" w14:textId="77777777">
            <w:pPr>
              <w:rPr>
                <w:szCs w:val="18"/>
              </w:rPr>
            </w:pPr>
            <w:r w:rsidRPr="000B4D4D">
              <w:rPr>
                <w:szCs w:val="18"/>
              </w:rPr>
              <w:t xml:space="preserve">1. Programma voor een inclusieve arbeidsmarkt (39) </w:t>
            </w:r>
          </w:p>
          <w:p w:rsidRPr="000B4D4D" w:rsidR="007D3628" w:rsidP="007A1FCF" w:rsidRDefault="007D3628" w14:paraId="78F563AE" w14:textId="77777777">
            <w:pPr>
              <w:rPr>
                <w:szCs w:val="18"/>
                <w:lang w:val="en-GB"/>
              </w:rPr>
            </w:pPr>
            <w:r w:rsidRPr="000B4D4D">
              <w:rPr>
                <w:szCs w:val="18"/>
                <w:lang w:val="en-GB"/>
              </w:rPr>
              <w:t>2. Wet Breed Offensief (41)</w:t>
            </w:r>
          </w:p>
          <w:p w:rsidRPr="000B4D4D" w:rsidR="007D3628" w:rsidP="007A1FCF" w:rsidRDefault="007D3628" w14:paraId="78FDFBA6" w14:textId="77777777">
            <w:pPr>
              <w:rPr>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2AC0FCF" w14:textId="77777777">
            <w:pPr>
              <w:rPr>
                <w:szCs w:val="18"/>
              </w:rPr>
            </w:pPr>
            <w:r w:rsidRPr="000B4D4D">
              <w:rPr>
                <w:szCs w:val="18"/>
              </w:rPr>
              <w:t>1. Het programma Voor een inclusieve arbeidsmarkt heeft als doel bij te dragen aan een diverse en inclusieve arbeidsmarkt met gelijke kansen en de positie van niet-Europese migranten op de arbeidsmarkt te versterken.</w:t>
            </w:r>
          </w:p>
          <w:p w:rsidRPr="000B4D4D" w:rsidR="007D3628" w:rsidP="007A1FCF" w:rsidRDefault="007D3628" w14:paraId="5DE73F74" w14:textId="77777777">
            <w:pPr>
              <w:rPr>
                <w:szCs w:val="18"/>
              </w:rPr>
            </w:pPr>
            <w:r w:rsidRPr="000B4D4D">
              <w:rPr>
                <w:szCs w:val="18"/>
              </w:rPr>
              <w:t>2. Het doel van het Breed Offensief is het vergroten van de kansen op de arbeidsmarkt voor mensen met een arbeidsbeperking.</w:t>
            </w:r>
          </w:p>
        </w:tc>
      </w:tr>
      <w:tr w:rsidRPr="000B4D4D" w:rsidR="007D3628" w:rsidTr="00800A85" w14:paraId="252A04EB"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6B44C3D7" w14:textId="77777777">
            <w:pPr>
              <w:numPr>
                <w:ilvl w:val="0"/>
                <w:numId w:val="10"/>
              </w:numPr>
              <w:ind w:left="360"/>
              <w:rPr>
                <w:szCs w:val="18"/>
                <w:lang w:val="en-US"/>
              </w:rPr>
            </w:pPr>
            <w:r w:rsidRPr="000B4D4D">
              <w:rPr>
                <w:szCs w:val="18"/>
              </w:rPr>
              <w:t>Long-term care</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819F382" w14:textId="77777777">
            <w:pPr>
              <w:rPr>
                <w:szCs w:val="18"/>
              </w:rPr>
            </w:pPr>
            <w:r w:rsidRPr="000B4D4D">
              <w:rPr>
                <w:szCs w:val="18"/>
              </w:rPr>
              <w:t>1. Programma Wonen, Ondersteuning en Zorg voor Ouderen (30)</w:t>
            </w:r>
          </w:p>
          <w:p w:rsidRPr="000B4D4D" w:rsidR="007D3628" w:rsidP="007A1FCF" w:rsidRDefault="007D3628" w14:paraId="269FAB5A" w14:textId="77777777">
            <w:pPr>
              <w:rPr>
                <w:szCs w:val="18"/>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67D6F77" w14:textId="77777777">
            <w:pPr>
              <w:rPr>
                <w:szCs w:val="18"/>
              </w:rPr>
            </w:pPr>
            <w:r w:rsidRPr="000B4D4D">
              <w:rPr>
                <w:szCs w:val="18"/>
              </w:rPr>
              <w:t>1. De komende jaren wil de overheid ervoor zorgen dat ondersteuning en zorg worden aangepast aan de voorkeuren van zorgcliënten om zo lang mogelijk de regie over hun eigen leven te behouden. Hierdoor kunnen ernstige, complexe zorgvragen zo lang mogelijk worden uitgesteld of zelfs voorkomen.</w:t>
            </w:r>
          </w:p>
        </w:tc>
      </w:tr>
      <w:tr w:rsidRPr="00904E3C" w:rsidR="007D3628" w:rsidTr="00800A85" w14:paraId="468DAE44"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580B794C" w14:textId="77777777">
            <w:pPr>
              <w:numPr>
                <w:ilvl w:val="0"/>
                <w:numId w:val="10"/>
              </w:numPr>
              <w:ind w:left="360"/>
              <w:rPr>
                <w:szCs w:val="18"/>
                <w:lang w:val="en-US"/>
              </w:rPr>
            </w:pPr>
            <w:r w:rsidRPr="000B4D4D">
              <w:rPr>
                <w:szCs w:val="18"/>
                <w:lang w:val="en-US"/>
              </w:rPr>
              <w:lastRenderedPageBreak/>
              <w:t>Housing and assistance for the home less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B392EDA" w14:textId="77777777">
            <w:pPr>
              <w:rPr>
                <w:szCs w:val="18"/>
              </w:rPr>
            </w:pPr>
            <w:r w:rsidRPr="000B4D4D">
              <w:rPr>
                <w:szCs w:val="18"/>
              </w:rPr>
              <w:t>1. Nationaal Actieplan Dakloosheid; Eerst een thuis</w:t>
            </w:r>
          </w:p>
          <w:p w:rsidRPr="000B4D4D" w:rsidR="007D3628" w:rsidP="007A1FCF" w:rsidRDefault="007D3628" w14:paraId="6BC73DA8" w14:textId="57607DFE">
            <w:pPr>
              <w:rPr>
                <w:szCs w:val="18"/>
              </w:rPr>
            </w:pPr>
            <w:r w:rsidRPr="000B4D4D">
              <w:rPr>
                <w:szCs w:val="18"/>
              </w:rPr>
              <w:t xml:space="preserve">2. </w:t>
            </w:r>
            <w:r w:rsidRPr="000B4D4D" w:rsidR="009734A7">
              <w:rPr>
                <w:szCs w:val="18"/>
              </w:rPr>
              <w:t>Actieplan voor kwetsbare dakloze EU-burgers</w:t>
            </w:r>
            <w:r w:rsidRPr="000B4D4D">
              <w:rPr>
                <w:szCs w:val="18"/>
              </w:rPr>
              <w:t xml:space="preserve"> </w:t>
            </w:r>
          </w:p>
          <w:p w:rsidRPr="000B4D4D" w:rsidR="007D3628" w:rsidP="007A1FCF" w:rsidRDefault="007D3628" w14:paraId="5595356A" w14:textId="129B2FE4">
            <w:pPr>
              <w:rPr>
                <w:szCs w:val="18"/>
              </w:rPr>
            </w:pPr>
            <w:r w:rsidRPr="000B4D4D">
              <w:rPr>
                <w:szCs w:val="18"/>
              </w:rPr>
              <w:t xml:space="preserve">3. </w:t>
            </w:r>
            <w:r w:rsidRPr="000B4D4D" w:rsidR="009734A7">
              <w:rPr>
                <w:szCs w:val="18"/>
              </w:rPr>
              <w:t>'Huisvesting voor kwetsbare groepen: een thuis voor iedereen'</w:t>
            </w:r>
          </w:p>
          <w:p w:rsidRPr="000B4D4D" w:rsidR="007D3628" w:rsidP="007A1FCF" w:rsidRDefault="007D3628" w14:paraId="582F0630" w14:textId="49CE07C1">
            <w:pPr>
              <w:rPr>
                <w:szCs w:val="18"/>
                <w:lang w:val="en-US"/>
              </w:rPr>
            </w:pPr>
            <w:r w:rsidRPr="000B4D4D">
              <w:rPr>
                <w:szCs w:val="18"/>
                <w:lang w:val="en-US"/>
              </w:rPr>
              <w:t>4. Nationale Woon- en Bouwagenda</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F0D41BF" w14:textId="77777777">
            <w:pPr>
              <w:rPr>
                <w:szCs w:val="18"/>
              </w:rPr>
            </w:pPr>
            <w:r w:rsidRPr="000B4D4D">
              <w:rPr>
                <w:szCs w:val="18"/>
              </w:rPr>
              <w:t xml:space="preserve">Het 'Nationaal Actieplan: Huisvesting Voorop' (2023-2030) beoogt een paradigmaverschuiving in de manier waarop we naar dakloosheid kijken en ermee omgaan. Hierin wordt de ambitie gesteld om dakloosheid fors en structureel terug te dringen, in lijn met de ambitie van de Verklaring van Lissabon om tegen 2030 een einde te maken aan dakloosheid. Het plan werkt aan deze doelstelling door middel van 6 pijlers: 1) Versterking van de bestaanszekerheid, 2) Preventie, 3) Huisvesting eerst, 4) Versterking van de uitvoeringspraktijk, 5) Kennisbasis op basis van ervaring gedurende de hele beleidscyclus, op nationaal en lokaal niveau, en 6) speciale aandacht voor specifieke groepen (bijv. dakloze jongeren, dakloze LGBTIQ+-mensen en dakloze EU-burgers). </w:t>
            </w:r>
          </w:p>
          <w:p w:rsidRPr="000B4D4D" w:rsidR="007D3628" w:rsidP="007A1FCF" w:rsidRDefault="007D3628" w14:paraId="5A9FFBDA" w14:textId="237A3116">
            <w:pPr>
              <w:rPr>
                <w:szCs w:val="18"/>
                <w:lang w:val="en-US"/>
              </w:rPr>
            </w:pPr>
            <w:r w:rsidRPr="000B4D4D">
              <w:rPr>
                <w:szCs w:val="18"/>
              </w:rPr>
              <w:t xml:space="preserve">2. In dit actieplan wordt voorgesteld de doelgroep van kwetsbare dakloze EU-burgers te differentiëren in drie groepen met een eigen aanpak. Deze verdeling betekent dat de overheid kan helpen door bescherming te bieden door middel van tijdelijke opvang in combinatie met het bieden van perspectief op werk of een terugkeer naar huis. </w:t>
            </w:r>
            <w:r w:rsidRPr="000B4D4D" w:rsidR="009734A7">
              <w:rPr>
                <w:szCs w:val="18"/>
              </w:rPr>
              <w:br/>
            </w:r>
            <w:r w:rsidRPr="000B4D4D">
              <w:rPr>
                <w:szCs w:val="18"/>
              </w:rPr>
              <w:t xml:space="preserve">3. Het programma 'Huisvesting voor kwetsbare groepen: een thuis voor iedereen' is een intergouvernementeel programma dat zich richt op de huisvesting van kwetsbare groepen. Dak- en thuislozen, jongeren en volwassenen behoren tot de kwetsbare groepen binnen dit programma. Uitgangspunt hierbij is dat er naast afspraken rondom huisvesting ook afspraken worden gemaakt over de zorg en ondersteuning die nodig is. Want voor een aantal kwetsbare groepen zijn zorg en ondersteuning een voorwaarde om zelfstandig te kunnen wonen. </w:t>
            </w:r>
            <w:r w:rsidRPr="000B4D4D" w:rsidR="009734A7">
              <w:rPr>
                <w:szCs w:val="18"/>
              </w:rPr>
              <w:br/>
            </w:r>
            <w:r w:rsidRPr="000B4D4D">
              <w:rPr>
                <w:szCs w:val="18"/>
              </w:rPr>
              <w:t xml:space="preserve">4. De Nationale Woning- en Bouwagenda heeft als doel om in 2030 900.000 woningen te bouwen. Van de in totaal 900.000 woningen zal tweederde betaalbaar zijn, waarvan 350.000 huur- en koopwoningen voor mensen met een middeninkomen. </w:t>
            </w:r>
            <w:r w:rsidRPr="000B4D4D">
              <w:rPr>
                <w:szCs w:val="18"/>
              </w:rPr>
              <w:lastRenderedPageBreak/>
              <w:t xml:space="preserve">Daarnaast is het streven dat corporaties tot en met 2030 in totaal 250.000 nieuwe sociale huurwoningen bouwen, in het kader van de behoefte aan passende woningen voor mensen met een laag inkomen, waaronder daklozen 9 personen. Ook is er aandacht voor het bereiken van een grotere balans in de woningvoorraad, met als doelstelling 30% sociale huurwoningen. </w:t>
            </w:r>
            <w:r w:rsidRPr="000B4D4D">
              <w:rPr>
                <w:szCs w:val="18"/>
                <w:lang w:val="en-US"/>
              </w:rPr>
              <w:t>Dit betekent dat, bij het bouwen van nieuwe gehuurde sociale housing, municipalities with less than 30% rented social housing in their existing housing stock must contribute to this ambition.</w:t>
            </w:r>
          </w:p>
        </w:tc>
      </w:tr>
      <w:tr w:rsidRPr="000B4D4D" w:rsidR="007D3628" w:rsidTr="00800A85" w14:paraId="3FE7B611"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D3628" w:rsidRDefault="007D3628" w14:paraId="446338E6" w14:textId="77777777">
            <w:pPr>
              <w:numPr>
                <w:ilvl w:val="0"/>
                <w:numId w:val="10"/>
              </w:numPr>
              <w:ind w:left="360"/>
              <w:rPr>
                <w:szCs w:val="18"/>
                <w:lang w:val="en-US"/>
              </w:rPr>
            </w:pPr>
            <w:r w:rsidRPr="000B4D4D">
              <w:rPr>
                <w:szCs w:val="18"/>
              </w:rPr>
              <w:lastRenderedPageBreak/>
              <w:t>Access to essential services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2D8AB35C" w14:textId="214B67EB">
            <w:pPr>
              <w:rPr>
                <w:szCs w:val="18"/>
                <w:lang w:val="en-US"/>
              </w:rPr>
            </w:pPr>
            <w:r w:rsidRPr="000B4D4D">
              <w:rPr>
                <w:szCs w:val="18"/>
                <w:lang w:val="en-US"/>
              </w:rPr>
              <w:t>1. SectorplanPlus</w:t>
            </w:r>
            <w:r w:rsidRPr="000B4D4D" w:rsidR="000A1A04">
              <w:rPr>
                <w:szCs w:val="18"/>
                <w:lang w:val="en-US"/>
              </w:rPr>
              <w:t xml:space="preserve"> (26)</w:t>
            </w:r>
          </w:p>
          <w:p w:rsidRPr="000B4D4D" w:rsidR="007D3628" w:rsidP="007A1FCF" w:rsidRDefault="007D3628" w14:paraId="3D0FA82A" w14:textId="3D3ABDEE">
            <w:pPr>
              <w:rPr>
                <w:szCs w:val="18"/>
                <w:lang w:val="en-US"/>
              </w:rPr>
            </w:pPr>
            <w:r w:rsidRPr="000B4D4D">
              <w:rPr>
                <w:szCs w:val="18"/>
                <w:lang w:val="en-US"/>
              </w:rPr>
              <w:t>2. Kennisinfrastructuur langdurige zorg</w:t>
            </w:r>
            <w:r w:rsidRPr="000B4D4D" w:rsidR="000A1A04">
              <w:rPr>
                <w:szCs w:val="18"/>
                <w:lang w:val="en-US"/>
              </w:rPr>
              <w:t xml:space="preserve"> (34)</w:t>
            </w:r>
          </w:p>
          <w:p w:rsidRPr="000B4D4D" w:rsidR="007D3628" w:rsidP="007A1FCF" w:rsidRDefault="007D3628" w14:paraId="1CB321A3" w14:textId="77777777">
            <w:pPr>
              <w:rPr>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F1E1D8B" w14:textId="77777777">
            <w:pPr>
              <w:rPr>
                <w:szCs w:val="18"/>
              </w:rPr>
            </w:pPr>
            <w:r w:rsidRPr="000B4D4D">
              <w:rPr>
                <w:szCs w:val="18"/>
              </w:rPr>
              <w:t>1. SectorplanPlus is een meerjarige subsidie van het ministerie van VWS voor werkgevers in Zorg en Welzijn om een extra impuls te geven aan opleidingsprojecten die gericht zijn op nieuwe instroom, scholing of behoud van medewerkers in zorg en welzijn. Het opleiden van medewerkers in de gezondheidszorg draagt bij aan de doelstellingen voor duurzame ontwikkeling door de kwaliteit van de zorg te verbeteren, wat essentieel is voor een goede gezondheid.</w:t>
            </w:r>
          </w:p>
          <w:p w:rsidRPr="000B4D4D" w:rsidR="007D3628" w:rsidP="007A1FCF" w:rsidRDefault="007D3628" w14:paraId="6160213B" w14:textId="77777777">
            <w:pPr>
              <w:rPr>
                <w:szCs w:val="18"/>
              </w:rPr>
            </w:pPr>
            <w:r w:rsidRPr="000B4D4D">
              <w:rPr>
                <w:szCs w:val="18"/>
              </w:rPr>
              <w:t>2. In de kennisinfrastructuur langdurige zorg wordt kennis ontwikkeld zodat zorgaanbieders in de Wlz-zorg beter weten wat zij moeten doen om cliënten te helpen een goede kwaliteit van leven te realiseren. Op deze manier draagt de maatregel bij aan de kwaliteit van de zorg.</w:t>
            </w:r>
          </w:p>
        </w:tc>
      </w:tr>
    </w:tbl>
    <w:p w:rsidRPr="000B4D4D" w:rsidR="00E75319" w:rsidP="007D3628" w:rsidRDefault="00E75319" w14:paraId="70EF3252" w14:textId="77777777">
      <w:pPr>
        <w:rPr>
          <w:rFonts w:eastAsia="Verdana" w:cs="Verdana"/>
          <w:szCs w:val="18"/>
        </w:rPr>
      </w:pPr>
    </w:p>
    <w:p w:rsidRPr="001E6863" w:rsidR="007D3628" w:rsidP="007D3628" w:rsidRDefault="007D3628" w14:paraId="5A5E41B8" w14:textId="3A55A6E8">
      <w:pPr>
        <w:rPr>
          <w:i/>
          <w:iCs/>
          <w:szCs w:val="18"/>
        </w:rPr>
      </w:pPr>
      <w:r w:rsidRPr="001E6863">
        <w:rPr>
          <w:i/>
          <w:iCs/>
          <w:szCs w:val="18"/>
        </w:rPr>
        <w:t xml:space="preserve">Tabel </w:t>
      </w:r>
      <w:r w:rsidRPr="001E6863" w:rsidR="00EA5D9F">
        <w:rPr>
          <w:i/>
          <w:iCs/>
          <w:szCs w:val="18"/>
        </w:rPr>
        <w:t>11</w:t>
      </w:r>
      <w:r w:rsidRPr="001E6863">
        <w:rPr>
          <w:i/>
          <w:iCs/>
          <w:szCs w:val="18"/>
        </w:rPr>
        <w:t>: Rapporteren op de SDG’s: beschrijving van voornaamste maatregelen en de geschatte impact.</w:t>
      </w:r>
    </w:p>
    <w:tbl>
      <w:tblPr>
        <w:tblStyle w:val="Tabelraster"/>
        <w:tblW w:w="9661" w:type="dxa"/>
        <w:tblLook w:val="04A0" w:firstRow="1" w:lastRow="0" w:firstColumn="1" w:lastColumn="0" w:noHBand="0" w:noVBand="1"/>
      </w:tblPr>
      <w:tblGrid>
        <w:gridCol w:w="2907"/>
        <w:gridCol w:w="3377"/>
        <w:gridCol w:w="3377"/>
      </w:tblGrid>
      <w:tr w:rsidRPr="000B4D4D" w:rsidR="007D3628" w:rsidTr="00D2195D" w14:paraId="4165461F" w14:textId="77777777">
        <w:trPr>
          <w:trHeight w:val="623"/>
        </w:trPr>
        <w:tc>
          <w:tcPr>
            <w:tcW w:w="32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0B4D4D" w:rsidR="007D3628" w:rsidP="002F36C1" w:rsidRDefault="007D3628" w14:paraId="6D0C221B" w14:textId="77777777">
            <w:pPr>
              <w:spacing w:after="160" w:line="259" w:lineRule="auto"/>
              <w:rPr>
                <w:b/>
                <w:color w:val="FFFFFF" w:themeColor="background1"/>
                <w:szCs w:val="18"/>
                <w:lang w:val="en-US"/>
              </w:rPr>
            </w:pPr>
            <w:r w:rsidRPr="000B4D4D">
              <w:rPr>
                <w:b/>
                <w:color w:val="FFFFFF" w:themeColor="background1"/>
                <w:szCs w:val="18"/>
                <w:lang w:val="en-US"/>
              </w:rPr>
              <w:t>SDG</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0B4D4D" w:rsidR="007D3628" w:rsidP="002F36C1" w:rsidRDefault="007D3628" w14:paraId="05856617" w14:textId="77777777">
            <w:pPr>
              <w:spacing w:after="160" w:line="259" w:lineRule="auto"/>
              <w:rPr>
                <w:b/>
                <w:color w:val="FFFFFF" w:themeColor="background1"/>
                <w:szCs w:val="18"/>
                <w:lang w:val="en-US"/>
              </w:rPr>
            </w:pPr>
            <w:r w:rsidRPr="000B4D4D">
              <w:rPr>
                <w:b/>
                <w:color w:val="FFFFFF" w:themeColor="background1"/>
                <w:szCs w:val="18"/>
                <w:lang w:val="en-US"/>
              </w:rPr>
              <w:t>Maatregel</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0B4D4D" w:rsidR="007D3628" w:rsidP="002F36C1" w:rsidRDefault="007D3628" w14:paraId="69AA32A1" w14:textId="77777777">
            <w:pPr>
              <w:spacing w:after="160" w:line="259" w:lineRule="auto"/>
              <w:rPr>
                <w:b/>
                <w:color w:val="FFFFFF" w:themeColor="background1"/>
                <w:szCs w:val="18"/>
                <w:lang w:val="en-US"/>
              </w:rPr>
            </w:pPr>
            <w:r w:rsidRPr="000B4D4D">
              <w:rPr>
                <w:b/>
                <w:color w:val="FFFFFF" w:themeColor="background1"/>
                <w:szCs w:val="18"/>
                <w:lang w:val="en-US"/>
              </w:rPr>
              <w:t>Geschatte impact van maatregel</w:t>
            </w:r>
          </w:p>
        </w:tc>
      </w:tr>
      <w:tr w:rsidRPr="000B4D4D" w:rsidR="007D3628" w:rsidTr="00800A85" w14:paraId="4812987D"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653FE1DC" w14:textId="77777777">
            <w:pPr>
              <w:numPr>
                <w:ilvl w:val="0"/>
                <w:numId w:val="11"/>
              </w:numPr>
              <w:spacing w:after="160" w:line="259" w:lineRule="auto"/>
              <w:rPr>
                <w:szCs w:val="18"/>
                <w:lang w:val="en-US"/>
              </w:rPr>
            </w:pPr>
            <w:r w:rsidRPr="000B4D4D">
              <w:rPr>
                <w:szCs w:val="18"/>
                <w:lang w:val="en-US"/>
              </w:rPr>
              <w:t>No poverty</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EC8A384" w14:textId="04930E41">
            <w:pPr>
              <w:spacing w:after="160" w:line="259" w:lineRule="auto"/>
              <w:rPr>
                <w:szCs w:val="18"/>
              </w:rPr>
            </w:pPr>
            <w:r w:rsidRPr="000B4D4D">
              <w:rPr>
                <w:szCs w:val="18"/>
              </w:rPr>
              <w:t xml:space="preserve">1. </w:t>
            </w:r>
            <w:r w:rsidRPr="000B4D4D" w:rsidR="00E01EC3">
              <w:rPr>
                <w:szCs w:val="18"/>
              </w:rPr>
              <w:t>Nationaal plan voor schuld en armoede</w:t>
            </w:r>
            <w:r w:rsidRPr="000B4D4D">
              <w:rPr>
                <w:szCs w:val="18"/>
              </w:rPr>
              <w:t xml:space="preserve"> (Aanpak Geldzorgen, Armoede en Schulden) </w:t>
            </w:r>
          </w:p>
          <w:p w:rsidRPr="000B4D4D" w:rsidR="007D3628" w:rsidP="002F36C1" w:rsidRDefault="007D3628" w14:paraId="5235DCB0" w14:textId="77777777">
            <w:pPr>
              <w:spacing w:after="160" w:line="259" w:lineRule="auto"/>
              <w:rPr>
                <w:szCs w:val="18"/>
                <w:lang w:val="en-GB"/>
              </w:rPr>
            </w:pPr>
            <w:r w:rsidRPr="000B4D4D">
              <w:rPr>
                <w:szCs w:val="18"/>
                <w:lang w:val="en-GB"/>
              </w:rPr>
              <w:t>2. Participatiewet in Balans</w:t>
            </w:r>
          </w:p>
          <w:p w:rsidRPr="000B4D4D" w:rsidR="007D3628" w:rsidP="007A1FCF" w:rsidRDefault="007D3628" w14:paraId="77602EB1" w14:textId="77777777">
            <w:pPr>
              <w:spacing w:after="160" w:line="259" w:lineRule="auto"/>
              <w:rPr>
                <w:szCs w:val="18"/>
                <w:lang w:val="en-GB"/>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FEC2593" w14:textId="77777777">
            <w:pPr>
              <w:pStyle w:val="Default"/>
              <w:rPr>
                <w:rFonts w:ascii="Verdana" w:hAnsi="Verdana"/>
                <w:color w:val="auto"/>
                <w:sz w:val="18"/>
                <w:szCs w:val="18"/>
              </w:rPr>
            </w:pPr>
            <w:r w:rsidRPr="000B4D4D">
              <w:rPr>
                <w:rFonts w:ascii="Verdana" w:hAnsi="Verdana"/>
                <w:color w:val="auto"/>
                <w:sz w:val="18"/>
                <w:szCs w:val="18"/>
              </w:rPr>
              <w:t>1. Voor de zomer van 2025 wordt een nationaal plan voor schuld en armoede gelanceerd. Bovendien heeft Nederland onlangs een nieuwe armoededefinitie gelanceerd, die het resultaat is van een samenwerking tussen drie onafhankelijke autoriteiten.</w:t>
            </w:r>
          </w:p>
          <w:p w:rsidRPr="000B4D4D" w:rsidR="007D3628" w:rsidP="007A1FCF" w:rsidRDefault="007D3628" w14:paraId="616A5A2F" w14:textId="77777777">
            <w:pPr>
              <w:pStyle w:val="Default"/>
              <w:rPr>
                <w:rFonts w:ascii="Verdana" w:hAnsi="Verdana"/>
                <w:color w:val="auto"/>
                <w:sz w:val="18"/>
                <w:szCs w:val="18"/>
              </w:rPr>
            </w:pPr>
            <w:r w:rsidRPr="000B4D4D">
              <w:rPr>
                <w:rFonts w:ascii="Verdana" w:hAnsi="Verdana"/>
                <w:color w:val="auto"/>
                <w:sz w:val="18"/>
                <w:szCs w:val="18"/>
              </w:rPr>
              <w:t xml:space="preserve">2. De Participatiewet wordt eenvoudiger van opzet en gebruik en biedt mensen passende ondersteuning om mee te doen in </w:t>
            </w:r>
            <w:r w:rsidRPr="000B4D4D">
              <w:rPr>
                <w:rFonts w:ascii="Verdana" w:hAnsi="Verdana"/>
                <w:color w:val="auto"/>
                <w:sz w:val="18"/>
                <w:szCs w:val="18"/>
              </w:rPr>
              <w:lastRenderedPageBreak/>
              <w:t xml:space="preserve">de samenleving, met rechten en plichten die zinvol en begrijpelijk zijn. </w:t>
            </w:r>
          </w:p>
        </w:tc>
      </w:tr>
      <w:tr w:rsidRPr="000B4D4D" w:rsidR="007D3628" w:rsidTr="00800A85" w14:paraId="2AD500AD"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0C70BDF8" w14:textId="77777777">
            <w:pPr>
              <w:numPr>
                <w:ilvl w:val="0"/>
                <w:numId w:val="11"/>
              </w:numPr>
              <w:spacing w:after="160" w:line="259" w:lineRule="auto"/>
              <w:rPr>
                <w:szCs w:val="18"/>
                <w:lang w:val="en-US"/>
              </w:rPr>
            </w:pPr>
            <w:r w:rsidRPr="000B4D4D">
              <w:rPr>
                <w:szCs w:val="18"/>
                <w:lang w:val="en-US"/>
              </w:rPr>
              <w:lastRenderedPageBreak/>
              <w:t>Zero hunger</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C347C4E" w14:textId="77777777">
            <w:pPr>
              <w:rPr>
                <w:szCs w:val="18"/>
                <w:lang w:val="en-GB"/>
              </w:rPr>
            </w:pPr>
            <w:r w:rsidRPr="000B4D4D">
              <w:rPr>
                <w:szCs w:val="18"/>
              </w:rPr>
              <w:t xml:space="preserve">1. Nationaal Plan Kindergarantie </w:t>
            </w:r>
          </w:p>
          <w:p w:rsidRPr="000B4D4D" w:rsidR="007D3628" w:rsidP="007A1FCF" w:rsidRDefault="007D3628" w14:paraId="6491926D" w14:textId="77777777">
            <w:pPr>
              <w:spacing w:after="160" w:line="259" w:lineRule="auto"/>
              <w:rPr>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FAB547C" w14:textId="77777777">
            <w:pPr>
              <w:rPr>
                <w:szCs w:val="18"/>
              </w:rPr>
            </w:pPr>
            <w:r w:rsidRPr="000B4D4D">
              <w:rPr>
                <w:szCs w:val="18"/>
              </w:rPr>
              <w:t>1. Het nationale plan weerspiegelt de stand van zaken om kinderarmoede te bestrijden en het welzijn van kinderen te bevorderen. Voorbeelden zijn gratis ontbijt op 700 basisscholen, ongeveer 10% van het totale aantal scholen in Nederland, om leerlingen in nood te voeden.</w:t>
            </w:r>
          </w:p>
        </w:tc>
      </w:tr>
      <w:tr w:rsidRPr="000B4D4D" w:rsidR="007D3628" w:rsidTr="00800A85" w14:paraId="542070E1" w14:textId="77777777">
        <w:trPr>
          <w:trHeight w:val="322"/>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4887A857" w14:textId="77777777">
            <w:pPr>
              <w:numPr>
                <w:ilvl w:val="0"/>
                <w:numId w:val="11"/>
              </w:numPr>
              <w:spacing w:after="160" w:line="259" w:lineRule="auto"/>
              <w:rPr>
                <w:szCs w:val="18"/>
                <w:lang w:val="en-US"/>
              </w:rPr>
            </w:pPr>
            <w:r w:rsidRPr="000B4D4D">
              <w:rPr>
                <w:szCs w:val="18"/>
                <w:lang w:val="en-US"/>
              </w:rPr>
              <w:t>Good health and well-being</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751F3FD" w14:textId="2CD5F8C1">
            <w:pPr>
              <w:rPr>
                <w:szCs w:val="18"/>
              </w:rPr>
            </w:pPr>
            <w:r w:rsidRPr="000B4D4D">
              <w:rPr>
                <w:szCs w:val="18"/>
              </w:rPr>
              <w:t>1. De Stimuleringsregeling Technologie in Ondersteuning en Zorg (STOZ</w:t>
            </w:r>
            <w:r w:rsidRPr="000B4D4D" w:rsidR="00E01EC3">
              <w:rPr>
                <w:szCs w:val="18"/>
              </w:rPr>
              <w:t>, 29</w:t>
            </w:r>
            <w:r w:rsidRPr="000B4D4D">
              <w:rPr>
                <w:szCs w:val="18"/>
              </w:rPr>
              <w:t>)</w:t>
            </w:r>
          </w:p>
          <w:p w:rsidRPr="000B4D4D" w:rsidR="007D3628" w:rsidP="007A1FCF" w:rsidRDefault="007D3628" w14:paraId="3E09F758" w14:textId="3FFDE2A1">
            <w:pPr>
              <w:rPr>
                <w:szCs w:val="18"/>
              </w:rPr>
            </w:pPr>
            <w:r w:rsidRPr="000B4D4D">
              <w:rPr>
                <w:szCs w:val="18"/>
              </w:rPr>
              <w:t>2. SET-COVID-19</w:t>
            </w:r>
            <w:r w:rsidRPr="000B4D4D" w:rsidR="00E01EC3">
              <w:rPr>
                <w:szCs w:val="18"/>
              </w:rPr>
              <w:t xml:space="preserve"> (27)</w:t>
            </w:r>
          </w:p>
          <w:p w:rsidRPr="000B4D4D" w:rsidR="007D3628" w:rsidP="007A1FCF" w:rsidRDefault="007D3628" w14:paraId="1F62BAEB" w14:textId="083DEAF9">
            <w:pPr>
              <w:rPr>
                <w:szCs w:val="18"/>
              </w:rPr>
            </w:pPr>
            <w:r w:rsidRPr="000B4D4D">
              <w:rPr>
                <w:szCs w:val="18"/>
              </w:rPr>
              <w:t>3. VVTB</w:t>
            </w:r>
            <w:r w:rsidRPr="000B4D4D" w:rsidR="00E01EC3">
              <w:rPr>
                <w:szCs w:val="18"/>
              </w:rPr>
              <w:t xml:space="preserve"> (33)</w:t>
            </w:r>
          </w:p>
          <w:p w:rsidRPr="000B4D4D" w:rsidR="007D3628" w:rsidP="007A1FCF" w:rsidRDefault="007D3628" w14:paraId="29A99BF2" w14:textId="554C7B6D">
            <w:pPr>
              <w:rPr>
                <w:szCs w:val="18"/>
              </w:rPr>
            </w:pPr>
            <w:r w:rsidRPr="000B4D4D">
              <w:rPr>
                <w:szCs w:val="18"/>
              </w:rPr>
              <w:t xml:space="preserve">4. </w:t>
            </w:r>
            <w:r w:rsidRPr="000B4D4D">
              <w:rPr>
                <w:szCs w:val="18"/>
                <w:lang w:val="en-US"/>
              </w:rPr>
              <w:t>Nationale dementiestrategie 2021 – 2030</w:t>
            </w:r>
            <w:r w:rsidRPr="000B4D4D" w:rsidR="00E01EC3">
              <w:rPr>
                <w:szCs w:val="18"/>
                <w:lang w:val="en-US"/>
              </w:rPr>
              <w:t xml:space="preserve"> (32)</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6AD04CD5" w14:textId="77777777">
            <w:pPr>
              <w:spacing w:after="160" w:line="259" w:lineRule="auto"/>
              <w:rPr>
                <w:szCs w:val="18"/>
              </w:rPr>
            </w:pPr>
            <w:r w:rsidRPr="000B4D4D">
              <w:rPr>
                <w:szCs w:val="18"/>
              </w:rPr>
              <w:t>1. De Stimuleringsregeling Technologie in Ondersteuning en Zorg (STOZ) heeft twee doelen: enerzijds het langer thuis wonen voor mensen met een chronische ziekte of beperking en anderzijds het besparen en verlichten van het werk van medewerkers in zorg en welzijn.</w:t>
            </w:r>
            <w:r w:rsidRPr="000B4D4D">
              <w:rPr>
                <w:szCs w:val="18"/>
              </w:rPr>
              <w:br/>
              <w:t>2. De maatregel was gericht op het stimuleren van (de opschaling van) het gebruik van technologie voor zorg en ondersteuning op afstand, gericht op thuiswonende ouderen en mensen met een kwetsbare gezondheid. Digitale zorg en ondersteuning draagt bij aan de continuïteit van zorg en ondersteuning, zeker tijdens de coronacrisis, en versterkt de controle en zelfredzaamheid van cliënten.</w:t>
            </w:r>
            <w:r w:rsidRPr="000B4D4D">
              <w:rPr>
                <w:szCs w:val="18"/>
              </w:rPr>
              <w:br/>
              <w:t>3. VTB richt zich op de doorontwikkeling van pakketbeheer om bij te dragen aan het realiseren van passende zorg. Dit draagt bij aan de maatschappelijke opgave om de zorg toegankelijk te houden. Binnen VVTB ligt de focus op (kennis over) effectiviteit van zorg en de uitvoering daarvan. Effectiviteit van zorg draagt bij aan de uitkomsten van zorg en daarmee aan de gezondheid van patiënten.</w:t>
            </w:r>
            <w:r w:rsidRPr="000B4D4D">
              <w:rPr>
                <w:szCs w:val="18"/>
              </w:rPr>
              <w:br/>
              <w:t>4. De strategie draagt indirect bij aan een goede gezondheid en welzijn door betere dementiezorg. Dit verbetert de kwaliteit van leven van patiënten met dementie en zorgverleners.</w:t>
            </w:r>
          </w:p>
        </w:tc>
      </w:tr>
      <w:tr w:rsidRPr="000B4D4D" w:rsidR="007D3628" w:rsidTr="00800A85" w14:paraId="44E1F14B"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7B9737FC" w14:textId="77777777">
            <w:pPr>
              <w:numPr>
                <w:ilvl w:val="0"/>
                <w:numId w:val="11"/>
              </w:numPr>
              <w:spacing w:after="160" w:line="259" w:lineRule="auto"/>
              <w:rPr>
                <w:szCs w:val="18"/>
                <w:lang w:val="en-US"/>
              </w:rPr>
            </w:pPr>
            <w:r w:rsidRPr="000B4D4D">
              <w:rPr>
                <w:szCs w:val="18"/>
                <w:lang w:val="en-US"/>
              </w:rPr>
              <w:t>Quality education</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34BACFD" w14:textId="77777777">
            <w:pPr>
              <w:rPr>
                <w:szCs w:val="18"/>
              </w:rPr>
            </w:pPr>
            <w:r w:rsidRPr="000B4D4D">
              <w:rPr>
                <w:szCs w:val="18"/>
              </w:rPr>
              <w:t>1. Nieuwe kerndoelen basisvaardigheden primair onderwijs en onderbouw voortgezet onderwijs (45)</w:t>
            </w:r>
          </w:p>
          <w:p w:rsidRPr="000B4D4D" w:rsidR="007D3628" w:rsidP="007A1FCF" w:rsidRDefault="007D3628" w14:paraId="39385C39" w14:textId="77777777">
            <w:pPr>
              <w:rPr>
                <w:szCs w:val="18"/>
              </w:rPr>
            </w:pPr>
            <w:r w:rsidRPr="000B4D4D">
              <w:rPr>
                <w:szCs w:val="18"/>
              </w:rPr>
              <w:lastRenderedPageBreak/>
              <w:t>2. Subsidieregeling Verbetering basisvaardigheden (47)</w:t>
            </w:r>
          </w:p>
          <w:p w:rsidRPr="000B4D4D" w:rsidR="007D3628" w:rsidP="007A1FCF" w:rsidRDefault="007D3628" w14:paraId="4236C95A" w14:textId="77777777">
            <w:pPr>
              <w:rPr>
                <w:szCs w:val="18"/>
              </w:rPr>
            </w:pPr>
            <w:r w:rsidRPr="000B4D4D">
              <w:rPr>
                <w:szCs w:val="18"/>
              </w:rPr>
              <w:t>3. Extra ruimte voor kwalitatief goede leraren in het Onderwijsakkoord (52)</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AD768F2" w14:textId="77777777">
            <w:pPr>
              <w:spacing w:after="160" w:line="259" w:lineRule="auto"/>
              <w:rPr>
                <w:szCs w:val="18"/>
              </w:rPr>
            </w:pPr>
            <w:r w:rsidRPr="000B4D4D">
              <w:rPr>
                <w:szCs w:val="18"/>
              </w:rPr>
              <w:lastRenderedPageBreak/>
              <w:t xml:space="preserve">1. Deze maatregel is bedoeld om tot nieuwe kerndoelen voor basisvaardigheden in primair onderwijs en onderbouw voortgezet onderwijs te komen. </w:t>
            </w:r>
            <w:r w:rsidRPr="000B4D4D">
              <w:rPr>
                <w:szCs w:val="18"/>
              </w:rPr>
              <w:lastRenderedPageBreak/>
              <w:t>De conceptkerndoelen voor Nederlands, rekenen en wiskunde zijn in najaar van 2023 opgeleverd. De conceptkerndoelen voor burgerschap en digitale geletterdheid zijn in het voorjaar van 2023 opgeleverd. De overige leergebieden worden in het najaar van 2024 verwacht.</w:t>
            </w:r>
            <w:r w:rsidRPr="000B4D4D">
              <w:rPr>
                <w:szCs w:val="18"/>
              </w:rPr>
              <w:br/>
              <w:t>2. Deze maatregel is bedoeld om scholen de middelen te bieden om gericht in te zetten op het verbeteren van de basisvaardigheden (taal, rekenen-wiskunde, burgerschap en digitale geletterdheid) van hun leerlingen.</w:t>
            </w:r>
            <w:r w:rsidRPr="000B4D4D">
              <w:rPr>
                <w:szCs w:val="18"/>
              </w:rPr>
              <w:br/>
              <w:t>3. Deze maatregel is bedoeld om leraren extra ruimte te bieden om te professionaliseren op het gebied van basisvaardigheden.</w:t>
            </w:r>
          </w:p>
        </w:tc>
      </w:tr>
      <w:tr w:rsidRPr="000B4D4D" w:rsidR="007D3628" w:rsidTr="00800A85" w14:paraId="1D4DB61B"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2AF29ADF" w14:textId="77777777">
            <w:pPr>
              <w:numPr>
                <w:ilvl w:val="0"/>
                <w:numId w:val="11"/>
              </w:numPr>
              <w:spacing w:after="160" w:line="259" w:lineRule="auto"/>
              <w:rPr>
                <w:szCs w:val="18"/>
                <w:lang w:val="en-US"/>
              </w:rPr>
            </w:pPr>
            <w:r w:rsidRPr="000B4D4D">
              <w:rPr>
                <w:szCs w:val="18"/>
                <w:lang w:val="en-US"/>
              </w:rPr>
              <w:lastRenderedPageBreak/>
              <w:t>Gender equality</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82C2192" w14:textId="77777777">
            <w:pPr>
              <w:rPr>
                <w:szCs w:val="18"/>
                <w:lang w:val="en-GB"/>
              </w:rPr>
            </w:pPr>
            <w:r w:rsidRPr="000B4D4D">
              <w:rPr>
                <w:szCs w:val="18"/>
                <w:lang w:val="en-GB"/>
              </w:rPr>
              <w:t xml:space="preserve">1. </w:t>
            </w:r>
            <w:r w:rsidRPr="000B4D4D">
              <w:rPr>
                <w:szCs w:val="18"/>
              </w:rPr>
              <w:t>Lancering Diversiteitsportaal</w:t>
            </w:r>
          </w:p>
          <w:p w:rsidRPr="000B4D4D" w:rsidR="007D3628" w:rsidP="007A1FCF" w:rsidRDefault="007D3628" w14:paraId="1010BF99" w14:textId="77777777">
            <w:pPr>
              <w:rPr>
                <w:szCs w:val="18"/>
                <w:lang w:val="en-GB"/>
              </w:rPr>
            </w:pPr>
            <w:r w:rsidRPr="000B4D4D">
              <w:rPr>
                <w:szCs w:val="18"/>
              </w:rPr>
              <w:t>2. Betaald ouderschapsverlof</w:t>
            </w:r>
          </w:p>
          <w:p w:rsidRPr="000B4D4D" w:rsidR="007D3628" w:rsidP="007A1FCF" w:rsidRDefault="007D3628" w14:paraId="6D931716" w14:textId="77777777">
            <w:pPr>
              <w:spacing w:after="160" w:line="259" w:lineRule="auto"/>
              <w:rPr>
                <w:szCs w:val="18"/>
              </w:rPr>
            </w:pPr>
            <w:r w:rsidRPr="000B4D4D">
              <w:rPr>
                <w:szCs w:val="18"/>
              </w:rPr>
              <w:t>3. Programma Voor een inclusieve arbeidsmarkt (39)</w:t>
            </w:r>
            <w:r w:rsidRPr="000B4D4D">
              <w:rPr>
                <w:szCs w:val="18"/>
              </w:rPr>
              <w:br/>
              <w:t>4. Quantum Delta NL (13)</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EE9A446" w14:textId="77777777">
            <w:pPr>
              <w:rPr>
                <w:szCs w:val="18"/>
              </w:rPr>
            </w:pPr>
            <w:r w:rsidRPr="000B4D4D">
              <w:rPr>
                <w:szCs w:val="18"/>
              </w:rPr>
              <w:t>1. Bedrijven die onder het vrouwenquotum vallen, moeten hun doelstellingen en plannen om de genderdiversiteit te vergroten rapporteren aan de Sociaal-Economische Raad.</w:t>
            </w:r>
          </w:p>
          <w:p w:rsidRPr="000B4D4D" w:rsidR="007D3628" w:rsidP="007A1FCF" w:rsidRDefault="007D3628" w14:paraId="244FDFE2" w14:textId="77777777">
            <w:pPr>
              <w:rPr>
                <w:szCs w:val="18"/>
              </w:rPr>
            </w:pPr>
            <w:r w:rsidRPr="000B4D4D">
              <w:rPr>
                <w:szCs w:val="18"/>
              </w:rPr>
              <w:t>2. Ouders helpen de zorgtaken eerlijker te verdelen.</w:t>
            </w:r>
          </w:p>
          <w:p w:rsidRPr="000B4D4D" w:rsidR="007D3628" w:rsidP="007A1FCF" w:rsidRDefault="007D3628" w14:paraId="274C9B66" w14:textId="77777777">
            <w:pPr>
              <w:rPr>
                <w:szCs w:val="18"/>
              </w:rPr>
            </w:pPr>
            <w:r w:rsidRPr="000B4D4D">
              <w:rPr>
                <w:szCs w:val="18"/>
              </w:rPr>
              <w:t>3. Het programma Voor een inclusieve arbeidsmarkt moet bijdragen aan een diverse en inclusieve arbeidsmarkt met gelijke kansen. Het doel van het programma VIA is om de arbeidsmarktpositie van mensen met een buiten-Europese (voorheen niet-westerse) migratieachtergrond structureel te verbeteren door te zorgen voor gelijkwaardige kansen op de arbeidsmarkt voor iedereen.</w:t>
            </w:r>
          </w:p>
          <w:p w:rsidRPr="000B4D4D" w:rsidR="007D3628" w:rsidP="007A1FCF" w:rsidRDefault="007D3628" w14:paraId="40F257AB" w14:textId="77777777">
            <w:pPr>
              <w:rPr>
                <w:szCs w:val="18"/>
              </w:rPr>
            </w:pPr>
            <w:r w:rsidRPr="000B4D4D">
              <w:rPr>
                <w:szCs w:val="18"/>
              </w:rPr>
              <w:t xml:space="preserve">4. Ondersteunen </w:t>
            </w:r>
          </w:p>
          <w:p w:rsidRPr="000B4D4D" w:rsidR="007D3628" w:rsidP="007A1FCF" w:rsidRDefault="007D3628" w14:paraId="2C1A1D21" w14:textId="77777777">
            <w:pPr>
              <w:rPr>
                <w:szCs w:val="18"/>
              </w:rPr>
            </w:pPr>
            <w:r w:rsidRPr="000B4D4D">
              <w:rPr>
                <w:szCs w:val="18"/>
              </w:rPr>
              <w:t xml:space="preserve">het Women in Quantum Development-initiatief (WIQD). </w:t>
            </w:r>
          </w:p>
          <w:p w:rsidRPr="000B4D4D" w:rsidR="007D3628" w:rsidP="007A1FCF" w:rsidRDefault="007D3628" w14:paraId="00DC44F2" w14:textId="77777777">
            <w:pPr>
              <w:spacing w:after="160" w:line="259" w:lineRule="auto"/>
              <w:rPr>
                <w:szCs w:val="18"/>
              </w:rPr>
            </w:pPr>
          </w:p>
        </w:tc>
      </w:tr>
      <w:tr w:rsidRPr="000B4D4D" w:rsidR="007D3628" w:rsidTr="00800A85" w14:paraId="1E41D363"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494FFA82" w14:textId="77777777">
            <w:pPr>
              <w:numPr>
                <w:ilvl w:val="0"/>
                <w:numId w:val="11"/>
              </w:numPr>
              <w:spacing w:after="160" w:line="259" w:lineRule="auto"/>
              <w:rPr>
                <w:szCs w:val="18"/>
                <w:lang w:val="en-US"/>
              </w:rPr>
            </w:pPr>
            <w:r w:rsidRPr="000B4D4D">
              <w:rPr>
                <w:szCs w:val="18"/>
                <w:lang w:val="en-US"/>
              </w:rPr>
              <w:t>Clean water and sanitation</w:t>
            </w:r>
          </w:p>
        </w:tc>
        <w:tc>
          <w:tcPr>
            <w:tcW w:w="3221" w:type="dxa"/>
            <w:tcBorders>
              <w:top w:val="single" w:color="auto" w:sz="4" w:space="0"/>
              <w:left w:val="single" w:color="auto" w:sz="4" w:space="0"/>
              <w:bottom w:val="single" w:color="auto" w:sz="4" w:space="0"/>
              <w:right w:val="single" w:color="auto" w:sz="4" w:space="0"/>
            </w:tcBorders>
          </w:tcPr>
          <w:p w:rsidRPr="000B4D4D" w:rsidR="002700F6" w:rsidP="002700F6" w:rsidRDefault="002700F6" w14:paraId="5356A2B8" w14:textId="77777777">
            <w:pPr>
              <w:rPr>
                <w:szCs w:val="18"/>
              </w:rPr>
            </w:pPr>
            <w:r w:rsidRPr="000B4D4D">
              <w:rPr>
                <w:szCs w:val="18"/>
                <w:lang w:val="en-US"/>
              </w:rPr>
              <w:t xml:space="preserve">1. </w:t>
            </w:r>
            <w:r w:rsidRPr="000B4D4D">
              <w:rPr>
                <w:szCs w:val="18"/>
              </w:rPr>
              <w:t>Ketenaanpak verduurzaming landbouw (1)</w:t>
            </w:r>
          </w:p>
          <w:p w:rsidRPr="000B4D4D" w:rsidR="007D3628" w:rsidP="00D2195D" w:rsidRDefault="002700F6" w14:paraId="1C4A2442" w14:textId="5E727F38">
            <w:pPr>
              <w:rPr>
                <w:szCs w:val="18"/>
                <w:lang w:val="en-US"/>
              </w:rPr>
            </w:pPr>
            <w:r w:rsidRPr="000B4D4D">
              <w:rPr>
                <w:szCs w:val="18"/>
                <w:lang w:val="en-US"/>
              </w:rPr>
              <w:t xml:space="preserve">2. </w:t>
            </w:r>
            <w:r w:rsidRPr="000B4D4D">
              <w:rPr>
                <w:szCs w:val="18"/>
              </w:rPr>
              <w:t>Omschakelprogramma ‘duurzame landbouw’ (2)</w:t>
            </w:r>
          </w:p>
        </w:tc>
        <w:tc>
          <w:tcPr>
            <w:tcW w:w="3221" w:type="dxa"/>
            <w:tcBorders>
              <w:top w:val="single" w:color="auto" w:sz="4" w:space="0"/>
              <w:left w:val="single" w:color="auto" w:sz="4" w:space="0"/>
              <w:bottom w:val="single" w:color="auto" w:sz="4" w:space="0"/>
              <w:right w:val="single" w:color="auto" w:sz="4" w:space="0"/>
            </w:tcBorders>
          </w:tcPr>
          <w:p w:rsidRPr="000B4D4D" w:rsidR="002700F6" w:rsidP="002700F6" w:rsidRDefault="00723B73" w14:paraId="25ACE519" w14:textId="16966F5E">
            <w:pPr>
              <w:rPr>
                <w:szCs w:val="18"/>
              </w:rPr>
            </w:pPr>
            <w:r w:rsidRPr="000B4D4D">
              <w:rPr>
                <w:szCs w:val="18"/>
              </w:rPr>
              <w:t xml:space="preserve">1. </w:t>
            </w:r>
            <w:r w:rsidRPr="000B4D4D" w:rsidR="002700F6">
              <w:rPr>
                <w:szCs w:val="18"/>
              </w:rPr>
              <w:t>Het pakket richt zich onder meer op het vergroten van de transparantie over verduurzaming bij ketenpartijen, het bieden van lange termijn afzetzekerheid door marktpartijen, het verstreken van financiering onder gunstige leenvoorwaarden door financiële instellingen en het betalen van een passende vergoeding voor duurzamere producten door afnemers.</w:t>
            </w:r>
          </w:p>
          <w:p w:rsidRPr="000B4D4D" w:rsidR="007D3628" w:rsidP="00D2195D" w:rsidRDefault="002700F6" w14:paraId="635DBDA8" w14:textId="74DDB58A">
            <w:pPr>
              <w:rPr>
                <w:szCs w:val="18"/>
              </w:rPr>
            </w:pPr>
            <w:r w:rsidRPr="000B4D4D">
              <w:rPr>
                <w:szCs w:val="18"/>
              </w:rPr>
              <w:t xml:space="preserve">2. Met het omschakelprogramma ‘duurzame landbouw’ wordt beoogd om de omschakeling naar </w:t>
            </w:r>
            <w:r w:rsidRPr="000B4D4D">
              <w:rPr>
                <w:szCs w:val="18"/>
              </w:rPr>
              <w:lastRenderedPageBreak/>
              <w:t>duurzamere vormen van landbouw financieel mogelijk te maken voor agrarische ondernemers die in het kader van stikstofreductie en op basis van een levensvatbaar duurzaam bedrijfsplan willen omschakelen, maar daarbij tegen financiële belemmeringen aanlopen.</w:t>
            </w:r>
          </w:p>
        </w:tc>
      </w:tr>
      <w:tr w:rsidRPr="000B4D4D" w:rsidR="007D3628" w:rsidTr="00800A85" w14:paraId="3C1F9940"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5E575262" w14:textId="77777777">
            <w:pPr>
              <w:numPr>
                <w:ilvl w:val="0"/>
                <w:numId w:val="11"/>
              </w:numPr>
              <w:spacing w:after="160" w:line="259" w:lineRule="auto"/>
              <w:rPr>
                <w:szCs w:val="18"/>
                <w:lang w:val="en-US"/>
              </w:rPr>
            </w:pPr>
            <w:r w:rsidRPr="000B4D4D">
              <w:rPr>
                <w:szCs w:val="18"/>
                <w:lang w:val="en-US"/>
              </w:rPr>
              <w:lastRenderedPageBreak/>
              <w:t>Affordable and clean energy</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7005623" w14:textId="3E9CFABD">
            <w:pPr>
              <w:tabs>
                <w:tab w:val="left" w:pos="796"/>
              </w:tabs>
              <w:rPr>
                <w:szCs w:val="18"/>
              </w:rPr>
            </w:pPr>
            <w:r w:rsidRPr="000B4D4D">
              <w:rPr>
                <w:szCs w:val="18"/>
              </w:rPr>
              <w:t>1. Meerjarenprogramma’s Energie en Klimaatinfrastructuur (MIEK</w:t>
            </w:r>
            <w:r w:rsidRPr="000B4D4D" w:rsidR="000A1A04">
              <w:rPr>
                <w:szCs w:val="18"/>
              </w:rPr>
              <w:t>, 4</w:t>
            </w:r>
            <w:r w:rsidRPr="000B4D4D">
              <w:rPr>
                <w:szCs w:val="18"/>
              </w:rPr>
              <w:t>)</w:t>
            </w:r>
          </w:p>
          <w:p w:rsidRPr="000B4D4D" w:rsidR="007D3628" w:rsidP="007A1FCF" w:rsidRDefault="007D3628" w14:paraId="42F56311" w14:textId="283200E5">
            <w:pPr>
              <w:tabs>
                <w:tab w:val="left" w:pos="796"/>
              </w:tabs>
              <w:rPr>
                <w:szCs w:val="18"/>
              </w:rPr>
            </w:pPr>
            <w:r w:rsidRPr="000B4D4D">
              <w:rPr>
                <w:szCs w:val="18"/>
              </w:rPr>
              <w:t>2. Landelijke programma Netcongestie (LAN</w:t>
            </w:r>
            <w:r w:rsidRPr="000B4D4D" w:rsidR="000A1A04">
              <w:rPr>
                <w:szCs w:val="18"/>
              </w:rPr>
              <w:t>, 3</w:t>
            </w:r>
            <w:r w:rsidRPr="000B4D4D">
              <w:rPr>
                <w:szCs w:val="18"/>
              </w:rPr>
              <w:t>)</w:t>
            </w:r>
          </w:p>
          <w:p w:rsidRPr="000B4D4D" w:rsidR="000A1A04" w:rsidP="007A1FCF" w:rsidRDefault="000A1A04" w14:paraId="408797E4" w14:textId="63CF3834">
            <w:pPr>
              <w:tabs>
                <w:tab w:val="left" w:pos="796"/>
              </w:tabs>
              <w:rPr>
                <w:szCs w:val="18"/>
              </w:rPr>
            </w:pPr>
            <w:r w:rsidRPr="000B4D4D">
              <w:rPr>
                <w:szCs w:val="18"/>
              </w:rPr>
              <w:t>3. Hervorming nationale klimaatwet (</w:t>
            </w:r>
            <w:r w:rsidRPr="000B4D4D" w:rsidR="004935E3">
              <w:rPr>
                <w:szCs w:val="18"/>
              </w:rPr>
              <w:t>17)</w:t>
            </w:r>
          </w:p>
          <w:p w:rsidRPr="000B4D4D" w:rsidR="007D3628" w:rsidP="007A1FCF" w:rsidRDefault="007D3628" w14:paraId="5AE661A9" w14:textId="77777777">
            <w:pPr>
              <w:tabs>
                <w:tab w:val="left" w:pos="796"/>
              </w:tabs>
              <w:rPr>
                <w:szCs w:val="18"/>
              </w:rPr>
            </w:pP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33D6C1B" w14:textId="77777777">
            <w:pPr>
              <w:rPr>
                <w:szCs w:val="18"/>
              </w:rPr>
            </w:pPr>
            <w:r w:rsidRPr="000B4D4D">
              <w:rPr>
                <w:szCs w:val="18"/>
              </w:rPr>
              <w:t>1. Met het Meerjarenprogramma Infrastructuur Energie en Klimaat (MIEK) versnelt de Rijksoverheid de besluitvorming over de aanleg van de benodigde energieinfrastructuurprojecten, krijgen bepaalde projecten meer prioriteit in de investeringsplannen van de netbeheerders en worden knelpunten bij de realisatie van projecten zoveel mogelijk weggenomen.</w:t>
            </w:r>
          </w:p>
          <w:p w:rsidRPr="000B4D4D" w:rsidR="007D3628" w:rsidP="007A1FCF" w:rsidRDefault="007D3628" w14:paraId="76692E3C" w14:textId="77777777">
            <w:pPr>
              <w:rPr>
                <w:szCs w:val="18"/>
              </w:rPr>
            </w:pPr>
            <w:r w:rsidRPr="000B4D4D">
              <w:rPr>
                <w:szCs w:val="18"/>
              </w:rPr>
              <w:t xml:space="preserve">2. Het LAN voert regie op netcongestieproblemen en de toekomstbestendigheid van het elektriciteitsnet. </w:t>
            </w:r>
          </w:p>
        </w:tc>
      </w:tr>
      <w:tr w:rsidRPr="000B4D4D" w:rsidR="007D3628" w:rsidTr="00800A85" w14:paraId="10152176"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0B4D4D" w:rsidR="007D3628" w:rsidP="002F36C1" w:rsidRDefault="007D3628" w14:paraId="234703FE" w14:textId="77777777">
            <w:pPr>
              <w:numPr>
                <w:ilvl w:val="0"/>
                <w:numId w:val="11"/>
              </w:numPr>
              <w:spacing w:after="160" w:line="259" w:lineRule="auto"/>
              <w:rPr>
                <w:szCs w:val="18"/>
                <w:lang w:val="en-US"/>
              </w:rPr>
            </w:pPr>
            <w:r w:rsidRPr="000B4D4D">
              <w:rPr>
                <w:szCs w:val="18"/>
                <w:lang w:val="en-US"/>
              </w:rPr>
              <w:t>Decent work and economic growth</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670F5A5" w14:textId="77777777">
            <w:pPr>
              <w:spacing w:line="259" w:lineRule="auto"/>
              <w:rPr>
                <w:szCs w:val="18"/>
              </w:rPr>
            </w:pPr>
            <w:r w:rsidRPr="000B4D4D">
              <w:rPr>
                <w:szCs w:val="18"/>
              </w:rPr>
              <w:t>1. Wet Meer Zekerheid Flexwerkers (35)</w:t>
            </w:r>
          </w:p>
          <w:p w:rsidRPr="000B4D4D" w:rsidR="007D3628" w:rsidP="007A1FCF" w:rsidRDefault="007D3628" w14:paraId="668CBAFE" w14:textId="1C8CAB90">
            <w:pPr>
              <w:spacing w:line="259" w:lineRule="auto"/>
              <w:rPr>
                <w:szCs w:val="18"/>
              </w:rPr>
            </w:pPr>
            <w:r w:rsidRPr="000B4D4D">
              <w:rPr>
                <w:szCs w:val="18"/>
              </w:rPr>
              <w:t>2. Verplichte arbeidsongeschiktheidsverzekering voor zelfstandigen (</w:t>
            </w:r>
            <w:r w:rsidRPr="000B4D4D" w:rsidR="00497F39">
              <w:rPr>
                <w:szCs w:val="18"/>
              </w:rPr>
              <w:t xml:space="preserve">HVP, </w:t>
            </w:r>
            <w:r w:rsidRPr="000B4D4D">
              <w:rPr>
                <w:szCs w:val="18"/>
              </w:rPr>
              <w:t xml:space="preserve">36) </w:t>
            </w:r>
            <w:r w:rsidRPr="000B4D4D">
              <w:rPr>
                <w:i/>
                <w:szCs w:val="18"/>
              </w:rPr>
              <w:t xml:space="preserve"> </w:t>
            </w:r>
          </w:p>
          <w:p w:rsidRPr="000B4D4D" w:rsidR="007D3628" w:rsidP="007A1FCF" w:rsidRDefault="007D3628" w14:paraId="3FEE8C72" w14:textId="053F56E7">
            <w:pPr>
              <w:spacing w:after="160" w:line="259" w:lineRule="auto"/>
              <w:rPr>
                <w:szCs w:val="18"/>
              </w:rPr>
            </w:pPr>
            <w:r w:rsidRPr="000B4D4D">
              <w:rPr>
                <w:szCs w:val="18"/>
              </w:rPr>
              <w:t>3. Aanpak arbeidsmarktkrapte (37)</w:t>
            </w:r>
            <w:r w:rsidRPr="000B4D4D">
              <w:rPr>
                <w:szCs w:val="18"/>
              </w:rPr>
              <w:br/>
              <w:t xml:space="preserve">4. Investeringen in onderzoek en ontwikkeling vanuit het </w:t>
            </w:r>
            <w:r w:rsidR="008470E5">
              <w:rPr>
                <w:szCs w:val="18"/>
              </w:rPr>
              <w:t>NGF</w:t>
            </w:r>
            <w:r w:rsidRPr="000B4D4D">
              <w:rPr>
                <w:szCs w:val="18"/>
              </w:rPr>
              <w:t xml:space="preserve"> (</w:t>
            </w:r>
            <w:r w:rsidRPr="000B4D4D" w:rsidR="00723B73">
              <w:rPr>
                <w:szCs w:val="18"/>
              </w:rPr>
              <w:t>12</w:t>
            </w:r>
            <w:r w:rsidRPr="000B4D4D">
              <w:rPr>
                <w:szCs w:val="18"/>
              </w:rPr>
              <w:t>)</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D8EDA04" w14:textId="77777777">
            <w:pPr>
              <w:rPr>
                <w:szCs w:val="18"/>
              </w:rPr>
            </w:pPr>
            <w:r w:rsidRPr="000B4D4D">
              <w:rPr>
                <w:szCs w:val="18"/>
              </w:rPr>
              <w:t>1. Het pakket bestaat uit vijf uitgebreide wetgevingsvoorstellen met als doel duurzame arbeidsverhoudingen binnen wendbare ondernemingen te bevorderen.</w:t>
            </w:r>
          </w:p>
          <w:p w:rsidRPr="000B4D4D" w:rsidR="007D3628" w:rsidP="007A1FCF" w:rsidRDefault="007D3628" w14:paraId="2C4E94CF" w14:textId="77777777">
            <w:pPr>
              <w:rPr>
                <w:szCs w:val="18"/>
              </w:rPr>
            </w:pPr>
            <w:r w:rsidRPr="000B4D4D">
              <w:rPr>
                <w:szCs w:val="18"/>
              </w:rPr>
              <w:t xml:space="preserve">2. Nederland bereidt de invoering van een verplichte arbeidsongeschiktheidsverzekering voor zelfstandigen voor. </w:t>
            </w:r>
          </w:p>
          <w:p w:rsidRPr="000B4D4D" w:rsidR="007D3628" w:rsidP="007A1FCF" w:rsidRDefault="007D3628" w14:paraId="5DAF9C5E" w14:textId="77777777">
            <w:pPr>
              <w:rPr>
                <w:szCs w:val="18"/>
              </w:rPr>
            </w:pPr>
            <w:r w:rsidRPr="000B4D4D">
              <w:rPr>
                <w:szCs w:val="18"/>
              </w:rPr>
              <w:t>3. Onlangs is een brede arbeidsmarktagenda geïntroduceerd met algemene en sectorspecifieke strategieën om tekorten op de arbeidsmarkt aan te pakken.</w:t>
            </w:r>
          </w:p>
          <w:p w:rsidRPr="000B4D4D" w:rsidR="007D3628" w:rsidP="007A1FCF" w:rsidRDefault="007D3628" w14:paraId="350EB3D1" w14:textId="77777777">
            <w:pPr>
              <w:rPr>
                <w:szCs w:val="18"/>
              </w:rPr>
            </w:pPr>
            <w:r w:rsidRPr="000B4D4D">
              <w:rPr>
                <w:szCs w:val="18"/>
              </w:rPr>
              <w:t>4. Alle NGF-projecten zijn mede geselecteerd op basis van hun bijdrage aan economische groei.</w:t>
            </w:r>
          </w:p>
        </w:tc>
      </w:tr>
      <w:tr w:rsidRPr="000B4D4D" w:rsidR="007D3628" w:rsidTr="00800A85" w14:paraId="773ED9B4"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5B158C1" w14:textId="77777777">
            <w:pPr>
              <w:numPr>
                <w:ilvl w:val="0"/>
                <w:numId w:val="11"/>
              </w:numPr>
              <w:rPr>
                <w:szCs w:val="18"/>
                <w:lang w:val="en-US"/>
              </w:rPr>
            </w:pPr>
            <w:r w:rsidRPr="000B4D4D">
              <w:rPr>
                <w:szCs w:val="18"/>
              </w:rPr>
              <w:t>Industry, innovation and infrastructure</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FA69005" w14:textId="77777777">
            <w:pPr>
              <w:rPr>
                <w:szCs w:val="18"/>
              </w:rPr>
            </w:pPr>
            <w:r w:rsidRPr="000B4D4D">
              <w:rPr>
                <w:szCs w:val="18"/>
              </w:rPr>
              <w:t>1. Quantum Delta NL (13)</w:t>
            </w:r>
          </w:p>
          <w:p w:rsidRPr="000B4D4D" w:rsidR="007D3628" w:rsidP="007A1FCF" w:rsidRDefault="007D3628" w14:paraId="43EFFA97" w14:textId="77777777">
            <w:pPr>
              <w:rPr>
                <w:szCs w:val="18"/>
              </w:rPr>
            </w:pPr>
            <w:r w:rsidRPr="000B4D4D">
              <w:rPr>
                <w:szCs w:val="18"/>
              </w:rPr>
              <w:t>2. Subsidieregeling Publieke Laadinfrastructuur zwaar vervoer (19)</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686D4679" w14:textId="77777777">
            <w:pPr>
              <w:rPr>
                <w:szCs w:val="18"/>
              </w:rPr>
            </w:pPr>
            <w:r w:rsidRPr="000B4D4D">
              <w:rPr>
                <w:szCs w:val="18"/>
              </w:rPr>
              <w:t>1. Met dit programma, dat tot 2028 loopt, wordt geïnvesteerd in onderzoek en ontwikkeling van 3 subprogramma’s (KATs) (i) quantumcomputers, (ii) quantumnetwerken en (iii) quantumsensoren.</w:t>
            </w:r>
          </w:p>
          <w:p w:rsidRPr="000B4D4D" w:rsidR="007D3628" w:rsidP="007A1FCF" w:rsidRDefault="007D3628" w14:paraId="43358512" w14:textId="77777777">
            <w:pPr>
              <w:rPr>
                <w:szCs w:val="18"/>
              </w:rPr>
            </w:pPr>
            <w:r w:rsidRPr="000B4D4D">
              <w:rPr>
                <w:szCs w:val="18"/>
              </w:rPr>
              <w:t xml:space="preserve">2. De subsidieregeling stelt bedrijven in staat om de uitrol van publiek toegankelijke laadlocaties te versnellen. </w:t>
            </w:r>
          </w:p>
        </w:tc>
      </w:tr>
      <w:tr w:rsidRPr="000B4D4D" w:rsidR="007D3628" w:rsidTr="00800A85" w14:paraId="2C4F6F0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132CA3F" w14:textId="77777777">
            <w:pPr>
              <w:numPr>
                <w:ilvl w:val="0"/>
                <w:numId w:val="11"/>
              </w:numPr>
              <w:rPr>
                <w:szCs w:val="18"/>
              </w:rPr>
            </w:pPr>
            <w:r w:rsidRPr="000B4D4D">
              <w:rPr>
                <w:szCs w:val="18"/>
              </w:rPr>
              <w:t>Reduced inequalities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485B677" w14:textId="77777777">
            <w:pPr>
              <w:rPr>
                <w:szCs w:val="18"/>
              </w:rPr>
            </w:pPr>
            <w:r w:rsidRPr="000B4D4D">
              <w:rPr>
                <w:szCs w:val="18"/>
              </w:rPr>
              <w:t>1. Belasten van inkomen uit vermogen (20)</w:t>
            </w:r>
          </w:p>
          <w:p w:rsidRPr="000B4D4D" w:rsidR="007D3628" w:rsidP="007A1FCF" w:rsidRDefault="007D3628" w14:paraId="28B5DC6E" w14:textId="77777777">
            <w:pPr>
              <w:rPr>
                <w:szCs w:val="18"/>
              </w:rPr>
            </w:pPr>
            <w:r w:rsidRPr="000B4D4D">
              <w:rPr>
                <w:szCs w:val="18"/>
              </w:rPr>
              <w:t>2. Programma Voor een inclusieve arbeidsmarkt (39)</w:t>
            </w:r>
          </w:p>
          <w:p w:rsidRPr="000B4D4D" w:rsidR="007D3628" w:rsidP="007A1FCF" w:rsidRDefault="007D3628" w14:paraId="63D642B2" w14:textId="77777777">
            <w:pPr>
              <w:rPr>
                <w:szCs w:val="18"/>
              </w:rPr>
            </w:pPr>
            <w:r w:rsidRPr="000B4D4D">
              <w:rPr>
                <w:szCs w:val="18"/>
              </w:rPr>
              <w:t>3. Wet Breed Offensief (41)</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2DC9A598" w14:textId="77777777">
            <w:pPr>
              <w:rPr>
                <w:szCs w:val="18"/>
              </w:rPr>
            </w:pPr>
            <w:r w:rsidRPr="000B4D4D">
              <w:rPr>
                <w:szCs w:val="18"/>
              </w:rPr>
              <w:t xml:space="preserve">1. De afgelopen periode zijn er stappen gezet om het inkomen uit aanmerkelijk belang (box 2- vermogen) evenwichtiger te belasten. Hierdoor wordt inkomen uit aanmerkelijk belang breder in de heffing betrokken en meer in </w:t>
            </w:r>
            <w:r w:rsidRPr="000B4D4D">
              <w:rPr>
                <w:szCs w:val="18"/>
              </w:rPr>
              <w:lastRenderedPageBreak/>
              <w:t>balans gebracht met de belasting op inkomen uit arbeid.</w:t>
            </w:r>
          </w:p>
          <w:p w:rsidRPr="000B4D4D" w:rsidR="007D3628" w:rsidP="007A1FCF" w:rsidRDefault="007D3628" w14:paraId="2BE28685" w14:textId="77777777">
            <w:pPr>
              <w:rPr>
                <w:szCs w:val="18"/>
              </w:rPr>
            </w:pPr>
            <w:r w:rsidRPr="000B4D4D">
              <w:rPr>
                <w:szCs w:val="18"/>
              </w:rPr>
              <w:t>2. Het programma Voor een inclusieve arbeidsmarkt moet bijdragen aan een diverse en inclusieve arbeidsmarkt met gelijke kansen.</w:t>
            </w:r>
          </w:p>
        </w:tc>
      </w:tr>
      <w:tr w:rsidRPr="000B4D4D" w:rsidR="007D3628" w:rsidTr="00800A85" w14:paraId="2C4363E3"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E639A7C" w14:textId="77777777">
            <w:pPr>
              <w:numPr>
                <w:ilvl w:val="0"/>
                <w:numId w:val="11"/>
              </w:numPr>
              <w:rPr>
                <w:szCs w:val="18"/>
              </w:rPr>
            </w:pPr>
            <w:r w:rsidRPr="000B4D4D">
              <w:rPr>
                <w:szCs w:val="18"/>
              </w:rPr>
              <w:lastRenderedPageBreak/>
              <w:t xml:space="preserve">Sustainable cities and communities </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E2A8EAB" w14:textId="77777777">
            <w:pPr>
              <w:rPr>
                <w:szCs w:val="18"/>
              </w:rPr>
            </w:pPr>
            <w:r w:rsidRPr="000B4D4D">
              <w:rPr>
                <w:szCs w:val="18"/>
              </w:rPr>
              <w:t>1. Programma Versnelling Verduurzaming Gebouwde Omgeving (9)</w:t>
            </w:r>
          </w:p>
          <w:p w:rsidRPr="000B4D4D" w:rsidR="007D3628" w:rsidP="007A1FCF" w:rsidRDefault="007D3628" w14:paraId="51B00745" w14:textId="77777777">
            <w:pPr>
              <w:rPr>
                <w:szCs w:val="18"/>
              </w:rPr>
            </w:pPr>
            <w:r w:rsidRPr="000B4D4D">
              <w:rPr>
                <w:szCs w:val="18"/>
              </w:rPr>
              <w:t>2. Wet Betaalbare Huur (24)</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6913B10A" w14:textId="77777777">
            <w:pPr>
              <w:rPr>
                <w:szCs w:val="18"/>
              </w:rPr>
            </w:pPr>
            <w:r w:rsidRPr="000B4D4D">
              <w:rPr>
                <w:szCs w:val="18"/>
              </w:rPr>
              <w:t>1. Het doel van het Programma versnelling verduurzaming gebouwde omgeving is een restemissie van 13,2 Mton CO₂ in 2030. Naast CO₂-doelen is er sinds de publicatie van de nieuwe Europese Energy Efficiency Directive (EED) ook meer aandacht voor het reduceren van het finale energiegebruik.</w:t>
            </w:r>
          </w:p>
          <w:p w:rsidRPr="000B4D4D" w:rsidR="007D3628" w:rsidP="007A1FCF" w:rsidRDefault="007D3628" w14:paraId="337BB7B5" w14:textId="77777777">
            <w:pPr>
              <w:rPr>
                <w:szCs w:val="18"/>
              </w:rPr>
            </w:pPr>
            <w:r w:rsidRPr="000B4D4D">
              <w:rPr>
                <w:szCs w:val="18"/>
              </w:rPr>
              <w:t>2. De Wet Betaalbare Huur is op 25 juni door de Eerste Kamer aangenomen en is op 1 juli 2024 in werking getreden. De betaalbaarheid wordt geborgd door betere handhaving van de al bestaande huurregulering via het woningwaarderingsstelsel en door het doortrekken van deze regulering naar de middenhuur bij een bewonerswissel.</w:t>
            </w:r>
          </w:p>
        </w:tc>
      </w:tr>
      <w:tr w:rsidRPr="000B4D4D" w:rsidR="007D3628" w:rsidTr="00800A85" w14:paraId="40340B81"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05BB9BB" w14:textId="77777777">
            <w:pPr>
              <w:numPr>
                <w:ilvl w:val="0"/>
                <w:numId w:val="11"/>
              </w:numPr>
              <w:rPr>
                <w:szCs w:val="18"/>
              </w:rPr>
            </w:pPr>
            <w:r w:rsidRPr="000B4D4D">
              <w:rPr>
                <w:szCs w:val="18"/>
                <w:lang w:val="en-US"/>
              </w:rPr>
              <w:t>Responsible consumption and production</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9F11299" w14:textId="77777777">
            <w:pPr>
              <w:rPr>
                <w:szCs w:val="18"/>
                <w:lang w:val="en-US"/>
              </w:rPr>
            </w:pPr>
            <w:r w:rsidRPr="000B4D4D">
              <w:rPr>
                <w:szCs w:val="18"/>
                <w:lang w:val="en-US"/>
              </w:rPr>
              <w:t xml:space="preserve">1. </w:t>
            </w:r>
            <w:r w:rsidRPr="000B4D4D">
              <w:rPr>
                <w:szCs w:val="18"/>
              </w:rPr>
              <w:t>Aanpassing nationale klimaatwet (17)</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063655A" w14:textId="77777777">
            <w:pPr>
              <w:rPr>
                <w:szCs w:val="18"/>
              </w:rPr>
            </w:pPr>
            <w:r w:rsidRPr="000B4D4D">
              <w:rPr>
                <w:szCs w:val="18"/>
              </w:rPr>
              <w:t>1. Nederland heeft een nationale Klimaatwet waarin, net als in de Europese Klimaatwet, reductiedoelstellingen voor 2030 en 2050 zijn opgenomen.</w:t>
            </w:r>
          </w:p>
        </w:tc>
      </w:tr>
      <w:tr w:rsidRPr="000B4D4D" w:rsidR="007D3628" w:rsidTr="00800A85" w14:paraId="75FBACDE"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27AA3D97" w14:textId="77777777">
            <w:pPr>
              <w:numPr>
                <w:ilvl w:val="0"/>
                <w:numId w:val="11"/>
              </w:numPr>
              <w:rPr>
                <w:szCs w:val="18"/>
                <w:lang w:val="en-US"/>
              </w:rPr>
            </w:pPr>
            <w:r w:rsidRPr="000B4D4D">
              <w:rPr>
                <w:szCs w:val="18"/>
                <w:lang w:val="en-US"/>
              </w:rPr>
              <w:t>Climate action</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490988A5" w14:textId="3BA4B307">
            <w:pPr>
              <w:rPr>
                <w:szCs w:val="18"/>
              </w:rPr>
            </w:pPr>
            <w:r w:rsidRPr="000B4D4D">
              <w:rPr>
                <w:szCs w:val="18"/>
              </w:rPr>
              <w:t>1. Meerjarenprogramma Infrastructuur Energie en Klimaat (MIEK</w:t>
            </w:r>
            <w:r w:rsidRPr="000B4D4D" w:rsidR="00E01EC3">
              <w:rPr>
                <w:szCs w:val="18"/>
              </w:rPr>
              <w:t>, 4</w:t>
            </w:r>
            <w:r w:rsidRPr="000B4D4D">
              <w:rPr>
                <w:szCs w:val="18"/>
              </w:rPr>
              <w:t>)</w:t>
            </w:r>
          </w:p>
          <w:p w:rsidRPr="000B4D4D" w:rsidR="007D3628" w:rsidP="007A1FCF" w:rsidRDefault="007D3628" w14:paraId="0DCC0407" w14:textId="1D59EB00">
            <w:pPr>
              <w:rPr>
                <w:szCs w:val="18"/>
              </w:rPr>
            </w:pPr>
            <w:r w:rsidRPr="000B4D4D">
              <w:rPr>
                <w:szCs w:val="18"/>
              </w:rPr>
              <w:t>2. Programma Energiehoofdstructuur (HVP</w:t>
            </w:r>
            <w:r w:rsidRPr="000B4D4D" w:rsidR="00497F39">
              <w:rPr>
                <w:szCs w:val="18"/>
              </w:rPr>
              <w:t>, 5</w:t>
            </w:r>
            <w:r w:rsidRPr="000B4D4D">
              <w:rPr>
                <w:szCs w:val="18"/>
              </w:rPr>
              <w:t>)</w:t>
            </w:r>
          </w:p>
          <w:p w:rsidRPr="000B4D4D" w:rsidR="007D3628" w:rsidP="007A1FCF" w:rsidRDefault="007D3628" w14:paraId="66C32B1A" w14:textId="77777777">
            <w:pPr>
              <w:rPr>
                <w:szCs w:val="18"/>
              </w:rPr>
            </w:pPr>
            <w:r w:rsidRPr="000B4D4D">
              <w:rPr>
                <w:szCs w:val="18"/>
              </w:rPr>
              <w:t>3. Actualisering van de Energiebesparingsplicht (10)</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685964E0" w14:textId="77777777">
            <w:pPr>
              <w:rPr>
                <w:szCs w:val="18"/>
              </w:rPr>
            </w:pPr>
            <w:r w:rsidRPr="000B4D4D">
              <w:rPr>
                <w:szCs w:val="18"/>
              </w:rPr>
              <w:t>1. Zie: SDG 7</w:t>
            </w:r>
          </w:p>
          <w:p w:rsidRPr="000B4D4D" w:rsidR="007D3628" w:rsidP="007A1FCF" w:rsidRDefault="007D3628" w14:paraId="487FDCCF" w14:textId="77777777">
            <w:pPr>
              <w:rPr>
                <w:szCs w:val="18"/>
              </w:rPr>
            </w:pPr>
            <w:r w:rsidRPr="000B4D4D">
              <w:rPr>
                <w:szCs w:val="18"/>
              </w:rPr>
              <w:t>2. Voor de ruimtelijke planning van de energie-infrastructuur van nationaal belang richting 2050 werkt Nederland aan de uitvoering van het vastgestelde Programma Energiehoofdstructuur (PEH). Deze maatregel is bedoeld om toekomstige energieprojecten sneller te kunnen realiseren.</w:t>
            </w:r>
          </w:p>
          <w:p w:rsidRPr="000B4D4D" w:rsidR="007D3628" w:rsidP="007A1FCF" w:rsidRDefault="007D3628" w14:paraId="6C46DF91" w14:textId="77777777">
            <w:pPr>
              <w:rPr>
                <w:szCs w:val="18"/>
              </w:rPr>
            </w:pPr>
            <w:r w:rsidRPr="000B4D4D">
              <w:rPr>
                <w:szCs w:val="18"/>
              </w:rPr>
              <w:t>3. De energiebesparingsplicht verplichtte bedrijven en instellingen met een jaarlijks energiegebruik vanaf 50.000 kWh elektriciteit of 25.000 m3 aardgasequivalent alle mogelijke energiebesparende maatregelen met een terugverdientijd van vijf jaar of minder te treffen. Met de aanscherping van de energiebesparingsplicht naar de plicht ter verduurzaming van het energiegebruik vallen meer bedrijven en meer maatregelen onder de plicht.</w:t>
            </w:r>
          </w:p>
        </w:tc>
      </w:tr>
      <w:tr w:rsidRPr="000B4D4D" w:rsidR="007D3628" w:rsidTr="00800A85" w14:paraId="0E874B85"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323AFC4" w14:textId="77777777">
            <w:pPr>
              <w:numPr>
                <w:ilvl w:val="0"/>
                <w:numId w:val="11"/>
              </w:numPr>
              <w:rPr>
                <w:szCs w:val="18"/>
                <w:lang w:val="en-US"/>
              </w:rPr>
            </w:pPr>
            <w:r w:rsidRPr="000B4D4D">
              <w:rPr>
                <w:szCs w:val="18"/>
                <w:lang w:val="en-US"/>
              </w:rPr>
              <w:t>Life below water</w:t>
            </w:r>
          </w:p>
        </w:tc>
        <w:tc>
          <w:tcPr>
            <w:tcW w:w="3221" w:type="dxa"/>
            <w:tcBorders>
              <w:top w:val="single" w:color="auto" w:sz="4" w:space="0"/>
              <w:left w:val="single" w:color="auto" w:sz="4" w:space="0"/>
              <w:bottom w:val="single" w:color="auto" w:sz="4" w:space="0"/>
              <w:right w:val="single" w:color="auto" w:sz="4" w:space="0"/>
            </w:tcBorders>
          </w:tcPr>
          <w:p w:rsidRPr="000B4D4D" w:rsidR="002700F6" w:rsidP="002700F6" w:rsidRDefault="002700F6" w14:paraId="2DCC10C2" w14:textId="77777777">
            <w:pPr>
              <w:rPr>
                <w:szCs w:val="18"/>
              </w:rPr>
            </w:pPr>
            <w:r w:rsidRPr="000B4D4D">
              <w:rPr>
                <w:szCs w:val="18"/>
                <w:lang w:val="en-US"/>
              </w:rPr>
              <w:t xml:space="preserve">1. </w:t>
            </w:r>
            <w:r w:rsidRPr="000B4D4D">
              <w:rPr>
                <w:szCs w:val="18"/>
              </w:rPr>
              <w:t>Ketenaanpak verduurzaming landbouw (1)</w:t>
            </w:r>
          </w:p>
          <w:p w:rsidRPr="000B4D4D" w:rsidR="007D3628" w:rsidP="007A1FCF" w:rsidRDefault="002700F6" w14:paraId="1B1ADA6E" w14:textId="4606ADE9">
            <w:pPr>
              <w:rPr>
                <w:szCs w:val="18"/>
                <w:lang w:val="en-US"/>
              </w:rPr>
            </w:pPr>
            <w:r w:rsidRPr="000B4D4D">
              <w:rPr>
                <w:szCs w:val="18"/>
                <w:lang w:val="en-US"/>
              </w:rPr>
              <w:t xml:space="preserve">2. </w:t>
            </w:r>
            <w:r w:rsidRPr="000B4D4D">
              <w:rPr>
                <w:szCs w:val="18"/>
              </w:rPr>
              <w:t>Omschakelprogramma ‘duurzame landbouw’ (2)</w:t>
            </w:r>
          </w:p>
        </w:tc>
        <w:tc>
          <w:tcPr>
            <w:tcW w:w="3221" w:type="dxa"/>
            <w:tcBorders>
              <w:top w:val="single" w:color="auto" w:sz="4" w:space="0"/>
              <w:left w:val="single" w:color="auto" w:sz="4" w:space="0"/>
              <w:bottom w:val="single" w:color="auto" w:sz="4" w:space="0"/>
              <w:right w:val="single" w:color="auto" w:sz="4" w:space="0"/>
            </w:tcBorders>
          </w:tcPr>
          <w:p w:rsidRPr="000B4D4D" w:rsidR="002700F6" w:rsidP="002700F6" w:rsidRDefault="002700F6" w14:paraId="7084BE22" w14:textId="7C72F6B6">
            <w:pPr>
              <w:rPr>
                <w:iCs/>
                <w:szCs w:val="18"/>
              </w:rPr>
            </w:pPr>
            <w:r w:rsidRPr="000B4D4D">
              <w:rPr>
                <w:iCs/>
                <w:szCs w:val="18"/>
              </w:rPr>
              <w:t>Zie toelichting bij SDG 6.</w:t>
            </w:r>
          </w:p>
          <w:p w:rsidRPr="000B4D4D" w:rsidR="007D3628" w:rsidP="007A1FCF" w:rsidRDefault="007D3628" w14:paraId="703A7AD6" w14:textId="77777777">
            <w:pPr>
              <w:rPr>
                <w:szCs w:val="18"/>
                <w:lang w:val="en-US"/>
              </w:rPr>
            </w:pPr>
          </w:p>
        </w:tc>
      </w:tr>
      <w:tr w:rsidRPr="000B4D4D" w:rsidR="007D3628" w:rsidTr="00800A85" w14:paraId="68F3FB6E"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768F6D1" w14:textId="77777777">
            <w:pPr>
              <w:numPr>
                <w:ilvl w:val="0"/>
                <w:numId w:val="11"/>
              </w:numPr>
              <w:rPr>
                <w:szCs w:val="18"/>
                <w:lang w:val="en-US"/>
              </w:rPr>
            </w:pPr>
            <w:r w:rsidRPr="000B4D4D">
              <w:rPr>
                <w:szCs w:val="18"/>
                <w:lang w:val="en-US"/>
              </w:rPr>
              <w:lastRenderedPageBreak/>
              <w:t>Life on land</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0D1B766" w14:textId="77777777">
            <w:pPr>
              <w:rPr>
                <w:szCs w:val="18"/>
              </w:rPr>
            </w:pPr>
            <w:r w:rsidRPr="000B4D4D">
              <w:rPr>
                <w:szCs w:val="18"/>
                <w:lang w:val="en-US"/>
              </w:rPr>
              <w:t xml:space="preserve">1. </w:t>
            </w:r>
            <w:r w:rsidRPr="000B4D4D">
              <w:rPr>
                <w:szCs w:val="18"/>
              </w:rPr>
              <w:t>Ketenaanpak verduurzaming landbouw (1)</w:t>
            </w:r>
          </w:p>
          <w:p w:rsidRPr="000B4D4D" w:rsidR="007D3628" w:rsidP="007A1FCF" w:rsidRDefault="007D3628" w14:paraId="5875871D" w14:textId="77777777">
            <w:pPr>
              <w:rPr>
                <w:szCs w:val="18"/>
                <w:lang w:val="en-US"/>
              </w:rPr>
            </w:pPr>
            <w:r w:rsidRPr="000B4D4D">
              <w:rPr>
                <w:szCs w:val="18"/>
                <w:lang w:val="en-US"/>
              </w:rPr>
              <w:t xml:space="preserve">2. </w:t>
            </w:r>
            <w:r w:rsidRPr="000B4D4D">
              <w:rPr>
                <w:szCs w:val="18"/>
              </w:rPr>
              <w:t>Omschakelprogramma ‘duurzame landbouw’ (2)</w:t>
            </w:r>
          </w:p>
        </w:tc>
        <w:tc>
          <w:tcPr>
            <w:tcW w:w="3221" w:type="dxa"/>
            <w:tcBorders>
              <w:top w:val="single" w:color="auto" w:sz="4" w:space="0"/>
              <w:left w:val="single" w:color="auto" w:sz="4" w:space="0"/>
              <w:bottom w:val="single" w:color="auto" w:sz="4" w:space="0"/>
              <w:right w:val="single" w:color="auto" w:sz="4" w:space="0"/>
            </w:tcBorders>
          </w:tcPr>
          <w:p w:rsidRPr="000B4D4D" w:rsidR="002700F6" w:rsidP="007A1FCF" w:rsidRDefault="002700F6" w14:paraId="7A7F122B" w14:textId="43C9310E">
            <w:pPr>
              <w:rPr>
                <w:iCs/>
                <w:szCs w:val="18"/>
              </w:rPr>
            </w:pPr>
            <w:r w:rsidRPr="000B4D4D">
              <w:rPr>
                <w:iCs/>
                <w:szCs w:val="18"/>
              </w:rPr>
              <w:t>Zie toelichting bij SDG 6.</w:t>
            </w:r>
          </w:p>
          <w:p w:rsidRPr="000B4D4D" w:rsidR="007D3628" w:rsidP="007A1FCF" w:rsidRDefault="007D3628" w14:paraId="72FCD7E9" w14:textId="5B0CE530">
            <w:pPr>
              <w:rPr>
                <w:szCs w:val="18"/>
              </w:rPr>
            </w:pPr>
          </w:p>
        </w:tc>
      </w:tr>
      <w:tr w:rsidRPr="000B4D4D" w:rsidR="007D3628" w:rsidTr="00800A85" w14:paraId="6438334F"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301997A" w14:textId="77777777">
            <w:pPr>
              <w:numPr>
                <w:ilvl w:val="0"/>
                <w:numId w:val="11"/>
              </w:numPr>
              <w:rPr>
                <w:szCs w:val="18"/>
                <w:lang w:val="en-US"/>
              </w:rPr>
            </w:pPr>
            <w:r w:rsidRPr="000B4D4D">
              <w:rPr>
                <w:szCs w:val="18"/>
                <w:lang w:val="en-US"/>
              </w:rPr>
              <w:t>Peace, justice and strong institutions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1F69DA74" w14:textId="58CB5E33">
            <w:pPr>
              <w:rPr>
                <w:szCs w:val="18"/>
                <w:lang w:val="en-US"/>
              </w:rPr>
            </w:pPr>
            <w:r w:rsidRPr="000B4D4D">
              <w:rPr>
                <w:szCs w:val="18"/>
                <w:lang w:val="en-US"/>
              </w:rPr>
              <w:t xml:space="preserve">1. </w:t>
            </w:r>
            <w:r w:rsidRPr="000B4D4D">
              <w:rPr>
                <w:szCs w:val="18"/>
              </w:rPr>
              <w:t>Implementatie CER/NIS2 (66)</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3AEE54CE" w14:textId="77777777">
            <w:pPr>
              <w:rPr>
                <w:szCs w:val="18"/>
              </w:rPr>
            </w:pPr>
            <w:r w:rsidRPr="000B4D4D">
              <w:rPr>
                <w:szCs w:val="18"/>
              </w:rPr>
              <w:t>1. Om onze nationale veiligheidsbelangen en vitale processen te beschermen, werken wij op verschillende niveaus samen om de digitale, fysieke en economische weerbaarheid te versterken. Er lopen verschillende wetsvoorstellen om dit te realiseren. Hieruit volgen bepaalde (wettelijke) taken om aanbieders die deel uitmaken van de energie-infrastructuur zorg te laten om hun (digitale) systemen weerbaar en veerkrachtig te maken.</w:t>
            </w:r>
          </w:p>
        </w:tc>
      </w:tr>
      <w:tr w:rsidRPr="000B4D4D" w:rsidR="007D3628" w:rsidTr="00800A85" w14:paraId="6F5CB1E8"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B153AAF" w14:textId="77777777">
            <w:pPr>
              <w:numPr>
                <w:ilvl w:val="0"/>
                <w:numId w:val="11"/>
              </w:numPr>
              <w:rPr>
                <w:szCs w:val="18"/>
                <w:lang w:val="en-US"/>
              </w:rPr>
            </w:pPr>
            <w:r w:rsidRPr="000B4D4D">
              <w:rPr>
                <w:szCs w:val="18"/>
                <w:lang w:val="en-US"/>
              </w:rPr>
              <w:t>Partnerships for the goals</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5879355F" w14:textId="77777777">
            <w:pPr>
              <w:rPr>
                <w:szCs w:val="18"/>
              </w:rPr>
            </w:pPr>
            <w:r w:rsidRPr="000B4D4D">
              <w:rPr>
                <w:szCs w:val="18"/>
                <w:lang w:val="en-US"/>
              </w:rPr>
              <w:t xml:space="preserve">1. </w:t>
            </w:r>
            <w:r w:rsidRPr="000B4D4D">
              <w:rPr>
                <w:szCs w:val="18"/>
              </w:rPr>
              <w:t>Actualisering van de Energiebesparingsplicht (10)</w:t>
            </w:r>
          </w:p>
          <w:p w:rsidRPr="000B4D4D" w:rsidR="007D3628" w:rsidP="007A1FCF" w:rsidRDefault="007D3628" w14:paraId="3D0169A2" w14:textId="77777777">
            <w:pPr>
              <w:rPr>
                <w:szCs w:val="18"/>
              </w:rPr>
            </w:pPr>
            <w:r w:rsidRPr="000B4D4D">
              <w:rPr>
                <w:szCs w:val="18"/>
              </w:rPr>
              <w:t>2. Actieplan Groene en Digitale banen (11)</w:t>
            </w:r>
          </w:p>
        </w:tc>
        <w:tc>
          <w:tcPr>
            <w:tcW w:w="3221" w:type="dxa"/>
            <w:tcBorders>
              <w:top w:val="single" w:color="auto" w:sz="4" w:space="0"/>
              <w:left w:val="single" w:color="auto" w:sz="4" w:space="0"/>
              <w:bottom w:val="single" w:color="auto" w:sz="4" w:space="0"/>
              <w:right w:val="single" w:color="auto" w:sz="4" w:space="0"/>
            </w:tcBorders>
          </w:tcPr>
          <w:p w:rsidRPr="000B4D4D" w:rsidR="007D3628" w:rsidP="007A1FCF" w:rsidRDefault="007D3628" w14:paraId="7A3E49CF" w14:textId="77777777">
            <w:pPr>
              <w:rPr>
                <w:szCs w:val="18"/>
              </w:rPr>
            </w:pPr>
            <w:r w:rsidRPr="000B4D4D">
              <w:rPr>
                <w:szCs w:val="18"/>
              </w:rPr>
              <w:t>1. Zie: SDG 13</w:t>
            </w:r>
          </w:p>
          <w:p w:rsidRPr="000B4D4D" w:rsidR="007D3628" w:rsidP="007A1FCF" w:rsidRDefault="007D3628" w14:paraId="42A281DC" w14:textId="77777777">
            <w:pPr>
              <w:rPr>
                <w:szCs w:val="18"/>
              </w:rPr>
            </w:pPr>
            <w:r w:rsidRPr="000B4D4D">
              <w:rPr>
                <w:szCs w:val="18"/>
              </w:rPr>
              <w:t>2. Het kabinet heeft het Actieplan Groene en Digitale Banen gepresenteerd, waarin extra inspanningen worden aangekondigd om de krapte op de arbeidsmarkt aan te pakken in sectoren die cruciaal zijn voor energie- en klimaattransities. Het opschalen van succesvolle regionale publiek-private partnerschappen in het beroepsonderwijs is een van de belangrijkste maatregelen van het actieplan.</w:t>
            </w:r>
          </w:p>
        </w:tc>
      </w:tr>
    </w:tbl>
    <w:p w:rsidRPr="000B4D4D" w:rsidR="007D3628" w:rsidP="007D3628" w:rsidRDefault="007D3628" w14:paraId="5221FB14" w14:textId="77777777">
      <w:pPr>
        <w:rPr>
          <w:szCs w:val="18"/>
        </w:rPr>
      </w:pPr>
    </w:p>
    <w:p w:rsidRPr="000B4D4D" w:rsidR="007D3628" w:rsidP="007D3628" w:rsidRDefault="007D3628" w14:paraId="7CAA1A62" w14:textId="77777777">
      <w:pPr>
        <w:rPr>
          <w:szCs w:val="18"/>
        </w:rPr>
      </w:pPr>
    </w:p>
    <w:p w:rsidRPr="000B4D4D" w:rsidR="007D3628" w:rsidP="007D3628" w:rsidRDefault="007D3628" w14:paraId="24C325ED" w14:textId="77777777">
      <w:pPr>
        <w:rPr>
          <w:rFonts w:eastAsia="Verdana" w:cs="Verdana"/>
          <w:szCs w:val="18"/>
        </w:rPr>
      </w:pPr>
    </w:p>
    <w:p w:rsidRPr="000B4D4D" w:rsidR="007D3628" w:rsidP="007D3628" w:rsidRDefault="007D3628" w14:paraId="5F9B0D68" w14:textId="77777777">
      <w:pPr>
        <w:rPr>
          <w:rFonts w:eastAsia="Verdana" w:cs="Verdana"/>
          <w:szCs w:val="18"/>
        </w:rPr>
      </w:pPr>
    </w:p>
    <w:sectPr w:rsidRPr="000B4D4D" w:rsidR="007D3628" w:rsidSect="00914AA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5EDC" w14:textId="77777777" w:rsidR="008D3D9E" w:rsidRDefault="008D3D9E" w:rsidP="00C60F37">
      <w:pPr>
        <w:spacing w:after="0" w:line="240" w:lineRule="auto"/>
      </w:pPr>
      <w:r>
        <w:separator/>
      </w:r>
    </w:p>
  </w:endnote>
  <w:endnote w:type="continuationSeparator" w:id="0">
    <w:p w14:paraId="03BED832" w14:textId="77777777" w:rsidR="008D3D9E" w:rsidRDefault="008D3D9E" w:rsidP="00C60F37">
      <w:pPr>
        <w:spacing w:after="0" w:line="240" w:lineRule="auto"/>
      </w:pPr>
      <w:r>
        <w:continuationSeparator/>
      </w:r>
    </w:p>
  </w:endnote>
  <w:endnote w:type="continuationNotice" w:id="1">
    <w:p w14:paraId="6EA0AF4B" w14:textId="77777777" w:rsidR="008D3D9E" w:rsidRDefault="008D3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BCF5" w14:textId="77777777" w:rsidR="0092415A" w:rsidRDefault="009241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2C06" w14:textId="7E9F6877" w:rsidR="00E15FBE" w:rsidRDefault="00E15FBE">
    <w:pPr>
      <w:pStyle w:val="Voettekst"/>
      <w:jc w:val="right"/>
    </w:pPr>
  </w:p>
  <w:sdt>
    <w:sdtPr>
      <w:id w:val="1893926027"/>
      <w:docPartObj>
        <w:docPartGallery w:val="Page Numbers (Bottom of Page)"/>
        <w:docPartUnique/>
      </w:docPartObj>
    </w:sdtPr>
    <w:sdtEndPr/>
    <w:sdtContent>
      <w:p w14:paraId="03EB345D" w14:textId="77777777" w:rsidR="00E15FBE" w:rsidRDefault="00E15FBE">
        <w:pPr>
          <w:pStyle w:val="Voettekst"/>
          <w:jc w:val="right"/>
        </w:pPr>
        <w:r>
          <w:fldChar w:fldCharType="begin"/>
        </w:r>
        <w:r>
          <w:instrText>PAGE   \* MERGEFORMAT</w:instrText>
        </w:r>
        <w:r>
          <w:fldChar w:fldCharType="separate"/>
        </w:r>
        <w:r>
          <w:t>2</w:t>
        </w:r>
        <w:r>
          <w:fldChar w:fldCharType="end"/>
        </w:r>
      </w:p>
    </w:sdtContent>
  </w:sdt>
  <w:p w14:paraId="060498DC" w14:textId="77777777" w:rsidR="00E15FBE" w:rsidRDefault="00E15F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4A2A" w14:textId="77777777" w:rsidR="0092415A" w:rsidRDefault="009241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91C6" w14:textId="77777777" w:rsidR="008D3D9E" w:rsidRDefault="008D3D9E" w:rsidP="00C60F37">
      <w:pPr>
        <w:spacing w:after="0" w:line="240" w:lineRule="auto"/>
      </w:pPr>
      <w:r>
        <w:separator/>
      </w:r>
    </w:p>
  </w:footnote>
  <w:footnote w:type="continuationSeparator" w:id="0">
    <w:p w14:paraId="551EACBF" w14:textId="77777777" w:rsidR="008D3D9E" w:rsidRDefault="008D3D9E" w:rsidP="00C60F37">
      <w:pPr>
        <w:spacing w:after="0" w:line="240" w:lineRule="auto"/>
      </w:pPr>
      <w:r>
        <w:continuationSeparator/>
      </w:r>
    </w:p>
  </w:footnote>
  <w:footnote w:type="continuationNotice" w:id="1">
    <w:p w14:paraId="72553F66" w14:textId="77777777" w:rsidR="008D3D9E" w:rsidRDefault="008D3D9E">
      <w:pPr>
        <w:spacing w:after="0" w:line="240" w:lineRule="auto"/>
      </w:pPr>
    </w:p>
  </w:footnote>
  <w:footnote w:id="2">
    <w:p w14:paraId="5E01D2F0" w14:textId="56E3E4BF" w:rsidR="00E24EDB" w:rsidRPr="00E24EDB" w:rsidRDefault="00E24EDB">
      <w:pPr>
        <w:pStyle w:val="Voetnoottekst"/>
      </w:pPr>
      <w:r>
        <w:rPr>
          <w:rStyle w:val="Voetnootmarkering"/>
        </w:rPr>
        <w:footnoteRef/>
      </w:r>
      <w:r w:rsidRPr="00E24EDB">
        <w:t xml:space="preserve"> </w:t>
      </w:r>
      <w:r w:rsidR="000D275C" w:rsidRPr="00F312C5">
        <w:rPr>
          <w:rFonts w:ascii="Verdana" w:hAnsi="Verdana"/>
          <w:sz w:val="14"/>
          <w:szCs w:val="14"/>
        </w:rPr>
        <w:t>Rijksoverheid (14 oktober 2024) Budgettair structureel plan voor de middellange termijn (</w:t>
      </w:r>
      <w:hyperlink r:id="rId1" w:history="1">
        <w:r w:rsidR="000D275C" w:rsidRPr="00F312C5">
          <w:rPr>
            <w:rStyle w:val="Hyperlink"/>
            <w:rFonts w:ascii="Verdana" w:hAnsi="Verdana"/>
            <w:sz w:val="14"/>
            <w:szCs w:val="14"/>
          </w:rPr>
          <w:t>link</w:t>
        </w:r>
      </w:hyperlink>
      <w:r w:rsidR="000D275C" w:rsidRPr="00F312C5">
        <w:rPr>
          <w:rFonts w:ascii="Verdana" w:hAnsi="Verdana"/>
          <w:sz w:val="14"/>
          <w:szCs w:val="14"/>
        </w:rPr>
        <w:t>)</w:t>
      </w:r>
    </w:p>
  </w:footnote>
  <w:footnote w:id="3">
    <w:p w14:paraId="59262439" w14:textId="5765F81B" w:rsidR="00E24EDB" w:rsidRPr="00E24EDB" w:rsidRDefault="00E24EDB">
      <w:pPr>
        <w:pStyle w:val="Voetnoottekst"/>
      </w:pPr>
      <w:r>
        <w:rPr>
          <w:rStyle w:val="Voetnootmarkering"/>
        </w:rPr>
        <w:footnoteRef/>
      </w:r>
      <w:r w:rsidRPr="00E24EDB">
        <w:t xml:space="preserve"> </w:t>
      </w:r>
      <w:r w:rsidRPr="00F312C5">
        <w:rPr>
          <w:rFonts w:ascii="Verdana" w:hAnsi="Verdana"/>
          <w:sz w:val="14"/>
          <w:szCs w:val="14"/>
        </w:rPr>
        <w:t>CPB (2025) Centraal Economisch Plan (</w:t>
      </w:r>
      <w:hyperlink r:id="rId2" w:history="1">
        <w:r w:rsidRPr="00F312C5">
          <w:rPr>
            <w:rStyle w:val="Hyperlink"/>
            <w:rFonts w:ascii="Verdana" w:hAnsi="Verdana"/>
            <w:sz w:val="14"/>
            <w:szCs w:val="14"/>
          </w:rPr>
          <w:t>link</w:t>
        </w:r>
      </w:hyperlink>
      <w:r w:rsidRPr="00F312C5">
        <w:rPr>
          <w:rFonts w:ascii="Verdana" w:hAnsi="Verdana"/>
          <w:sz w:val="14"/>
          <w:szCs w:val="14"/>
        </w:rPr>
        <w:t>)</w:t>
      </w:r>
    </w:p>
  </w:footnote>
  <w:footnote w:id="4">
    <w:p w14:paraId="65CF9E14" w14:textId="5549AF07" w:rsidR="00E24EDB" w:rsidRPr="00E24EDB" w:rsidRDefault="00E24EDB">
      <w:pPr>
        <w:pStyle w:val="Voetnoottekst"/>
      </w:pPr>
      <w:r>
        <w:rPr>
          <w:rStyle w:val="Voetnootmarkering"/>
        </w:rPr>
        <w:footnoteRef/>
      </w:r>
      <w:r w:rsidRPr="00E24EDB">
        <w:t xml:space="preserve"> </w:t>
      </w:r>
      <w:r w:rsidRPr="006A0599">
        <w:rPr>
          <w:rFonts w:ascii="Verdana" w:hAnsi="Verdana"/>
          <w:sz w:val="14"/>
          <w:szCs w:val="14"/>
        </w:rPr>
        <w:t xml:space="preserve">CPB (2025) </w:t>
      </w:r>
      <w:r w:rsidR="006A0599" w:rsidRPr="006A0599">
        <w:rPr>
          <w:rFonts w:ascii="Verdana" w:hAnsi="Verdana"/>
          <w:sz w:val="14"/>
          <w:szCs w:val="14"/>
        </w:rPr>
        <w:t>Budgettaire analyse Voorjaarsnota 2025</w:t>
      </w:r>
      <w:r w:rsidRPr="006A0599">
        <w:rPr>
          <w:rFonts w:ascii="Verdana" w:hAnsi="Verdana"/>
          <w:sz w:val="14"/>
          <w:szCs w:val="14"/>
        </w:rPr>
        <w:t xml:space="preserve"> (</w:t>
      </w:r>
      <w:hyperlink r:id="rId3" w:history="1">
        <w:r w:rsidRPr="006A0599">
          <w:rPr>
            <w:rStyle w:val="Hyperlink"/>
            <w:rFonts w:ascii="Verdana" w:hAnsi="Verdana"/>
            <w:sz w:val="14"/>
            <w:szCs w:val="14"/>
          </w:rPr>
          <w:t>link</w:t>
        </w:r>
      </w:hyperlink>
      <w:r w:rsidRPr="006A0599">
        <w:rPr>
          <w:rFonts w:ascii="Verdana" w:hAnsi="Verdana"/>
          <w:sz w:val="14"/>
          <w:szCs w:val="14"/>
        </w:rPr>
        <w:t>)</w:t>
      </w:r>
    </w:p>
  </w:footnote>
  <w:footnote w:id="5">
    <w:p w14:paraId="09F29D11" w14:textId="77777777" w:rsidR="00A63CF0" w:rsidRPr="00F312C5" w:rsidRDefault="00A63CF0" w:rsidP="00A63CF0">
      <w:pPr>
        <w:pStyle w:val="Voetnoottekst"/>
        <w:rPr>
          <w:rFonts w:ascii="Verdana" w:hAnsi="Verdana"/>
          <w:sz w:val="14"/>
          <w:szCs w:val="14"/>
          <w:lang w:val="en-US"/>
        </w:rPr>
      </w:pPr>
      <w:r w:rsidRPr="00F312C5">
        <w:rPr>
          <w:rStyle w:val="Voetnootmarkering"/>
          <w:rFonts w:ascii="Verdana" w:hAnsi="Verdana"/>
          <w:sz w:val="14"/>
          <w:szCs w:val="14"/>
        </w:rPr>
        <w:footnoteRef/>
      </w:r>
      <w:r w:rsidRPr="00F312C5">
        <w:rPr>
          <w:rFonts w:ascii="Verdana" w:hAnsi="Verdana"/>
          <w:sz w:val="14"/>
          <w:szCs w:val="14"/>
          <w:lang w:val="en-US"/>
        </w:rPr>
        <w:t xml:space="preserve"> </w:t>
      </w:r>
      <w:bookmarkStart w:id="8" w:name="_Hlk195167872"/>
      <w:r w:rsidR="00A5387C" w:rsidRPr="00F312C5">
        <w:fldChar w:fldCharType="begin"/>
      </w:r>
      <w:r w:rsidR="00A5387C" w:rsidRPr="00F312C5">
        <w:rPr>
          <w:rFonts w:ascii="Verdana" w:hAnsi="Verdana"/>
          <w:sz w:val="14"/>
          <w:szCs w:val="14"/>
          <w:lang w:val="en-US"/>
        </w:rPr>
        <w:instrText>HYPERLINK "https://economy-finance.ec.europa.eu/document/download/307c4bc5-f617-4977-83d2-e75893d0a904_en?filename=MTFSP_2025_NL.pdf"</w:instrText>
      </w:r>
      <w:r w:rsidR="00A5387C" w:rsidRPr="00F312C5">
        <w:fldChar w:fldCharType="separate"/>
      </w:r>
      <w:r w:rsidRPr="00F312C5">
        <w:rPr>
          <w:rStyle w:val="Hyperlink"/>
          <w:rFonts w:ascii="Verdana" w:hAnsi="Verdana"/>
          <w:sz w:val="14"/>
          <w:szCs w:val="14"/>
          <w:lang w:val="en-US"/>
        </w:rPr>
        <w:t>Council Recommendation of 21 January 2025 setting the net expenditure path of the Netherlands</w:t>
      </w:r>
      <w:r w:rsidR="00A5387C" w:rsidRPr="00F312C5">
        <w:rPr>
          <w:rStyle w:val="Hyperlink"/>
          <w:rFonts w:ascii="Verdana" w:hAnsi="Verdana"/>
          <w:sz w:val="14"/>
          <w:szCs w:val="14"/>
          <w:lang w:val="en-US"/>
        </w:rPr>
        <w:fldChar w:fldCharType="end"/>
      </w:r>
      <w:r w:rsidRPr="00F312C5">
        <w:rPr>
          <w:rFonts w:ascii="Verdana" w:hAnsi="Verdana"/>
          <w:sz w:val="14"/>
          <w:szCs w:val="14"/>
          <w:lang w:val="en-US"/>
        </w:rPr>
        <w:t xml:space="preserve"> (C/2025/648)</w:t>
      </w:r>
      <w:bookmarkEnd w:id="8"/>
    </w:p>
  </w:footnote>
  <w:footnote w:id="6">
    <w:p w14:paraId="789AAEAD" w14:textId="61372A34" w:rsidR="00A71009" w:rsidRPr="00F312C5" w:rsidRDefault="00A71009">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Rijksoverheid (14 oktober 2024) Budgettair structureel plan voor de middellange termijn (</w:t>
      </w:r>
      <w:hyperlink r:id="rId4" w:history="1">
        <w:r w:rsidRPr="00F312C5">
          <w:rPr>
            <w:rStyle w:val="Hyperlink"/>
            <w:rFonts w:ascii="Verdana" w:hAnsi="Verdana"/>
            <w:sz w:val="14"/>
            <w:szCs w:val="14"/>
          </w:rPr>
          <w:t>link</w:t>
        </w:r>
      </w:hyperlink>
      <w:r w:rsidRPr="00F312C5">
        <w:rPr>
          <w:rFonts w:ascii="Verdana" w:hAnsi="Verdana"/>
          <w:sz w:val="14"/>
          <w:szCs w:val="14"/>
        </w:rPr>
        <w:t>)</w:t>
      </w:r>
    </w:p>
  </w:footnote>
  <w:footnote w:id="7">
    <w:p w14:paraId="44614982" w14:textId="65C36C85" w:rsidR="001B5076" w:rsidRPr="00F312C5" w:rsidRDefault="001B5076">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2024 is een overgangsjaar van de oude naar de nieuwe Europese begrotingsregels. In dit jaar is de landspecifieke aanbeveling</w:t>
      </w:r>
      <w:r w:rsidR="00BC0F67" w:rsidRPr="00F312C5">
        <w:rPr>
          <w:rFonts w:ascii="Verdana" w:hAnsi="Verdana"/>
          <w:sz w:val="14"/>
          <w:szCs w:val="14"/>
        </w:rPr>
        <w:t xml:space="preserve"> voor de groei van de netto primaire uitgaven</w:t>
      </w:r>
      <w:r w:rsidRPr="00F312C5">
        <w:rPr>
          <w:rFonts w:ascii="Verdana" w:hAnsi="Verdana"/>
          <w:sz w:val="14"/>
          <w:szCs w:val="14"/>
        </w:rPr>
        <w:t xml:space="preserve"> leiden</w:t>
      </w:r>
      <w:r w:rsidR="00DA1849" w:rsidRPr="00F312C5">
        <w:rPr>
          <w:rFonts w:ascii="Verdana" w:hAnsi="Verdana"/>
          <w:sz w:val="14"/>
          <w:szCs w:val="14"/>
        </w:rPr>
        <w:t>d</w:t>
      </w:r>
      <w:r w:rsidRPr="00F312C5">
        <w:rPr>
          <w:rFonts w:ascii="Verdana" w:hAnsi="Verdana"/>
          <w:sz w:val="14"/>
          <w:szCs w:val="14"/>
        </w:rPr>
        <w:t xml:space="preserve">. </w:t>
      </w:r>
      <w:r w:rsidR="00BC0F67" w:rsidRPr="00F312C5">
        <w:rPr>
          <w:rFonts w:ascii="Verdana" w:hAnsi="Verdana"/>
          <w:sz w:val="14"/>
          <w:szCs w:val="14"/>
        </w:rPr>
        <w:t xml:space="preserve">De aanbeveling van de raad loopt slechts mee in de (cumulatieve) controlerekening. </w:t>
      </w:r>
    </w:p>
  </w:footnote>
  <w:footnote w:id="8">
    <w:p w14:paraId="2FFF6816" w14:textId="4734348D" w:rsidR="00F312C5" w:rsidRPr="00F312C5" w:rsidRDefault="00F312C5">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Cijfers op basis van de Macro-Economische Verkenning (2025) van het CPB (</w:t>
      </w:r>
      <w:hyperlink r:id="rId5" w:history="1">
        <w:r w:rsidRPr="00F312C5">
          <w:rPr>
            <w:rStyle w:val="Hyperlink"/>
            <w:rFonts w:ascii="Verdana" w:hAnsi="Verdana"/>
            <w:sz w:val="14"/>
            <w:szCs w:val="14"/>
          </w:rPr>
          <w:t>link</w:t>
        </w:r>
      </w:hyperlink>
      <w:r w:rsidRPr="00F312C5">
        <w:rPr>
          <w:rFonts w:ascii="Verdana" w:hAnsi="Verdana"/>
          <w:sz w:val="14"/>
          <w:szCs w:val="14"/>
        </w:rPr>
        <w:t>)</w:t>
      </w:r>
    </w:p>
  </w:footnote>
  <w:footnote w:id="9">
    <w:p w14:paraId="4123EDD0" w14:textId="106580F6" w:rsidR="00F312C5" w:rsidRPr="00F312C5" w:rsidRDefault="00F312C5">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Cijfers op basis van de CPB doorrekening van de Voorjaarsnota (</w:t>
      </w:r>
      <w:hyperlink r:id="rId6" w:history="1">
        <w:r w:rsidR="009E6CB5" w:rsidRPr="009E6CB5">
          <w:rPr>
            <w:rStyle w:val="Hyperlink"/>
            <w:rFonts w:ascii="Verdana" w:hAnsi="Verdana"/>
            <w:sz w:val="14"/>
            <w:szCs w:val="14"/>
          </w:rPr>
          <w:t>link</w:t>
        </w:r>
      </w:hyperlink>
      <w:r w:rsidRPr="00F312C5">
        <w:rPr>
          <w:rFonts w:ascii="Verdana" w:hAnsi="Verdana"/>
          <w:sz w:val="14"/>
          <w:szCs w:val="14"/>
        </w:rPr>
        <w:t>)</w:t>
      </w:r>
    </w:p>
  </w:footnote>
  <w:footnote w:id="10">
    <w:p w14:paraId="4B13B0B2" w14:textId="77777777" w:rsidR="00651DCA" w:rsidRPr="00F312C5" w:rsidRDefault="00651DCA" w:rsidP="00651DCA">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CPB (2025) Centraal Economisch Plan (</w:t>
      </w:r>
      <w:hyperlink r:id="rId7" w:history="1">
        <w:r w:rsidRPr="00F312C5">
          <w:rPr>
            <w:rStyle w:val="Hyperlink"/>
            <w:rFonts w:ascii="Verdana" w:hAnsi="Verdana"/>
            <w:sz w:val="14"/>
            <w:szCs w:val="14"/>
          </w:rPr>
          <w:t>link</w:t>
        </w:r>
      </w:hyperlink>
      <w:r w:rsidRPr="00F312C5">
        <w:rPr>
          <w:rFonts w:ascii="Verdana" w:hAnsi="Verdana"/>
          <w:sz w:val="14"/>
          <w:szCs w:val="14"/>
        </w:rPr>
        <w:t>)</w:t>
      </w:r>
    </w:p>
  </w:footnote>
  <w:footnote w:id="11">
    <w:p w14:paraId="17A5D935" w14:textId="77777777" w:rsidR="004814C6" w:rsidRPr="00F312C5" w:rsidRDefault="004814C6" w:rsidP="004814C6">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Indien de maatregel tevens onderdeel is van (i) het Nederlandse herstel- en veerkrachtplan of (ii) het MFK- </w:t>
      </w:r>
      <w:hyperlink r:id="rId8" w:history="1">
        <w:r w:rsidRPr="00F312C5">
          <w:rPr>
            <w:rStyle w:val="Hyperlink"/>
            <w:rFonts w:ascii="Verdana" w:hAnsi="Verdana"/>
            <w:sz w:val="14"/>
            <w:szCs w:val="14"/>
          </w:rPr>
          <w:t>Partnerschapsovereenkomst</w:t>
        </w:r>
      </w:hyperlink>
      <w:r w:rsidRPr="00F312C5">
        <w:rPr>
          <w:rFonts w:ascii="Verdana" w:hAnsi="Verdana"/>
          <w:sz w:val="14"/>
          <w:szCs w:val="14"/>
        </w:rPr>
        <w:t xml:space="preserve">. Voor HVP-maatregelen wordt tussen de haakjes verwezen naar het nummer in de herziene Annex van het Raaduitvoeringsbesluit. </w:t>
      </w:r>
    </w:p>
  </w:footnote>
  <w:footnote w:id="12">
    <w:p w14:paraId="508A72E9" w14:textId="77777777" w:rsidR="004814C6" w:rsidRPr="00F312C5" w:rsidRDefault="004814C6" w:rsidP="004814C6">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Conform de richtlijnen van de Europese Commissie wordt gereageerd op de landspecifieke aanbevelingen die 'relevant' zijn. Dat wil zeggen, de structurele (niet-budgettaire) aanbevelingen teruggaand tot 2019 die volgens de jaarlijkse Commissiebeoordeling geen 'substantiële' of 'volledige' vooruitgang of implementatie hebben, zie </w:t>
      </w:r>
      <w:hyperlink r:id="rId9" w:history="1">
        <w:r w:rsidRPr="00F312C5">
          <w:rPr>
            <w:rStyle w:val="Hyperlink"/>
            <w:rFonts w:ascii="Verdana" w:hAnsi="Verdana"/>
            <w:sz w:val="14"/>
            <w:szCs w:val="14"/>
          </w:rPr>
          <w:t>Country-specific recommendations database (europa.eu)</w:t>
        </w:r>
      </w:hyperlink>
      <w:r w:rsidRPr="00F312C5">
        <w:rPr>
          <w:rStyle w:val="Hyperlink"/>
          <w:rFonts w:ascii="Verdana" w:hAnsi="Verdana"/>
          <w:sz w:val="14"/>
          <w:szCs w:val="14"/>
        </w:rPr>
        <w:t xml:space="preserve"> </w:t>
      </w:r>
      <w:r w:rsidRPr="00F312C5">
        <w:rPr>
          <w:rFonts w:ascii="Verdana" w:hAnsi="Verdana"/>
          <w:sz w:val="14"/>
          <w:szCs w:val="14"/>
        </w:rPr>
        <w:t>voor 2023 en eerder.</w:t>
      </w:r>
    </w:p>
  </w:footnote>
  <w:footnote w:id="13">
    <w:p w14:paraId="6A67385F" w14:textId="52F9B251" w:rsidR="004814C6" w:rsidRPr="00F312C5" w:rsidRDefault="004814C6" w:rsidP="00E247FF">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De gemeenschappelijke prioriteiten van de Unie cf. Artikel 13(c) Verordening 2024/1263, (i) het verwezenlijken van een eerlijke groene en digitale transitie, met inbegrip van de klimaatdoelstellingen zoals vastgelegd in Verordening (EU) 2021/1119 (“Europese Klimaatwet”), (ii) sociale en economische veerkracht, met inbegrip van de Europese pijler van sociale rechten, (iii) energiezekerheid en (iv) waar noodzakelijk, de opbouw van defensievermogens. </w:t>
      </w:r>
    </w:p>
  </w:footnote>
  <w:footnote w:id="14">
    <w:p w14:paraId="08EAF99B" w14:textId="77777777" w:rsidR="00E247FF" w:rsidRPr="00F312C5" w:rsidRDefault="00E247FF" w:rsidP="00E247FF">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Hervormingen en investeringen aangeduid met (*) worden ook beschreven in het Integraal Nationaal Plan Energie en Klimaat (2021-2030, update 2023). Zie: </w:t>
      </w:r>
      <w:hyperlink r:id="rId10" w:history="1">
        <w:r w:rsidRPr="00F312C5">
          <w:rPr>
            <w:rStyle w:val="Hyperlink"/>
            <w:rFonts w:ascii="Verdana" w:hAnsi="Verdana"/>
            <w:sz w:val="14"/>
            <w:szCs w:val="14"/>
          </w:rPr>
          <w:t>https://open.overheid.nl/documenten/105257f6-c87e-4603-8521-244feadade6a/file</w:t>
        </w:r>
      </w:hyperlink>
    </w:p>
    <w:p w14:paraId="2E069AD5" w14:textId="39765D2A" w:rsidR="00E247FF" w:rsidRPr="00F312C5" w:rsidRDefault="00E247FF">
      <w:pPr>
        <w:pStyle w:val="Voetnoottekst"/>
        <w:rPr>
          <w:rFonts w:ascii="Verdana" w:hAnsi="Verdana"/>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1E9D" w14:textId="77777777" w:rsidR="0092415A" w:rsidRDefault="009241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D66F" w14:textId="77777777" w:rsidR="0092415A" w:rsidRDefault="009241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9A79" w14:textId="77777777" w:rsidR="0092415A" w:rsidRDefault="009241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586"/>
    <w:multiLevelType w:val="hybridMultilevel"/>
    <w:tmpl w:val="E63E5E0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97B35"/>
    <w:multiLevelType w:val="hybridMultilevel"/>
    <w:tmpl w:val="DE46D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F3C33D5"/>
    <w:multiLevelType w:val="hybridMultilevel"/>
    <w:tmpl w:val="DB6C5E3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9D259D"/>
    <w:multiLevelType w:val="hybridMultilevel"/>
    <w:tmpl w:val="7A022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A09D4"/>
    <w:multiLevelType w:val="hybridMultilevel"/>
    <w:tmpl w:val="078A8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5EA3"/>
    <w:multiLevelType w:val="hybridMultilevel"/>
    <w:tmpl w:val="AE8CCC4E"/>
    <w:lvl w:ilvl="0" w:tplc="FFFFFFFF">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AE754E0"/>
    <w:multiLevelType w:val="hybridMultilevel"/>
    <w:tmpl w:val="DD56A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31347E5"/>
    <w:multiLevelType w:val="hybridMultilevel"/>
    <w:tmpl w:val="A91293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AD1993"/>
    <w:multiLevelType w:val="hybridMultilevel"/>
    <w:tmpl w:val="2F287528"/>
    <w:lvl w:ilvl="0" w:tplc="A918A194">
      <w:start w:val="1"/>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A59647D"/>
    <w:multiLevelType w:val="hybridMultilevel"/>
    <w:tmpl w:val="AA38C2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AB761A7"/>
    <w:multiLevelType w:val="hybridMultilevel"/>
    <w:tmpl w:val="278472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7196C35"/>
    <w:multiLevelType w:val="hybridMultilevel"/>
    <w:tmpl w:val="93D82B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6F167E"/>
    <w:multiLevelType w:val="hybridMultilevel"/>
    <w:tmpl w:val="2B0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6639C0"/>
    <w:multiLevelType w:val="hybridMultilevel"/>
    <w:tmpl w:val="1D780B82"/>
    <w:lvl w:ilvl="0" w:tplc="C1382D60">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6456FFB"/>
    <w:multiLevelType w:val="hybridMultilevel"/>
    <w:tmpl w:val="0D9452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E77346A"/>
    <w:multiLevelType w:val="hybridMultilevel"/>
    <w:tmpl w:val="4658EE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354B92"/>
    <w:multiLevelType w:val="hybridMultilevel"/>
    <w:tmpl w:val="1B5CD948"/>
    <w:lvl w:ilvl="0" w:tplc="E6841048">
      <w:start w:val="5"/>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492A46"/>
    <w:multiLevelType w:val="hybridMultilevel"/>
    <w:tmpl w:val="0EBC9B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C147858"/>
    <w:multiLevelType w:val="hybridMultilevel"/>
    <w:tmpl w:val="7784963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6038FF"/>
    <w:multiLevelType w:val="hybridMultilevel"/>
    <w:tmpl w:val="BD0E3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8DD10BB"/>
    <w:multiLevelType w:val="hybridMultilevel"/>
    <w:tmpl w:val="00BEEE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9DF27D1"/>
    <w:multiLevelType w:val="hybridMultilevel"/>
    <w:tmpl w:val="6FEAE2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E7F2774"/>
    <w:multiLevelType w:val="hybridMultilevel"/>
    <w:tmpl w:val="27847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09721961">
    <w:abstractNumId w:val="3"/>
  </w:num>
  <w:num w:numId="2" w16cid:durableId="1565139497">
    <w:abstractNumId w:val="1"/>
  </w:num>
  <w:num w:numId="3" w16cid:durableId="169178136">
    <w:abstractNumId w:val="9"/>
  </w:num>
  <w:num w:numId="4" w16cid:durableId="1660844097">
    <w:abstractNumId w:val="6"/>
  </w:num>
  <w:num w:numId="5" w16cid:durableId="2051294748">
    <w:abstractNumId w:val="20"/>
  </w:num>
  <w:num w:numId="6" w16cid:durableId="1804493464">
    <w:abstractNumId w:val="19"/>
  </w:num>
  <w:num w:numId="7" w16cid:durableId="1888905154">
    <w:abstractNumId w:val="7"/>
  </w:num>
  <w:num w:numId="8" w16cid:durableId="1209416469">
    <w:abstractNumId w:val="17"/>
  </w:num>
  <w:num w:numId="9" w16cid:durableId="2093118586">
    <w:abstractNumId w:val="12"/>
  </w:num>
  <w:num w:numId="10" w16cid:durableId="1116558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1678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9110717">
    <w:abstractNumId w:val="15"/>
  </w:num>
  <w:num w:numId="13" w16cid:durableId="623584351">
    <w:abstractNumId w:val="14"/>
  </w:num>
  <w:num w:numId="14" w16cid:durableId="780304298">
    <w:abstractNumId w:val="4"/>
  </w:num>
  <w:num w:numId="15" w16cid:durableId="779910007">
    <w:abstractNumId w:val="11"/>
  </w:num>
  <w:num w:numId="16" w16cid:durableId="265967804">
    <w:abstractNumId w:val="0"/>
  </w:num>
  <w:num w:numId="17" w16cid:durableId="1069425378">
    <w:abstractNumId w:val="2"/>
  </w:num>
  <w:num w:numId="18" w16cid:durableId="63574753">
    <w:abstractNumId w:val="16"/>
  </w:num>
  <w:num w:numId="19" w16cid:durableId="480392620">
    <w:abstractNumId w:val="22"/>
  </w:num>
  <w:num w:numId="20" w16cid:durableId="1101028723">
    <w:abstractNumId w:val="13"/>
  </w:num>
  <w:num w:numId="21" w16cid:durableId="1310474931">
    <w:abstractNumId w:val="5"/>
  </w:num>
  <w:num w:numId="22" w16cid:durableId="586422163">
    <w:abstractNumId w:val="18"/>
  </w:num>
  <w:num w:numId="23" w16cid:durableId="424155333">
    <w:abstractNumId w:val="8"/>
  </w:num>
  <w:num w:numId="24" w16cid:durableId="977494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37"/>
    <w:rsid w:val="00006185"/>
    <w:rsid w:val="00012E15"/>
    <w:rsid w:val="00015F6B"/>
    <w:rsid w:val="0001687D"/>
    <w:rsid w:val="00021769"/>
    <w:rsid w:val="000264C1"/>
    <w:rsid w:val="000370D4"/>
    <w:rsid w:val="0003754D"/>
    <w:rsid w:val="00041D60"/>
    <w:rsid w:val="00042EDC"/>
    <w:rsid w:val="0005543B"/>
    <w:rsid w:val="00060AE0"/>
    <w:rsid w:val="000649E5"/>
    <w:rsid w:val="000657F2"/>
    <w:rsid w:val="0006586D"/>
    <w:rsid w:val="00065BA5"/>
    <w:rsid w:val="00066A26"/>
    <w:rsid w:val="0006798A"/>
    <w:rsid w:val="00076C35"/>
    <w:rsid w:val="00081E9D"/>
    <w:rsid w:val="00082FF3"/>
    <w:rsid w:val="000830C7"/>
    <w:rsid w:val="0008714E"/>
    <w:rsid w:val="000922D9"/>
    <w:rsid w:val="00093046"/>
    <w:rsid w:val="000951FD"/>
    <w:rsid w:val="00097FEF"/>
    <w:rsid w:val="000A096D"/>
    <w:rsid w:val="000A1028"/>
    <w:rsid w:val="000A1A04"/>
    <w:rsid w:val="000A3088"/>
    <w:rsid w:val="000A3F2E"/>
    <w:rsid w:val="000A7062"/>
    <w:rsid w:val="000B2258"/>
    <w:rsid w:val="000B4D4D"/>
    <w:rsid w:val="000B5FFA"/>
    <w:rsid w:val="000B7645"/>
    <w:rsid w:val="000C07A7"/>
    <w:rsid w:val="000C0F94"/>
    <w:rsid w:val="000C1EFA"/>
    <w:rsid w:val="000C68FA"/>
    <w:rsid w:val="000D275C"/>
    <w:rsid w:val="000D2A97"/>
    <w:rsid w:val="000D4795"/>
    <w:rsid w:val="000D50E3"/>
    <w:rsid w:val="000E1214"/>
    <w:rsid w:val="000E2CF6"/>
    <w:rsid w:val="000E5A4E"/>
    <w:rsid w:val="000E6020"/>
    <w:rsid w:val="000E74B5"/>
    <w:rsid w:val="000F4659"/>
    <w:rsid w:val="000F4806"/>
    <w:rsid w:val="000F5260"/>
    <w:rsid w:val="00106C84"/>
    <w:rsid w:val="00110E83"/>
    <w:rsid w:val="00111B7D"/>
    <w:rsid w:val="00112960"/>
    <w:rsid w:val="00117FC0"/>
    <w:rsid w:val="001244A4"/>
    <w:rsid w:val="00131AEB"/>
    <w:rsid w:val="001341FC"/>
    <w:rsid w:val="001343AD"/>
    <w:rsid w:val="00146BAE"/>
    <w:rsid w:val="00151749"/>
    <w:rsid w:val="001542A0"/>
    <w:rsid w:val="001563D8"/>
    <w:rsid w:val="00156F68"/>
    <w:rsid w:val="001609B5"/>
    <w:rsid w:val="00161F65"/>
    <w:rsid w:val="001624C8"/>
    <w:rsid w:val="00164A99"/>
    <w:rsid w:val="00170DA6"/>
    <w:rsid w:val="00177E1F"/>
    <w:rsid w:val="00180B4E"/>
    <w:rsid w:val="0018110B"/>
    <w:rsid w:val="00183501"/>
    <w:rsid w:val="00192B25"/>
    <w:rsid w:val="00196196"/>
    <w:rsid w:val="001A1A4F"/>
    <w:rsid w:val="001A2EAF"/>
    <w:rsid w:val="001A36DA"/>
    <w:rsid w:val="001A7945"/>
    <w:rsid w:val="001B14E3"/>
    <w:rsid w:val="001B5076"/>
    <w:rsid w:val="001B5EBE"/>
    <w:rsid w:val="001C2C26"/>
    <w:rsid w:val="001C4F78"/>
    <w:rsid w:val="001D00D9"/>
    <w:rsid w:val="001D0528"/>
    <w:rsid w:val="001D23C3"/>
    <w:rsid w:val="001D2ADA"/>
    <w:rsid w:val="001D2D47"/>
    <w:rsid w:val="001D59A4"/>
    <w:rsid w:val="001D5E1A"/>
    <w:rsid w:val="001E1B58"/>
    <w:rsid w:val="001E1E1F"/>
    <w:rsid w:val="001E2D76"/>
    <w:rsid w:val="001E5AD9"/>
    <w:rsid w:val="001E6863"/>
    <w:rsid w:val="001F0BC0"/>
    <w:rsid w:val="001F23FA"/>
    <w:rsid w:val="001F3714"/>
    <w:rsid w:val="001F4B39"/>
    <w:rsid w:val="001F5B45"/>
    <w:rsid w:val="00200EC6"/>
    <w:rsid w:val="0020619F"/>
    <w:rsid w:val="002213B1"/>
    <w:rsid w:val="00222A4E"/>
    <w:rsid w:val="00231965"/>
    <w:rsid w:val="00235169"/>
    <w:rsid w:val="00235733"/>
    <w:rsid w:val="00237B4B"/>
    <w:rsid w:val="002458C7"/>
    <w:rsid w:val="00246718"/>
    <w:rsid w:val="00250742"/>
    <w:rsid w:val="00250A96"/>
    <w:rsid w:val="0025334A"/>
    <w:rsid w:val="00255A9D"/>
    <w:rsid w:val="00260F97"/>
    <w:rsid w:val="002635E4"/>
    <w:rsid w:val="0026683D"/>
    <w:rsid w:val="00267F0A"/>
    <w:rsid w:val="002700F6"/>
    <w:rsid w:val="0027484D"/>
    <w:rsid w:val="00276727"/>
    <w:rsid w:val="00277769"/>
    <w:rsid w:val="00280C18"/>
    <w:rsid w:val="00281221"/>
    <w:rsid w:val="00282463"/>
    <w:rsid w:val="00283413"/>
    <w:rsid w:val="00285FD1"/>
    <w:rsid w:val="002874DA"/>
    <w:rsid w:val="00295BEC"/>
    <w:rsid w:val="002A20DD"/>
    <w:rsid w:val="002A46FD"/>
    <w:rsid w:val="002A68AF"/>
    <w:rsid w:val="002B0312"/>
    <w:rsid w:val="002B35AD"/>
    <w:rsid w:val="002B4523"/>
    <w:rsid w:val="002C1C6E"/>
    <w:rsid w:val="002C7BF4"/>
    <w:rsid w:val="002D682C"/>
    <w:rsid w:val="002E31BB"/>
    <w:rsid w:val="002F03F9"/>
    <w:rsid w:val="002F29FA"/>
    <w:rsid w:val="002F36C1"/>
    <w:rsid w:val="002F4E79"/>
    <w:rsid w:val="002F7CB3"/>
    <w:rsid w:val="00300650"/>
    <w:rsid w:val="00307049"/>
    <w:rsid w:val="003074ED"/>
    <w:rsid w:val="0031678E"/>
    <w:rsid w:val="003175A7"/>
    <w:rsid w:val="003212E1"/>
    <w:rsid w:val="00324C59"/>
    <w:rsid w:val="003250A7"/>
    <w:rsid w:val="00327F3B"/>
    <w:rsid w:val="00331B50"/>
    <w:rsid w:val="00331E93"/>
    <w:rsid w:val="00332FE5"/>
    <w:rsid w:val="00337F83"/>
    <w:rsid w:val="003424D1"/>
    <w:rsid w:val="003437E0"/>
    <w:rsid w:val="003465CA"/>
    <w:rsid w:val="003510EF"/>
    <w:rsid w:val="00352C12"/>
    <w:rsid w:val="003542CE"/>
    <w:rsid w:val="0035681A"/>
    <w:rsid w:val="00364891"/>
    <w:rsid w:val="00367A26"/>
    <w:rsid w:val="00381E77"/>
    <w:rsid w:val="00384563"/>
    <w:rsid w:val="003869B1"/>
    <w:rsid w:val="00387331"/>
    <w:rsid w:val="00394122"/>
    <w:rsid w:val="003951FC"/>
    <w:rsid w:val="00397600"/>
    <w:rsid w:val="003A2861"/>
    <w:rsid w:val="003A6E78"/>
    <w:rsid w:val="003B0817"/>
    <w:rsid w:val="003B3605"/>
    <w:rsid w:val="003B47C8"/>
    <w:rsid w:val="003B6501"/>
    <w:rsid w:val="003C1E33"/>
    <w:rsid w:val="003C3303"/>
    <w:rsid w:val="003C43A5"/>
    <w:rsid w:val="003D3A37"/>
    <w:rsid w:val="003D5986"/>
    <w:rsid w:val="003D5FD1"/>
    <w:rsid w:val="003D6539"/>
    <w:rsid w:val="003E0B70"/>
    <w:rsid w:val="003E1E18"/>
    <w:rsid w:val="003E428D"/>
    <w:rsid w:val="003E58AA"/>
    <w:rsid w:val="003E594A"/>
    <w:rsid w:val="003F0B22"/>
    <w:rsid w:val="003F1C6C"/>
    <w:rsid w:val="003F2DD5"/>
    <w:rsid w:val="003F2E87"/>
    <w:rsid w:val="003F453C"/>
    <w:rsid w:val="00405F8F"/>
    <w:rsid w:val="00420E40"/>
    <w:rsid w:val="00431BD5"/>
    <w:rsid w:val="00432B60"/>
    <w:rsid w:val="00434A39"/>
    <w:rsid w:val="00435B69"/>
    <w:rsid w:val="00440FE4"/>
    <w:rsid w:val="004441CE"/>
    <w:rsid w:val="00454089"/>
    <w:rsid w:val="00454928"/>
    <w:rsid w:val="004566CC"/>
    <w:rsid w:val="00460F2D"/>
    <w:rsid w:val="004630B2"/>
    <w:rsid w:val="00467A88"/>
    <w:rsid w:val="004713D8"/>
    <w:rsid w:val="0047307B"/>
    <w:rsid w:val="004745ED"/>
    <w:rsid w:val="00475E45"/>
    <w:rsid w:val="00476375"/>
    <w:rsid w:val="00477E6D"/>
    <w:rsid w:val="004814C6"/>
    <w:rsid w:val="00482954"/>
    <w:rsid w:val="00491775"/>
    <w:rsid w:val="004935E3"/>
    <w:rsid w:val="00493D8A"/>
    <w:rsid w:val="004959B7"/>
    <w:rsid w:val="00496D50"/>
    <w:rsid w:val="00497F39"/>
    <w:rsid w:val="004A1977"/>
    <w:rsid w:val="004A2F66"/>
    <w:rsid w:val="004A3A92"/>
    <w:rsid w:val="004A48EA"/>
    <w:rsid w:val="004A4CDB"/>
    <w:rsid w:val="004B0FE1"/>
    <w:rsid w:val="004B1586"/>
    <w:rsid w:val="004B4374"/>
    <w:rsid w:val="004B6648"/>
    <w:rsid w:val="004B6A01"/>
    <w:rsid w:val="004B7C08"/>
    <w:rsid w:val="004C4B3A"/>
    <w:rsid w:val="004D2F7A"/>
    <w:rsid w:val="004E1CA4"/>
    <w:rsid w:val="004E4565"/>
    <w:rsid w:val="004E60A0"/>
    <w:rsid w:val="004F1A85"/>
    <w:rsid w:val="004F221F"/>
    <w:rsid w:val="004F63FD"/>
    <w:rsid w:val="004F694B"/>
    <w:rsid w:val="00501DE8"/>
    <w:rsid w:val="00501E08"/>
    <w:rsid w:val="005038FD"/>
    <w:rsid w:val="00507A69"/>
    <w:rsid w:val="00507FB6"/>
    <w:rsid w:val="005105EF"/>
    <w:rsid w:val="00512616"/>
    <w:rsid w:val="00512F3A"/>
    <w:rsid w:val="00513C4E"/>
    <w:rsid w:val="00515DBF"/>
    <w:rsid w:val="00522547"/>
    <w:rsid w:val="0052472F"/>
    <w:rsid w:val="005304BC"/>
    <w:rsid w:val="00536128"/>
    <w:rsid w:val="00540E78"/>
    <w:rsid w:val="00546823"/>
    <w:rsid w:val="00547844"/>
    <w:rsid w:val="00551235"/>
    <w:rsid w:val="005546F1"/>
    <w:rsid w:val="005553B5"/>
    <w:rsid w:val="00556DE3"/>
    <w:rsid w:val="00567267"/>
    <w:rsid w:val="00572A86"/>
    <w:rsid w:val="0057372A"/>
    <w:rsid w:val="0057583C"/>
    <w:rsid w:val="00575B21"/>
    <w:rsid w:val="00576847"/>
    <w:rsid w:val="00581D95"/>
    <w:rsid w:val="00584BB9"/>
    <w:rsid w:val="00590EE2"/>
    <w:rsid w:val="0059487B"/>
    <w:rsid w:val="00595301"/>
    <w:rsid w:val="00596D63"/>
    <w:rsid w:val="005A3902"/>
    <w:rsid w:val="005B2426"/>
    <w:rsid w:val="005B55C3"/>
    <w:rsid w:val="005B6D05"/>
    <w:rsid w:val="005C2A6D"/>
    <w:rsid w:val="005D1698"/>
    <w:rsid w:val="005D7105"/>
    <w:rsid w:val="005F0B86"/>
    <w:rsid w:val="005F3463"/>
    <w:rsid w:val="005F7E3D"/>
    <w:rsid w:val="005F7EF4"/>
    <w:rsid w:val="006001ED"/>
    <w:rsid w:val="0060379E"/>
    <w:rsid w:val="00607946"/>
    <w:rsid w:val="00611958"/>
    <w:rsid w:val="00614BE0"/>
    <w:rsid w:val="00615819"/>
    <w:rsid w:val="006205ED"/>
    <w:rsid w:val="006253E8"/>
    <w:rsid w:val="00626241"/>
    <w:rsid w:val="00632AAD"/>
    <w:rsid w:val="006339F5"/>
    <w:rsid w:val="006407EA"/>
    <w:rsid w:val="00640D8F"/>
    <w:rsid w:val="00642E46"/>
    <w:rsid w:val="00651DCA"/>
    <w:rsid w:val="0065276E"/>
    <w:rsid w:val="00662F75"/>
    <w:rsid w:val="00666E77"/>
    <w:rsid w:val="00667B7A"/>
    <w:rsid w:val="00667CD9"/>
    <w:rsid w:val="006723CD"/>
    <w:rsid w:val="0067360B"/>
    <w:rsid w:val="00673A7C"/>
    <w:rsid w:val="00676A21"/>
    <w:rsid w:val="006810AD"/>
    <w:rsid w:val="0068401C"/>
    <w:rsid w:val="00685EE0"/>
    <w:rsid w:val="00697C9B"/>
    <w:rsid w:val="00697EB4"/>
    <w:rsid w:val="006A0599"/>
    <w:rsid w:val="006A5F27"/>
    <w:rsid w:val="006B1498"/>
    <w:rsid w:val="006B3CC2"/>
    <w:rsid w:val="006B4411"/>
    <w:rsid w:val="006C0965"/>
    <w:rsid w:val="006C49CC"/>
    <w:rsid w:val="006C7541"/>
    <w:rsid w:val="006D5234"/>
    <w:rsid w:val="006D54A0"/>
    <w:rsid w:val="006E5142"/>
    <w:rsid w:val="006E6B94"/>
    <w:rsid w:val="006F516D"/>
    <w:rsid w:val="006F5A65"/>
    <w:rsid w:val="00703127"/>
    <w:rsid w:val="0070499D"/>
    <w:rsid w:val="00711ECE"/>
    <w:rsid w:val="00714C5A"/>
    <w:rsid w:val="007207E2"/>
    <w:rsid w:val="00721603"/>
    <w:rsid w:val="00723B73"/>
    <w:rsid w:val="00725EF6"/>
    <w:rsid w:val="00727B64"/>
    <w:rsid w:val="007319DF"/>
    <w:rsid w:val="0073464F"/>
    <w:rsid w:val="0073494D"/>
    <w:rsid w:val="00741569"/>
    <w:rsid w:val="00743C02"/>
    <w:rsid w:val="0076343E"/>
    <w:rsid w:val="00775F4C"/>
    <w:rsid w:val="00776554"/>
    <w:rsid w:val="00782B21"/>
    <w:rsid w:val="00782BBE"/>
    <w:rsid w:val="00783869"/>
    <w:rsid w:val="0079218E"/>
    <w:rsid w:val="0079293F"/>
    <w:rsid w:val="007A1844"/>
    <w:rsid w:val="007A4AA5"/>
    <w:rsid w:val="007A6BCB"/>
    <w:rsid w:val="007B02AE"/>
    <w:rsid w:val="007B0A9E"/>
    <w:rsid w:val="007B32D8"/>
    <w:rsid w:val="007B4931"/>
    <w:rsid w:val="007B58F3"/>
    <w:rsid w:val="007C041C"/>
    <w:rsid w:val="007C2037"/>
    <w:rsid w:val="007C48D8"/>
    <w:rsid w:val="007C4A04"/>
    <w:rsid w:val="007C6D6C"/>
    <w:rsid w:val="007D3628"/>
    <w:rsid w:val="007D46A7"/>
    <w:rsid w:val="007D52CD"/>
    <w:rsid w:val="007D7216"/>
    <w:rsid w:val="007E05AB"/>
    <w:rsid w:val="007F229B"/>
    <w:rsid w:val="007F39B7"/>
    <w:rsid w:val="007F3BB2"/>
    <w:rsid w:val="007F3EF2"/>
    <w:rsid w:val="007F4195"/>
    <w:rsid w:val="007F50F4"/>
    <w:rsid w:val="007F79E7"/>
    <w:rsid w:val="008003EB"/>
    <w:rsid w:val="00800A85"/>
    <w:rsid w:val="008015C0"/>
    <w:rsid w:val="008026D8"/>
    <w:rsid w:val="00802E4B"/>
    <w:rsid w:val="00805625"/>
    <w:rsid w:val="00806AE0"/>
    <w:rsid w:val="0081533C"/>
    <w:rsid w:val="00815481"/>
    <w:rsid w:val="00816D4D"/>
    <w:rsid w:val="00820A1D"/>
    <w:rsid w:val="00820C9E"/>
    <w:rsid w:val="008215B1"/>
    <w:rsid w:val="00827318"/>
    <w:rsid w:val="00831335"/>
    <w:rsid w:val="0083495D"/>
    <w:rsid w:val="00835A4E"/>
    <w:rsid w:val="00837A70"/>
    <w:rsid w:val="00841C6A"/>
    <w:rsid w:val="00842074"/>
    <w:rsid w:val="008470E5"/>
    <w:rsid w:val="008472E0"/>
    <w:rsid w:val="00850059"/>
    <w:rsid w:val="00850B80"/>
    <w:rsid w:val="008510F0"/>
    <w:rsid w:val="00852D05"/>
    <w:rsid w:val="00867F6A"/>
    <w:rsid w:val="0087194B"/>
    <w:rsid w:val="00876D55"/>
    <w:rsid w:val="00877410"/>
    <w:rsid w:val="00877AA9"/>
    <w:rsid w:val="00881672"/>
    <w:rsid w:val="0088432D"/>
    <w:rsid w:val="00886A0E"/>
    <w:rsid w:val="0089086E"/>
    <w:rsid w:val="00890B41"/>
    <w:rsid w:val="008A1C4F"/>
    <w:rsid w:val="008A1F18"/>
    <w:rsid w:val="008A4F03"/>
    <w:rsid w:val="008A52A9"/>
    <w:rsid w:val="008A6589"/>
    <w:rsid w:val="008A74A6"/>
    <w:rsid w:val="008A7857"/>
    <w:rsid w:val="008B18B1"/>
    <w:rsid w:val="008B52FC"/>
    <w:rsid w:val="008C18F5"/>
    <w:rsid w:val="008C303B"/>
    <w:rsid w:val="008C5A45"/>
    <w:rsid w:val="008C77F9"/>
    <w:rsid w:val="008D26F6"/>
    <w:rsid w:val="008D3427"/>
    <w:rsid w:val="008D3D9E"/>
    <w:rsid w:val="008E23EA"/>
    <w:rsid w:val="008E616C"/>
    <w:rsid w:val="008F2EE1"/>
    <w:rsid w:val="008F5445"/>
    <w:rsid w:val="008F7118"/>
    <w:rsid w:val="009015BA"/>
    <w:rsid w:val="009015F0"/>
    <w:rsid w:val="009029ED"/>
    <w:rsid w:val="00903A15"/>
    <w:rsid w:val="00904E3C"/>
    <w:rsid w:val="00914AA6"/>
    <w:rsid w:val="00914AAA"/>
    <w:rsid w:val="00915FD1"/>
    <w:rsid w:val="00916A74"/>
    <w:rsid w:val="00921FDC"/>
    <w:rsid w:val="0092285C"/>
    <w:rsid w:val="00922F0E"/>
    <w:rsid w:val="0092415A"/>
    <w:rsid w:val="009272EC"/>
    <w:rsid w:val="009340C5"/>
    <w:rsid w:val="00940861"/>
    <w:rsid w:val="00941639"/>
    <w:rsid w:val="00941A40"/>
    <w:rsid w:val="00942433"/>
    <w:rsid w:val="00944475"/>
    <w:rsid w:val="0094459F"/>
    <w:rsid w:val="00952188"/>
    <w:rsid w:val="00957F36"/>
    <w:rsid w:val="00962818"/>
    <w:rsid w:val="009734A7"/>
    <w:rsid w:val="00974E5D"/>
    <w:rsid w:val="00985F3C"/>
    <w:rsid w:val="009942BA"/>
    <w:rsid w:val="00994DB8"/>
    <w:rsid w:val="009961BF"/>
    <w:rsid w:val="009A5189"/>
    <w:rsid w:val="009A661E"/>
    <w:rsid w:val="009B4958"/>
    <w:rsid w:val="009B6E03"/>
    <w:rsid w:val="009C0B41"/>
    <w:rsid w:val="009D1669"/>
    <w:rsid w:val="009E0C04"/>
    <w:rsid w:val="009E1783"/>
    <w:rsid w:val="009E1E66"/>
    <w:rsid w:val="009E6CB5"/>
    <w:rsid w:val="009F09FB"/>
    <w:rsid w:val="009F271F"/>
    <w:rsid w:val="009F3064"/>
    <w:rsid w:val="009F6C81"/>
    <w:rsid w:val="00A015A4"/>
    <w:rsid w:val="00A04C0A"/>
    <w:rsid w:val="00A05701"/>
    <w:rsid w:val="00A127F8"/>
    <w:rsid w:val="00A149F9"/>
    <w:rsid w:val="00A22051"/>
    <w:rsid w:val="00A25304"/>
    <w:rsid w:val="00A30C35"/>
    <w:rsid w:val="00A319D0"/>
    <w:rsid w:val="00A35A26"/>
    <w:rsid w:val="00A377F0"/>
    <w:rsid w:val="00A43BB1"/>
    <w:rsid w:val="00A448E9"/>
    <w:rsid w:val="00A50691"/>
    <w:rsid w:val="00A52385"/>
    <w:rsid w:val="00A5252A"/>
    <w:rsid w:val="00A5387C"/>
    <w:rsid w:val="00A543DB"/>
    <w:rsid w:val="00A554DC"/>
    <w:rsid w:val="00A56A4A"/>
    <w:rsid w:val="00A57C31"/>
    <w:rsid w:val="00A63CF0"/>
    <w:rsid w:val="00A647EC"/>
    <w:rsid w:val="00A66C8B"/>
    <w:rsid w:val="00A67162"/>
    <w:rsid w:val="00A70ABA"/>
    <w:rsid w:val="00A70EFB"/>
    <w:rsid w:val="00A71009"/>
    <w:rsid w:val="00A76731"/>
    <w:rsid w:val="00A7692E"/>
    <w:rsid w:val="00A81C0A"/>
    <w:rsid w:val="00A82B6D"/>
    <w:rsid w:val="00A84A0E"/>
    <w:rsid w:val="00A92392"/>
    <w:rsid w:val="00A93C10"/>
    <w:rsid w:val="00A94287"/>
    <w:rsid w:val="00A95534"/>
    <w:rsid w:val="00A96547"/>
    <w:rsid w:val="00A9786B"/>
    <w:rsid w:val="00AA0E6F"/>
    <w:rsid w:val="00AA39A9"/>
    <w:rsid w:val="00AA423D"/>
    <w:rsid w:val="00AA5076"/>
    <w:rsid w:val="00AA7E62"/>
    <w:rsid w:val="00AB1B41"/>
    <w:rsid w:val="00AB5764"/>
    <w:rsid w:val="00AC279F"/>
    <w:rsid w:val="00AC4F92"/>
    <w:rsid w:val="00AD07F5"/>
    <w:rsid w:val="00AE326B"/>
    <w:rsid w:val="00AE468B"/>
    <w:rsid w:val="00AE6179"/>
    <w:rsid w:val="00AE7C47"/>
    <w:rsid w:val="00AE7C63"/>
    <w:rsid w:val="00AF029E"/>
    <w:rsid w:val="00AF3A79"/>
    <w:rsid w:val="00AF4077"/>
    <w:rsid w:val="00AF63EB"/>
    <w:rsid w:val="00B01FB9"/>
    <w:rsid w:val="00B071CD"/>
    <w:rsid w:val="00B07859"/>
    <w:rsid w:val="00B15107"/>
    <w:rsid w:val="00B20030"/>
    <w:rsid w:val="00B208E9"/>
    <w:rsid w:val="00B300AD"/>
    <w:rsid w:val="00B35396"/>
    <w:rsid w:val="00B44514"/>
    <w:rsid w:val="00B44D18"/>
    <w:rsid w:val="00B61201"/>
    <w:rsid w:val="00B70BE0"/>
    <w:rsid w:val="00B7201D"/>
    <w:rsid w:val="00B72301"/>
    <w:rsid w:val="00B72958"/>
    <w:rsid w:val="00B72AF9"/>
    <w:rsid w:val="00B730BF"/>
    <w:rsid w:val="00B74DC9"/>
    <w:rsid w:val="00B7532F"/>
    <w:rsid w:val="00B7685E"/>
    <w:rsid w:val="00B776FC"/>
    <w:rsid w:val="00B82D66"/>
    <w:rsid w:val="00BA7F6B"/>
    <w:rsid w:val="00BB141D"/>
    <w:rsid w:val="00BB3865"/>
    <w:rsid w:val="00BB49D2"/>
    <w:rsid w:val="00BB5807"/>
    <w:rsid w:val="00BC0F67"/>
    <w:rsid w:val="00BE212F"/>
    <w:rsid w:val="00BE66E2"/>
    <w:rsid w:val="00BE6CC9"/>
    <w:rsid w:val="00BF530E"/>
    <w:rsid w:val="00BF66B9"/>
    <w:rsid w:val="00BF6980"/>
    <w:rsid w:val="00BF732F"/>
    <w:rsid w:val="00C01C99"/>
    <w:rsid w:val="00C20201"/>
    <w:rsid w:val="00C212A3"/>
    <w:rsid w:val="00C26698"/>
    <w:rsid w:val="00C275AD"/>
    <w:rsid w:val="00C3131D"/>
    <w:rsid w:val="00C33E9F"/>
    <w:rsid w:val="00C37EDA"/>
    <w:rsid w:val="00C43A9C"/>
    <w:rsid w:val="00C46270"/>
    <w:rsid w:val="00C53DBB"/>
    <w:rsid w:val="00C60270"/>
    <w:rsid w:val="00C60F37"/>
    <w:rsid w:val="00C6662D"/>
    <w:rsid w:val="00C67D07"/>
    <w:rsid w:val="00C70D1B"/>
    <w:rsid w:val="00C71F25"/>
    <w:rsid w:val="00C762DB"/>
    <w:rsid w:val="00C76CBE"/>
    <w:rsid w:val="00C76FB0"/>
    <w:rsid w:val="00C77887"/>
    <w:rsid w:val="00C83784"/>
    <w:rsid w:val="00C9108C"/>
    <w:rsid w:val="00C93539"/>
    <w:rsid w:val="00C97234"/>
    <w:rsid w:val="00CA316F"/>
    <w:rsid w:val="00CA3F88"/>
    <w:rsid w:val="00CA5DCE"/>
    <w:rsid w:val="00CB3409"/>
    <w:rsid w:val="00CB4916"/>
    <w:rsid w:val="00CB6EEF"/>
    <w:rsid w:val="00CC6203"/>
    <w:rsid w:val="00CC6878"/>
    <w:rsid w:val="00CC79BE"/>
    <w:rsid w:val="00CD01DD"/>
    <w:rsid w:val="00CD05BC"/>
    <w:rsid w:val="00CD4BD2"/>
    <w:rsid w:val="00CD7263"/>
    <w:rsid w:val="00CE3059"/>
    <w:rsid w:val="00CE4B8B"/>
    <w:rsid w:val="00CE60DF"/>
    <w:rsid w:val="00CE6A0C"/>
    <w:rsid w:val="00CF4D1D"/>
    <w:rsid w:val="00CF7255"/>
    <w:rsid w:val="00D015DF"/>
    <w:rsid w:val="00D039FD"/>
    <w:rsid w:val="00D03F21"/>
    <w:rsid w:val="00D06F47"/>
    <w:rsid w:val="00D12C74"/>
    <w:rsid w:val="00D13166"/>
    <w:rsid w:val="00D13A77"/>
    <w:rsid w:val="00D15509"/>
    <w:rsid w:val="00D15B1C"/>
    <w:rsid w:val="00D16DDF"/>
    <w:rsid w:val="00D2195D"/>
    <w:rsid w:val="00D233B5"/>
    <w:rsid w:val="00D24032"/>
    <w:rsid w:val="00D24393"/>
    <w:rsid w:val="00D3172A"/>
    <w:rsid w:val="00D31A57"/>
    <w:rsid w:val="00D33A51"/>
    <w:rsid w:val="00D3470F"/>
    <w:rsid w:val="00D34C61"/>
    <w:rsid w:val="00D4200B"/>
    <w:rsid w:val="00D44A93"/>
    <w:rsid w:val="00D452B6"/>
    <w:rsid w:val="00D46690"/>
    <w:rsid w:val="00D51180"/>
    <w:rsid w:val="00D61DD6"/>
    <w:rsid w:val="00D720A3"/>
    <w:rsid w:val="00D76334"/>
    <w:rsid w:val="00D77D0F"/>
    <w:rsid w:val="00D8289F"/>
    <w:rsid w:val="00D83F61"/>
    <w:rsid w:val="00D8405B"/>
    <w:rsid w:val="00D86756"/>
    <w:rsid w:val="00D97F04"/>
    <w:rsid w:val="00DA14AA"/>
    <w:rsid w:val="00DA1849"/>
    <w:rsid w:val="00DA4E7C"/>
    <w:rsid w:val="00DA625D"/>
    <w:rsid w:val="00DB008C"/>
    <w:rsid w:val="00DB043D"/>
    <w:rsid w:val="00DB3B38"/>
    <w:rsid w:val="00DB3D46"/>
    <w:rsid w:val="00DB3DC0"/>
    <w:rsid w:val="00DC4E0D"/>
    <w:rsid w:val="00DC62FD"/>
    <w:rsid w:val="00DD3576"/>
    <w:rsid w:val="00DE125E"/>
    <w:rsid w:val="00DE19AF"/>
    <w:rsid w:val="00DE582A"/>
    <w:rsid w:val="00DE67A3"/>
    <w:rsid w:val="00DF02D2"/>
    <w:rsid w:val="00DF1637"/>
    <w:rsid w:val="00DF5371"/>
    <w:rsid w:val="00E01E18"/>
    <w:rsid w:val="00E01EC3"/>
    <w:rsid w:val="00E02BB8"/>
    <w:rsid w:val="00E05D1B"/>
    <w:rsid w:val="00E065DA"/>
    <w:rsid w:val="00E112DC"/>
    <w:rsid w:val="00E117AC"/>
    <w:rsid w:val="00E148EB"/>
    <w:rsid w:val="00E15FBE"/>
    <w:rsid w:val="00E17E76"/>
    <w:rsid w:val="00E2266E"/>
    <w:rsid w:val="00E247FF"/>
    <w:rsid w:val="00E24EDB"/>
    <w:rsid w:val="00E30520"/>
    <w:rsid w:val="00E31EC4"/>
    <w:rsid w:val="00E326EF"/>
    <w:rsid w:val="00E34464"/>
    <w:rsid w:val="00E3497F"/>
    <w:rsid w:val="00E41F5A"/>
    <w:rsid w:val="00E4701A"/>
    <w:rsid w:val="00E61895"/>
    <w:rsid w:val="00E65AF7"/>
    <w:rsid w:val="00E75319"/>
    <w:rsid w:val="00E77788"/>
    <w:rsid w:val="00E839AA"/>
    <w:rsid w:val="00E849CA"/>
    <w:rsid w:val="00E86881"/>
    <w:rsid w:val="00E873A3"/>
    <w:rsid w:val="00E90504"/>
    <w:rsid w:val="00E9636A"/>
    <w:rsid w:val="00E966D6"/>
    <w:rsid w:val="00EA131A"/>
    <w:rsid w:val="00EA22B6"/>
    <w:rsid w:val="00EA2FE6"/>
    <w:rsid w:val="00EA3003"/>
    <w:rsid w:val="00EA4D63"/>
    <w:rsid w:val="00EA5D9F"/>
    <w:rsid w:val="00EA6768"/>
    <w:rsid w:val="00EA68D4"/>
    <w:rsid w:val="00EB6FCF"/>
    <w:rsid w:val="00EC0AEE"/>
    <w:rsid w:val="00EE0512"/>
    <w:rsid w:val="00EE1103"/>
    <w:rsid w:val="00EE6DC7"/>
    <w:rsid w:val="00EF249E"/>
    <w:rsid w:val="00EF3FE3"/>
    <w:rsid w:val="00EF43C5"/>
    <w:rsid w:val="00EF5293"/>
    <w:rsid w:val="00EF6F75"/>
    <w:rsid w:val="00EF7928"/>
    <w:rsid w:val="00EF7F38"/>
    <w:rsid w:val="00F00518"/>
    <w:rsid w:val="00F044D6"/>
    <w:rsid w:val="00F04C2C"/>
    <w:rsid w:val="00F05B25"/>
    <w:rsid w:val="00F06532"/>
    <w:rsid w:val="00F06853"/>
    <w:rsid w:val="00F2531E"/>
    <w:rsid w:val="00F27700"/>
    <w:rsid w:val="00F312C5"/>
    <w:rsid w:val="00F40FDD"/>
    <w:rsid w:val="00F46762"/>
    <w:rsid w:val="00F47889"/>
    <w:rsid w:val="00F5419B"/>
    <w:rsid w:val="00F573C6"/>
    <w:rsid w:val="00F57EFE"/>
    <w:rsid w:val="00F6144F"/>
    <w:rsid w:val="00F61E4A"/>
    <w:rsid w:val="00F6240D"/>
    <w:rsid w:val="00F66CB1"/>
    <w:rsid w:val="00F67FC5"/>
    <w:rsid w:val="00F7399E"/>
    <w:rsid w:val="00F93965"/>
    <w:rsid w:val="00F95363"/>
    <w:rsid w:val="00F957DB"/>
    <w:rsid w:val="00FA1197"/>
    <w:rsid w:val="00FA24F4"/>
    <w:rsid w:val="00FA2DBF"/>
    <w:rsid w:val="00FA3CDA"/>
    <w:rsid w:val="00FA4C26"/>
    <w:rsid w:val="00FB1BEC"/>
    <w:rsid w:val="00FB2103"/>
    <w:rsid w:val="00FB2BCD"/>
    <w:rsid w:val="00FB51BE"/>
    <w:rsid w:val="00FB55C2"/>
    <w:rsid w:val="00FC27D0"/>
    <w:rsid w:val="00FD18F4"/>
    <w:rsid w:val="00FD4443"/>
    <w:rsid w:val="00FE1FE7"/>
    <w:rsid w:val="00FE3F5D"/>
    <w:rsid w:val="00FF047B"/>
    <w:rsid w:val="00FF6D39"/>
    <w:rsid w:val="0526F81A"/>
    <w:rsid w:val="0D73A6EF"/>
    <w:rsid w:val="18B0971F"/>
    <w:rsid w:val="1A5CB1CB"/>
    <w:rsid w:val="28AD60B6"/>
    <w:rsid w:val="35A50C1B"/>
    <w:rsid w:val="3623809E"/>
    <w:rsid w:val="3B5B6A01"/>
    <w:rsid w:val="4465C1D1"/>
    <w:rsid w:val="4C8F58E8"/>
    <w:rsid w:val="55C4798E"/>
    <w:rsid w:val="6293872C"/>
    <w:rsid w:val="6B6F4446"/>
    <w:rsid w:val="6CFC741E"/>
    <w:rsid w:val="7019B2FB"/>
    <w:rsid w:val="79634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C295"/>
  <w15:chartTrackingRefBased/>
  <w15:docId w15:val="{2D9D74DE-B52F-46DF-8C11-8A0C5D3F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6CB5"/>
    <w:rPr>
      <w:rFonts w:ascii="Verdana" w:hAnsi="Verdana"/>
      <w:sz w:val="18"/>
    </w:rPr>
  </w:style>
  <w:style w:type="paragraph" w:styleId="Kop1">
    <w:name w:val="heading 1"/>
    <w:basedOn w:val="Standaard"/>
    <w:next w:val="Standaard"/>
    <w:link w:val="Kop1Char"/>
    <w:uiPriority w:val="9"/>
    <w:qFormat/>
    <w:rsid w:val="00D3470F"/>
    <w:pPr>
      <w:keepNext/>
      <w:keepLines/>
      <w:pBdr>
        <w:left w:val="single" w:sz="12" w:space="12" w:color="01689B"/>
      </w:pBdr>
      <w:spacing w:before="80" w:after="80" w:line="276" w:lineRule="auto"/>
      <w:outlineLvl w:val="0"/>
    </w:pPr>
    <w:rPr>
      <w:color w:val="01689B"/>
      <w:sz w:val="32"/>
      <w:szCs w:val="32"/>
    </w:rPr>
  </w:style>
  <w:style w:type="paragraph" w:styleId="Kop2">
    <w:name w:val="heading 2"/>
    <w:basedOn w:val="Standaard"/>
    <w:next w:val="Standaard"/>
    <w:link w:val="Kop2Char"/>
    <w:uiPriority w:val="9"/>
    <w:semiHidden/>
    <w:unhideWhenUsed/>
    <w:qFormat/>
    <w:rsid w:val="00C60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0F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0F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60F3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60F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60F3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60F3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60F3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5FBE"/>
    <w:rPr>
      <w:rFonts w:ascii="Verdana" w:hAnsi="Verdana"/>
      <w:color w:val="01689B"/>
      <w:sz w:val="32"/>
      <w:szCs w:val="32"/>
    </w:rPr>
  </w:style>
  <w:style w:type="character" w:customStyle="1" w:styleId="Kop2Char">
    <w:name w:val="Kop 2 Char"/>
    <w:basedOn w:val="Standaardalinea-lettertype"/>
    <w:link w:val="Kop2"/>
    <w:uiPriority w:val="9"/>
    <w:semiHidden/>
    <w:rsid w:val="00C60F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0F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0F37"/>
    <w:rPr>
      <w:rFonts w:eastAsiaTheme="majorEastAsia" w:cstheme="majorBidi"/>
      <w:i/>
      <w:iCs/>
      <w:color w:val="2F5496" w:themeColor="accent1" w:themeShade="BF"/>
      <w:sz w:val="18"/>
    </w:rPr>
  </w:style>
  <w:style w:type="character" w:customStyle="1" w:styleId="Kop5Char">
    <w:name w:val="Kop 5 Char"/>
    <w:basedOn w:val="Standaardalinea-lettertype"/>
    <w:link w:val="Kop5"/>
    <w:uiPriority w:val="9"/>
    <w:semiHidden/>
    <w:rsid w:val="00C60F37"/>
    <w:rPr>
      <w:rFonts w:eastAsiaTheme="majorEastAsia" w:cstheme="majorBidi"/>
      <w:color w:val="2F5496" w:themeColor="accent1" w:themeShade="BF"/>
      <w:sz w:val="18"/>
    </w:rPr>
  </w:style>
  <w:style w:type="character" w:customStyle="1" w:styleId="Kop6Char">
    <w:name w:val="Kop 6 Char"/>
    <w:basedOn w:val="Standaardalinea-lettertype"/>
    <w:link w:val="Kop6"/>
    <w:uiPriority w:val="9"/>
    <w:semiHidden/>
    <w:rsid w:val="00C60F37"/>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C60F37"/>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C60F37"/>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C60F37"/>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C60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F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F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F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F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F37"/>
    <w:rPr>
      <w:rFonts w:ascii="Verdana" w:hAnsi="Verdana"/>
      <w:i/>
      <w:iCs/>
      <w:color w:val="404040" w:themeColor="text1" w:themeTint="BF"/>
      <w:sz w:val="18"/>
    </w:rPr>
  </w:style>
  <w:style w:type="paragraph" w:styleId="Lijstalinea">
    <w:name w:val="List Paragraph"/>
    <w:aliases w:val="Dot pt,F5 List Paragraph,List Paragraph1,No Spacing1,List Paragraph Char Char Char,Indicator Text,Colorful List - Accent 11,Numbered Para 1,Bullet 1,Bullet Points,MAIN CONTENT,List Paragraph11,List Paragraph12,List Paragraph2,L,EC,3"/>
    <w:basedOn w:val="Standaard"/>
    <w:link w:val="LijstalineaChar"/>
    <w:uiPriority w:val="34"/>
    <w:qFormat/>
    <w:rsid w:val="00C60F37"/>
    <w:pPr>
      <w:ind w:left="720"/>
      <w:contextualSpacing/>
    </w:pPr>
  </w:style>
  <w:style w:type="character" w:styleId="Intensievebenadrukking">
    <w:name w:val="Intense Emphasis"/>
    <w:basedOn w:val="Standaardalinea-lettertype"/>
    <w:uiPriority w:val="21"/>
    <w:qFormat/>
    <w:rsid w:val="00C60F37"/>
    <w:rPr>
      <w:i/>
      <w:iCs/>
      <w:color w:val="2F5496" w:themeColor="accent1" w:themeShade="BF"/>
    </w:rPr>
  </w:style>
  <w:style w:type="paragraph" w:styleId="Duidelijkcitaat">
    <w:name w:val="Intense Quote"/>
    <w:basedOn w:val="Standaard"/>
    <w:next w:val="Standaard"/>
    <w:link w:val="DuidelijkcitaatChar"/>
    <w:uiPriority w:val="30"/>
    <w:qFormat/>
    <w:rsid w:val="00C60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0F37"/>
    <w:rPr>
      <w:rFonts w:ascii="Verdana" w:hAnsi="Verdana"/>
      <w:i/>
      <w:iCs/>
      <w:color w:val="2F5496" w:themeColor="accent1" w:themeShade="BF"/>
      <w:sz w:val="18"/>
    </w:rPr>
  </w:style>
  <w:style w:type="character" w:styleId="Intensieveverwijzing">
    <w:name w:val="Intense Reference"/>
    <w:basedOn w:val="Standaardalinea-lettertype"/>
    <w:uiPriority w:val="32"/>
    <w:qFormat/>
    <w:rsid w:val="00C60F37"/>
    <w:rPr>
      <w:b/>
      <w:bCs/>
      <w:smallCaps/>
      <w:color w:val="2F5496"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C60F37"/>
    <w:pPr>
      <w:spacing w:after="0" w:line="240" w:lineRule="auto"/>
    </w:pPr>
    <w:rPr>
      <w:rFonts w:asciiTheme="minorHAnsi" w:hAnsiTheme="minorHAnsi"/>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C60F37"/>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C60F37"/>
    <w:rPr>
      <w:vertAlign w:val="superscript"/>
    </w:rPr>
  </w:style>
  <w:style w:type="character" w:styleId="Hyperlink">
    <w:name w:val="Hyperlink"/>
    <w:basedOn w:val="Standaardalinea-lettertype"/>
    <w:uiPriority w:val="99"/>
    <w:unhideWhenUsed/>
    <w:rsid w:val="00C60F37"/>
    <w:rPr>
      <w:color w:val="0563C1" w:themeColor="hyperlink"/>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C60F37"/>
    <w:pPr>
      <w:autoSpaceDE w:val="0"/>
      <w:autoSpaceDN w:val="0"/>
      <w:spacing w:line="240" w:lineRule="exact"/>
      <w:jc w:val="both"/>
    </w:pPr>
    <w:rPr>
      <w:rFonts w:asciiTheme="minorHAnsi" w:hAnsiTheme="minorHAnsi"/>
      <w:sz w:val="22"/>
      <w:vertAlign w:val="superscript"/>
    </w:rPr>
  </w:style>
  <w:style w:type="paragraph" w:styleId="Kopvaninhoudsopgave">
    <w:name w:val="TOC Heading"/>
    <w:basedOn w:val="Kop1"/>
    <w:next w:val="Standaard"/>
    <w:uiPriority w:val="39"/>
    <w:unhideWhenUsed/>
    <w:qFormat/>
    <w:rsid w:val="00D13A77"/>
    <w:pPr>
      <w:spacing w:before="240" w:after="0" w:line="259" w:lineRule="auto"/>
      <w:outlineLvl w:val="9"/>
    </w:pPr>
    <w:rPr>
      <w:rFonts w:asciiTheme="majorHAnsi" w:hAnsiTheme="majorHAnsi"/>
      <w:kern w:val="0"/>
      <w:lang w:eastAsia="nl-NL"/>
      <w14:ligatures w14:val="none"/>
    </w:rPr>
  </w:style>
  <w:style w:type="paragraph" w:styleId="Inhopg1">
    <w:name w:val="toc 1"/>
    <w:basedOn w:val="Standaard"/>
    <w:next w:val="Standaard"/>
    <w:autoRedefine/>
    <w:uiPriority w:val="39"/>
    <w:unhideWhenUsed/>
    <w:rsid w:val="00D13A77"/>
    <w:pPr>
      <w:spacing w:after="100"/>
    </w:pPr>
  </w:style>
  <w:style w:type="paragraph" w:styleId="Koptekst">
    <w:name w:val="header"/>
    <w:basedOn w:val="Standaard"/>
    <w:link w:val="KoptekstChar"/>
    <w:uiPriority w:val="99"/>
    <w:unhideWhenUsed/>
    <w:rsid w:val="00E15F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FBE"/>
    <w:rPr>
      <w:rFonts w:ascii="Verdana" w:hAnsi="Verdana"/>
      <w:sz w:val="18"/>
    </w:rPr>
  </w:style>
  <w:style w:type="paragraph" w:styleId="Voettekst">
    <w:name w:val="footer"/>
    <w:basedOn w:val="Standaard"/>
    <w:link w:val="VoettekstChar"/>
    <w:uiPriority w:val="99"/>
    <w:unhideWhenUsed/>
    <w:rsid w:val="00E15F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FBE"/>
    <w:rPr>
      <w:rFonts w:ascii="Verdana" w:hAnsi="Verdana"/>
      <w:sz w:val="18"/>
    </w:rPr>
  </w:style>
  <w:style w:type="character" w:styleId="Verwijzingopmerking">
    <w:name w:val="annotation reference"/>
    <w:basedOn w:val="Standaardalinea-lettertype"/>
    <w:uiPriority w:val="99"/>
    <w:semiHidden/>
    <w:unhideWhenUsed/>
    <w:rsid w:val="00D8289F"/>
    <w:rPr>
      <w:sz w:val="16"/>
      <w:szCs w:val="16"/>
    </w:rPr>
  </w:style>
  <w:style w:type="paragraph" w:styleId="Tekstopmerking">
    <w:name w:val="annotation text"/>
    <w:basedOn w:val="Standaard"/>
    <w:link w:val="TekstopmerkingChar"/>
    <w:uiPriority w:val="99"/>
    <w:unhideWhenUsed/>
    <w:rsid w:val="00D8289F"/>
    <w:pPr>
      <w:spacing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D8289F"/>
    <w:rPr>
      <w:sz w:val="20"/>
      <w:szCs w:val="20"/>
    </w:rPr>
  </w:style>
  <w:style w:type="paragraph" w:styleId="Onderwerpvanopmerking">
    <w:name w:val="annotation subject"/>
    <w:basedOn w:val="Tekstopmerking"/>
    <w:next w:val="Tekstopmerking"/>
    <w:link w:val="OnderwerpvanopmerkingChar"/>
    <w:uiPriority w:val="99"/>
    <w:semiHidden/>
    <w:unhideWhenUsed/>
    <w:rsid w:val="0020619F"/>
    <w:rPr>
      <w:rFonts w:ascii="Verdana" w:hAnsi="Verdana"/>
      <w:b/>
      <w:bCs/>
    </w:rPr>
  </w:style>
  <w:style w:type="character" w:customStyle="1" w:styleId="OnderwerpvanopmerkingChar">
    <w:name w:val="Onderwerp van opmerking Char"/>
    <w:basedOn w:val="TekstopmerkingChar"/>
    <w:link w:val="Onderwerpvanopmerking"/>
    <w:uiPriority w:val="99"/>
    <w:semiHidden/>
    <w:rsid w:val="0020619F"/>
    <w:rPr>
      <w:rFonts w:ascii="Verdana" w:hAnsi="Verdana"/>
      <w:b/>
      <w:bCs/>
      <w:sz w:val="20"/>
      <w:szCs w:val="20"/>
    </w:rPr>
  </w:style>
  <w:style w:type="character" w:styleId="Onopgelostemelding">
    <w:name w:val="Unresolved Mention"/>
    <w:basedOn w:val="Standaardalinea-lettertype"/>
    <w:uiPriority w:val="99"/>
    <w:semiHidden/>
    <w:unhideWhenUsed/>
    <w:rsid w:val="003D6539"/>
    <w:rPr>
      <w:color w:val="605E5C"/>
      <w:shd w:val="clear" w:color="auto" w:fill="E1DFDD"/>
    </w:rPr>
  </w:style>
  <w:style w:type="paragraph" w:styleId="Geenafstand">
    <w:name w:val="No Spacing"/>
    <w:uiPriority w:val="1"/>
    <w:qFormat/>
    <w:rsid w:val="00A63CF0"/>
    <w:pPr>
      <w:spacing w:after="0" w:line="240" w:lineRule="auto"/>
    </w:pPr>
  </w:style>
  <w:style w:type="table" w:styleId="Tabelraster">
    <w:name w:val="Table Grid"/>
    <w:basedOn w:val="Standaardtabel"/>
    <w:uiPriority w:val="39"/>
    <w:rsid w:val="00E75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E75319"/>
  </w:style>
  <w:style w:type="character" w:customStyle="1" w:styleId="eop">
    <w:name w:val="eop"/>
    <w:basedOn w:val="Standaardalinea-lettertype"/>
    <w:rsid w:val="00E75319"/>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1 Char,Bullet Points Char,MAIN CONTENT Char"/>
    <w:basedOn w:val="Standaardalinea-lettertype"/>
    <w:link w:val="Lijstalinea"/>
    <w:uiPriority w:val="34"/>
    <w:locked/>
    <w:rsid w:val="00E75319"/>
    <w:rPr>
      <w:rFonts w:ascii="Verdana" w:hAnsi="Verdana"/>
      <w:sz w:val="18"/>
    </w:rPr>
  </w:style>
  <w:style w:type="paragraph" w:customStyle="1" w:styleId="paragraph">
    <w:name w:val="paragraph"/>
    <w:basedOn w:val="Standaard"/>
    <w:rsid w:val="00E7531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cxw52732128">
    <w:name w:val="scxw52732128"/>
    <w:basedOn w:val="Standaardalinea-lettertype"/>
    <w:rsid w:val="00E75319"/>
  </w:style>
  <w:style w:type="paragraph" w:customStyle="1" w:styleId="Default">
    <w:name w:val="Default"/>
    <w:rsid w:val="00E7531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evolgdeHyperlink">
    <w:name w:val="FollowedHyperlink"/>
    <w:basedOn w:val="Standaardalinea-lettertype"/>
    <w:uiPriority w:val="99"/>
    <w:semiHidden/>
    <w:unhideWhenUsed/>
    <w:rsid w:val="00E75319"/>
    <w:rPr>
      <w:color w:val="954F72" w:themeColor="followedHyperlink"/>
      <w:u w:val="single"/>
    </w:rPr>
  </w:style>
  <w:style w:type="paragraph" w:styleId="Revisie">
    <w:name w:val="Revision"/>
    <w:hidden/>
    <w:uiPriority w:val="99"/>
    <w:semiHidden/>
    <w:rsid w:val="00E75319"/>
    <w:pPr>
      <w:spacing w:after="0" w:line="240" w:lineRule="auto"/>
    </w:pPr>
  </w:style>
  <w:style w:type="paragraph" w:styleId="Bijschrift">
    <w:name w:val="caption"/>
    <w:basedOn w:val="Standaard"/>
    <w:next w:val="Standaard"/>
    <w:uiPriority w:val="35"/>
    <w:unhideWhenUsed/>
    <w:qFormat/>
    <w:rsid w:val="001D2ADA"/>
    <w:pPr>
      <w:spacing w:after="200" w:line="240" w:lineRule="auto"/>
    </w:pPr>
    <w:rPr>
      <w:i/>
      <w:iCs/>
      <w:color w:val="44546A" w:themeColor="text2"/>
      <w:szCs w:val="18"/>
    </w:rPr>
  </w:style>
  <w:style w:type="character" w:customStyle="1" w:styleId="defaultStyle">
    <w:name w:val="defaultStyle"/>
    <w:rsid w:val="002213B1"/>
    <w:rPr>
      <w:rFonts w:ascii="Century Gothic" w:eastAsia="Century Gothic" w:hAnsi="Century Gothic" w:cs="Century Gothic"/>
      <w:b w:val="0"/>
      <w:bCs w:val="0"/>
      <w:color w:val="000000"/>
      <w:sz w:val="24"/>
      <w:szCs w:val="24"/>
    </w:rPr>
  </w:style>
  <w:style w:type="character" w:customStyle="1" w:styleId="titleBlueStyle">
    <w:name w:val="titleBlueStyle"/>
    <w:rsid w:val="002213B1"/>
    <w:rPr>
      <w:rFonts w:ascii="Century Gothic" w:eastAsia="Century Gothic" w:hAnsi="Century Gothic" w:cs="Century Gothic"/>
      <w:b/>
      <w:bCs/>
      <w:color w:val="323299"/>
      <w:sz w:val="28"/>
      <w:szCs w:val="28"/>
    </w:rPr>
  </w:style>
  <w:style w:type="character" w:customStyle="1" w:styleId="titleGreyStyle">
    <w:name w:val="titleGreyStyle"/>
    <w:rsid w:val="002213B1"/>
    <w:rPr>
      <w:rFonts w:ascii="Century Gothic" w:eastAsia="Century Gothic" w:hAnsi="Century Gothic" w:cs="Century Gothic"/>
      <w:b w:val="0"/>
      <w:bCs w:val="0"/>
      <w:color w:val="C1C1C1"/>
      <w:sz w:val="60"/>
      <w:szCs w:val="60"/>
    </w:rPr>
  </w:style>
  <w:style w:type="character" w:customStyle="1" w:styleId="subTitleBlueStyle">
    <w:name w:val="subTitleBlueStyle"/>
    <w:rsid w:val="002213B1"/>
    <w:rPr>
      <w:rFonts w:ascii="Century Gothic" w:eastAsia="Century Gothic" w:hAnsi="Century Gothic" w:cs="Century Gothic"/>
      <w:b/>
      <w:bCs/>
      <w:color w:val="323299"/>
      <w:sz w:val="24"/>
      <w:szCs w:val="24"/>
    </w:rPr>
  </w:style>
  <w:style w:type="character" w:customStyle="1" w:styleId="blueStyle">
    <w:name w:val="blueStyle"/>
    <w:rsid w:val="002213B1"/>
    <w:rPr>
      <w:rFonts w:ascii="Century Gothic" w:eastAsia="Century Gothic" w:hAnsi="Century Gothic" w:cs="Century Gothic"/>
      <w:b w:val="0"/>
      <w:bCs w:val="0"/>
      <w:color w:val="323299"/>
      <w:sz w:val="24"/>
      <w:szCs w:val="24"/>
    </w:rPr>
  </w:style>
  <w:style w:type="character" w:customStyle="1" w:styleId="headerStyle">
    <w:name w:val="headerStyle"/>
    <w:rsid w:val="002213B1"/>
    <w:rPr>
      <w:rFonts w:ascii="Century Gothic" w:eastAsia="Century Gothic" w:hAnsi="Century Gothic" w:cs="Century Gothic"/>
      <w:b w:val="0"/>
      <w:bCs w:val="0"/>
      <w:color w:val="C1C1C1"/>
      <w:sz w:val="20"/>
      <w:szCs w:val="20"/>
    </w:rPr>
  </w:style>
  <w:style w:type="paragraph" w:customStyle="1" w:styleId="titleParagraphStyle">
    <w:name w:val="titleParagraphStyle"/>
    <w:basedOn w:val="Standaard"/>
    <w:rsid w:val="002213B1"/>
    <w:pPr>
      <w:spacing w:before="300" w:after="300" w:line="278" w:lineRule="auto"/>
      <w:jc w:val="center"/>
    </w:pPr>
    <w:rPr>
      <w:rFonts w:ascii="Arial" w:eastAsia="Arial" w:hAnsi="Arial" w:cs="Arial"/>
      <w:kern w:val="0"/>
      <w:sz w:val="20"/>
      <w:szCs w:val="20"/>
      <w:lang w:val="en-US" w:eastAsia="nl-NL"/>
      <w14:ligatures w14:val="none"/>
    </w:rPr>
  </w:style>
  <w:style w:type="paragraph" w:customStyle="1" w:styleId="subTitleParagraphStyle">
    <w:name w:val="subTitleParagraphStyle"/>
    <w:basedOn w:val="Standaard"/>
    <w:rsid w:val="002213B1"/>
    <w:pPr>
      <w:spacing w:line="278" w:lineRule="auto"/>
      <w:jc w:val="center"/>
    </w:pPr>
    <w:rPr>
      <w:rFonts w:ascii="Arial" w:eastAsia="Arial" w:hAnsi="Arial" w:cs="Arial"/>
      <w:kern w:val="0"/>
      <w:sz w:val="20"/>
      <w:szCs w:val="20"/>
      <w:lang w:val="en-US" w:eastAsia="nl-NL"/>
      <w14:ligatures w14:val="none"/>
    </w:rPr>
  </w:style>
  <w:style w:type="paragraph" w:customStyle="1" w:styleId="subpartParagraphStyle">
    <w:name w:val="subpartParagraphStyle"/>
    <w:basedOn w:val="Standaard"/>
    <w:rsid w:val="002213B1"/>
    <w:pPr>
      <w:spacing w:before="300" w:after="300" w:line="278" w:lineRule="auto"/>
    </w:pPr>
    <w:rPr>
      <w:rFonts w:ascii="Arial" w:eastAsia="Arial" w:hAnsi="Arial" w:cs="Arial"/>
      <w:kern w:val="0"/>
      <w:sz w:val="20"/>
      <w:szCs w:val="20"/>
      <w:lang w:val="en-US"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269">
      <w:bodyDiv w:val="1"/>
      <w:marLeft w:val="0"/>
      <w:marRight w:val="0"/>
      <w:marTop w:val="0"/>
      <w:marBottom w:val="0"/>
      <w:divBdr>
        <w:top w:val="none" w:sz="0" w:space="0" w:color="auto"/>
        <w:left w:val="none" w:sz="0" w:space="0" w:color="auto"/>
        <w:bottom w:val="none" w:sz="0" w:space="0" w:color="auto"/>
        <w:right w:val="none" w:sz="0" w:space="0" w:color="auto"/>
      </w:divBdr>
    </w:div>
    <w:div w:id="19548355">
      <w:bodyDiv w:val="1"/>
      <w:marLeft w:val="0"/>
      <w:marRight w:val="0"/>
      <w:marTop w:val="0"/>
      <w:marBottom w:val="0"/>
      <w:divBdr>
        <w:top w:val="none" w:sz="0" w:space="0" w:color="auto"/>
        <w:left w:val="none" w:sz="0" w:space="0" w:color="auto"/>
        <w:bottom w:val="none" w:sz="0" w:space="0" w:color="auto"/>
        <w:right w:val="none" w:sz="0" w:space="0" w:color="auto"/>
      </w:divBdr>
    </w:div>
    <w:div w:id="39519272">
      <w:bodyDiv w:val="1"/>
      <w:marLeft w:val="0"/>
      <w:marRight w:val="0"/>
      <w:marTop w:val="0"/>
      <w:marBottom w:val="0"/>
      <w:divBdr>
        <w:top w:val="none" w:sz="0" w:space="0" w:color="auto"/>
        <w:left w:val="none" w:sz="0" w:space="0" w:color="auto"/>
        <w:bottom w:val="none" w:sz="0" w:space="0" w:color="auto"/>
        <w:right w:val="none" w:sz="0" w:space="0" w:color="auto"/>
      </w:divBdr>
    </w:div>
    <w:div w:id="87621907">
      <w:bodyDiv w:val="1"/>
      <w:marLeft w:val="0"/>
      <w:marRight w:val="0"/>
      <w:marTop w:val="0"/>
      <w:marBottom w:val="0"/>
      <w:divBdr>
        <w:top w:val="none" w:sz="0" w:space="0" w:color="auto"/>
        <w:left w:val="none" w:sz="0" w:space="0" w:color="auto"/>
        <w:bottom w:val="none" w:sz="0" w:space="0" w:color="auto"/>
        <w:right w:val="none" w:sz="0" w:space="0" w:color="auto"/>
      </w:divBdr>
    </w:div>
    <w:div w:id="104425631">
      <w:bodyDiv w:val="1"/>
      <w:marLeft w:val="0"/>
      <w:marRight w:val="0"/>
      <w:marTop w:val="0"/>
      <w:marBottom w:val="0"/>
      <w:divBdr>
        <w:top w:val="none" w:sz="0" w:space="0" w:color="auto"/>
        <w:left w:val="none" w:sz="0" w:space="0" w:color="auto"/>
        <w:bottom w:val="none" w:sz="0" w:space="0" w:color="auto"/>
        <w:right w:val="none" w:sz="0" w:space="0" w:color="auto"/>
      </w:divBdr>
      <w:divsChild>
        <w:div w:id="45571549">
          <w:marLeft w:val="0"/>
          <w:marRight w:val="0"/>
          <w:marTop w:val="0"/>
          <w:marBottom w:val="0"/>
          <w:divBdr>
            <w:top w:val="none" w:sz="0" w:space="0" w:color="auto"/>
            <w:left w:val="none" w:sz="0" w:space="0" w:color="auto"/>
            <w:bottom w:val="none" w:sz="0" w:space="0" w:color="auto"/>
            <w:right w:val="none" w:sz="0" w:space="0" w:color="auto"/>
          </w:divBdr>
          <w:divsChild>
            <w:div w:id="13561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5212">
      <w:bodyDiv w:val="1"/>
      <w:marLeft w:val="0"/>
      <w:marRight w:val="0"/>
      <w:marTop w:val="0"/>
      <w:marBottom w:val="0"/>
      <w:divBdr>
        <w:top w:val="none" w:sz="0" w:space="0" w:color="auto"/>
        <w:left w:val="none" w:sz="0" w:space="0" w:color="auto"/>
        <w:bottom w:val="none" w:sz="0" w:space="0" w:color="auto"/>
        <w:right w:val="none" w:sz="0" w:space="0" w:color="auto"/>
      </w:divBdr>
    </w:div>
    <w:div w:id="119999120">
      <w:bodyDiv w:val="1"/>
      <w:marLeft w:val="0"/>
      <w:marRight w:val="0"/>
      <w:marTop w:val="0"/>
      <w:marBottom w:val="0"/>
      <w:divBdr>
        <w:top w:val="none" w:sz="0" w:space="0" w:color="auto"/>
        <w:left w:val="none" w:sz="0" w:space="0" w:color="auto"/>
        <w:bottom w:val="none" w:sz="0" w:space="0" w:color="auto"/>
        <w:right w:val="none" w:sz="0" w:space="0" w:color="auto"/>
      </w:divBdr>
    </w:div>
    <w:div w:id="144862143">
      <w:bodyDiv w:val="1"/>
      <w:marLeft w:val="0"/>
      <w:marRight w:val="0"/>
      <w:marTop w:val="0"/>
      <w:marBottom w:val="0"/>
      <w:divBdr>
        <w:top w:val="none" w:sz="0" w:space="0" w:color="auto"/>
        <w:left w:val="none" w:sz="0" w:space="0" w:color="auto"/>
        <w:bottom w:val="none" w:sz="0" w:space="0" w:color="auto"/>
        <w:right w:val="none" w:sz="0" w:space="0" w:color="auto"/>
      </w:divBdr>
    </w:div>
    <w:div w:id="163128475">
      <w:bodyDiv w:val="1"/>
      <w:marLeft w:val="0"/>
      <w:marRight w:val="0"/>
      <w:marTop w:val="0"/>
      <w:marBottom w:val="0"/>
      <w:divBdr>
        <w:top w:val="none" w:sz="0" w:space="0" w:color="auto"/>
        <w:left w:val="none" w:sz="0" w:space="0" w:color="auto"/>
        <w:bottom w:val="none" w:sz="0" w:space="0" w:color="auto"/>
        <w:right w:val="none" w:sz="0" w:space="0" w:color="auto"/>
      </w:divBdr>
    </w:div>
    <w:div w:id="177738049">
      <w:marLeft w:val="0"/>
      <w:marRight w:val="0"/>
      <w:marTop w:val="0"/>
      <w:marBottom w:val="0"/>
      <w:divBdr>
        <w:top w:val="none" w:sz="0" w:space="0" w:color="auto"/>
        <w:left w:val="none" w:sz="0" w:space="0" w:color="auto"/>
        <w:bottom w:val="none" w:sz="0" w:space="0" w:color="auto"/>
        <w:right w:val="none" w:sz="0" w:space="0" w:color="auto"/>
      </w:divBdr>
      <w:divsChild>
        <w:div w:id="206183493">
          <w:marLeft w:val="0"/>
          <w:marRight w:val="0"/>
          <w:marTop w:val="0"/>
          <w:marBottom w:val="0"/>
          <w:divBdr>
            <w:top w:val="none" w:sz="0" w:space="0" w:color="auto"/>
            <w:left w:val="none" w:sz="0" w:space="0" w:color="auto"/>
            <w:bottom w:val="none" w:sz="0" w:space="0" w:color="auto"/>
            <w:right w:val="none" w:sz="0" w:space="0" w:color="auto"/>
          </w:divBdr>
        </w:div>
      </w:divsChild>
    </w:div>
    <w:div w:id="204829801">
      <w:bodyDiv w:val="1"/>
      <w:marLeft w:val="0"/>
      <w:marRight w:val="0"/>
      <w:marTop w:val="0"/>
      <w:marBottom w:val="0"/>
      <w:divBdr>
        <w:top w:val="none" w:sz="0" w:space="0" w:color="auto"/>
        <w:left w:val="none" w:sz="0" w:space="0" w:color="auto"/>
        <w:bottom w:val="none" w:sz="0" w:space="0" w:color="auto"/>
        <w:right w:val="none" w:sz="0" w:space="0" w:color="auto"/>
      </w:divBdr>
    </w:div>
    <w:div w:id="210042952">
      <w:bodyDiv w:val="1"/>
      <w:marLeft w:val="0"/>
      <w:marRight w:val="0"/>
      <w:marTop w:val="0"/>
      <w:marBottom w:val="0"/>
      <w:divBdr>
        <w:top w:val="none" w:sz="0" w:space="0" w:color="auto"/>
        <w:left w:val="none" w:sz="0" w:space="0" w:color="auto"/>
        <w:bottom w:val="none" w:sz="0" w:space="0" w:color="auto"/>
        <w:right w:val="none" w:sz="0" w:space="0" w:color="auto"/>
      </w:divBdr>
    </w:div>
    <w:div w:id="251470992">
      <w:bodyDiv w:val="1"/>
      <w:marLeft w:val="0"/>
      <w:marRight w:val="0"/>
      <w:marTop w:val="0"/>
      <w:marBottom w:val="0"/>
      <w:divBdr>
        <w:top w:val="none" w:sz="0" w:space="0" w:color="auto"/>
        <w:left w:val="none" w:sz="0" w:space="0" w:color="auto"/>
        <w:bottom w:val="none" w:sz="0" w:space="0" w:color="auto"/>
        <w:right w:val="none" w:sz="0" w:space="0" w:color="auto"/>
      </w:divBdr>
    </w:div>
    <w:div w:id="263537514">
      <w:bodyDiv w:val="1"/>
      <w:marLeft w:val="0"/>
      <w:marRight w:val="0"/>
      <w:marTop w:val="0"/>
      <w:marBottom w:val="0"/>
      <w:divBdr>
        <w:top w:val="none" w:sz="0" w:space="0" w:color="auto"/>
        <w:left w:val="none" w:sz="0" w:space="0" w:color="auto"/>
        <w:bottom w:val="none" w:sz="0" w:space="0" w:color="auto"/>
        <w:right w:val="none" w:sz="0" w:space="0" w:color="auto"/>
      </w:divBdr>
    </w:div>
    <w:div w:id="295113833">
      <w:marLeft w:val="0"/>
      <w:marRight w:val="0"/>
      <w:marTop w:val="0"/>
      <w:marBottom w:val="0"/>
      <w:divBdr>
        <w:top w:val="none" w:sz="0" w:space="0" w:color="auto"/>
        <w:left w:val="none" w:sz="0" w:space="0" w:color="auto"/>
        <w:bottom w:val="none" w:sz="0" w:space="0" w:color="auto"/>
        <w:right w:val="none" w:sz="0" w:space="0" w:color="auto"/>
      </w:divBdr>
      <w:divsChild>
        <w:div w:id="1417509764">
          <w:marLeft w:val="0"/>
          <w:marRight w:val="0"/>
          <w:marTop w:val="0"/>
          <w:marBottom w:val="0"/>
          <w:divBdr>
            <w:top w:val="none" w:sz="0" w:space="0" w:color="auto"/>
            <w:left w:val="none" w:sz="0" w:space="0" w:color="auto"/>
            <w:bottom w:val="none" w:sz="0" w:space="0" w:color="auto"/>
            <w:right w:val="none" w:sz="0" w:space="0" w:color="auto"/>
          </w:divBdr>
        </w:div>
      </w:divsChild>
    </w:div>
    <w:div w:id="302387848">
      <w:bodyDiv w:val="1"/>
      <w:marLeft w:val="0"/>
      <w:marRight w:val="0"/>
      <w:marTop w:val="0"/>
      <w:marBottom w:val="0"/>
      <w:divBdr>
        <w:top w:val="none" w:sz="0" w:space="0" w:color="auto"/>
        <w:left w:val="none" w:sz="0" w:space="0" w:color="auto"/>
        <w:bottom w:val="none" w:sz="0" w:space="0" w:color="auto"/>
        <w:right w:val="none" w:sz="0" w:space="0" w:color="auto"/>
      </w:divBdr>
    </w:div>
    <w:div w:id="309142818">
      <w:bodyDiv w:val="1"/>
      <w:marLeft w:val="0"/>
      <w:marRight w:val="0"/>
      <w:marTop w:val="0"/>
      <w:marBottom w:val="0"/>
      <w:divBdr>
        <w:top w:val="none" w:sz="0" w:space="0" w:color="auto"/>
        <w:left w:val="none" w:sz="0" w:space="0" w:color="auto"/>
        <w:bottom w:val="none" w:sz="0" w:space="0" w:color="auto"/>
        <w:right w:val="none" w:sz="0" w:space="0" w:color="auto"/>
      </w:divBdr>
    </w:div>
    <w:div w:id="317226155">
      <w:bodyDiv w:val="1"/>
      <w:marLeft w:val="0"/>
      <w:marRight w:val="0"/>
      <w:marTop w:val="0"/>
      <w:marBottom w:val="0"/>
      <w:divBdr>
        <w:top w:val="none" w:sz="0" w:space="0" w:color="auto"/>
        <w:left w:val="none" w:sz="0" w:space="0" w:color="auto"/>
        <w:bottom w:val="none" w:sz="0" w:space="0" w:color="auto"/>
        <w:right w:val="none" w:sz="0" w:space="0" w:color="auto"/>
      </w:divBdr>
    </w:div>
    <w:div w:id="367292108">
      <w:bodyDiv w:val="1"/>
      <w:marLeft w:val="0"/>
      <w:marRight w:val="0"/>
      <w:marTop w:val="0"/>
      <w:marBottom w:val="0"/>
      <w:divBdr>
        <w:top w:val="none" w:sz="0" w:space="0" w:color="auto"/>
        <w:left w:val="none" w:sz="0" w:space="0" w:color="auto"/>
        <w:bottom w:val="none" w:sz="0" w:space="0" w:color="auto"/>
        <w:right w:val="none" w:sz="0" w:space="0" w:color="auto"/>
      </w:divBdr>
    </w:div>
    <w:div w:id="374937466">
      <w:bodyDiv w:val="1"/>
      <w:marLeft w:val="0"/>
      <w:marRight w:val="0"/>
      <w:marTop w:val="0"/>
      <w:marBottom w:val="0"/>
      <w:divBdr>
        <w:top w:val="none" w:sz="0" w:space="0" w:color="auto"/>
        <w:left w:val="none" w:sz="0" w:space="0" w:color="auto"/>
        <w:bottom w:val="none" w:sz="0" w:space="0" w:color="auto"/>
        <w:right w:val="none" w:sz="0" w:space="0" w:color="auto"/>
      </w:divBdr>
    </w:div>
    <w:div w:id="405300625">
      <w:bodyDiv w:val="1"/>
      <w:marLeft w:val="0"/>
      <w:marRight w:val="0"/>
      <w:marTop w:val="0"/>
      <w:marBottom w:val="0"/>
      <w:divBdr>
        <w:top w:val="none" w:sz="0" w:space="0" w:color="auto"/>
        <w:left w:val="none" w:sz="0" w:space="0" w:color="auto"/>
        <w:bottom w:val="none" w:sz="0" w:space="0" w:color="auto"/>
        <w:right w:val="none" w:sz="0" w:space="0" w:color="auto"/>
      </w:divBdr>
    </w:div>
    <w:div w:id="456796884">
      <w:bodyDiv w:val="1"/>
      <w:marLeft w:val="0"/>
      <w:marRight w:val="0"/>
      <w:marTop w:val="0"/>
      <w:marBottom w:val="0"/>
      <w:divBdr>
        <w:top w:val="none" w:sz="0" w:space="0" w:color="auto"/>
        <w:left w:val="none" w:sz="0" w:space="0" w:color="auto"/>
        <w:bottom w:val="none" w:sz="0" w:space="0" w:color="auto"/>
        <w:right w:val="none" w:sz="0" w:space="0" w:color="auto"/>
      </w:divBdr>
    </w:div>
    <w:div w:id="515920287">
      <w:marLeft w:val="0"/>
      <w:marRight w:val="0"/>
      <w:marTop w:val="0"/>
      <w:marBottom w:val="0"/>
      <w:divBdr>
        <w:top w:val="none" w:sz="0" w:space="0" w:color="auto"/>
        <w:left w:val="none" w:sz="0" w:space="0" w:color="auto"/>
        <w:bottom w:val="none" w:sz="0" w:space="0" w:color="auto"/>
        <w:right w:val="none" w:sz="0" w:space="0" w:color="auto"/>
      </w:divBdr>
      <w:divsChild>
        <w:div w:id="383410140">
          <w:marLeft w:val="0"/>
          <w:marRight w:val="0"/>
          <w:marTop w:val="0"/>
          <w:marBottom w:val="0"/>
          <w:divBdr>
            <w:top w:val="none" w:sz="0" w:space="0" w:color="auto"/>
            <w:left w:val="none" w:sz="0" w:space="0" w:color="auto"/>
            <w:bottom w:val="none" w:sz="0" w:space="0" w:color="auto"/>
            <w:right w:val="none" w:sz="0" w:space="0" w:color="auto"/>
          </w:divBdr>
        </w:div>
      </w:divsChild>
    </w:div>
    <w:div w:id="518542153">
      <w:bodyDiv w:val="1"/>
      <w:marLeft w:val="0"/>
      <w:marRight w:val="0"/>
      <w:marTop w:val="0"/>
      <w:marBottom w:val="0"/>
      <w:divBdr>
        <w:top w:val="none" w:sz="0" w:space="0" w:color="auto"/>
        <w:left w:val="none" w:sz="0" w:space="0" w:color="auto"/>
        <w:bottom w:val="none" w:sz="0" w:space="0" w:color="auto"/>
        <w:right w:val="none" w:sz="0" w:space="0" w:color="auto"/>
      </w:divBdr>
    </w:div>
    <w:div w:id="529029729">
      <w:marLeft w:val="0"/>
      <w:marRight w:val="0"/>
      <w:marTop w:val="0"/>
      <w:marBottom w:val="0"/>
      <w:divBdr>
        <w:top w:val="none" w:sz="0" w:space="0" w:color="auto"/>
        <w:left w:val="none" w:sz="0" w:space="0" w:color="auto"/>
        <w:bottom w:val="none" w:sz="0" w:space="0" w:color="auto"/>
        <w:right w:val="none" w:sz="0" w:space="0" w:color="auto"/>
      </w:divBdr>
      <w:divsChild>
        <w:div w:id="1130973640">
          <w:marLeft w:val="0"/>
          <w:marRight w:val="0"/>
          <w:marTop w:val="0"/>
          <w:marBottom w:val="0"/>
          <w:divBdr>
            <w:top w:val="none" w:sz="0" w:space="0" w:color="auto"/>
            <w:left w:val="none" w:sz="0" w:space="0" w:color="auto"/>
            <w:bottom w:val="none" w:sz="0" w:space="0" w:color="auto"/>
            <w:right w:val="none" w:sz="0" w:space="0" w:color="auto"/>
          </w:divBdr>
        </w:div>
      </w:divsChild>
    </w:div>
    <w:div w:id="531654214">
      <w:bodyDiv w:val="1"/>
      <w:marLeft w:val="0"/>
      <w:marRight w:val="0"/>
      <w:marTop w:val="0"/>
      <w:marBottom w:val="0"/>
      <w:divBdr>
        <w:top w:val="none" w:sz="0" w:space="0" w:color="auto"/>
        <w:left w:val="none" w:sz="0" w:space="0" w:color="auto"/>
        <w:bottom w:val="none" w:sz="0" w:space="0" w:color="auto"/>
        <w:right w:val="none" w:sz="0" w:space="0" w:color="auto"/>
      </w:divBdr>
    </w:div>
    <w:div w:id="550504277">
      <w:marLeft w:val="0"/>
      <w:marRight w:val="0"/>
      <w:marTop w:val="0"/>
      <w:marBottom w:val="0"/>
      <w:divBdr>
        <w:top w:val="none" w:sz="0" w:space="0" w:color="auto"/>
        <w:left w:val="none" w:sz="0" w:space="0" w:color="auto"/>
        <w:bottom w:val="none" w:sz="0" w:space="0" w:color="auto"/>
        <w:right w:val="none" w:sz="0" w:space="0" w:color="auto"/>
      </w:divBdr>
      <w:divsChild>
        <w:div w:id="1441679523">
          <w:marLeft w:val="0"/>
          <w:marRight w:val="0"/>
          <w:marTop w:val="0"/>
          <w:marBottom w:val="0"/>
          <w:divBdr>
            <w:top w:val="none" w:sz="0" w:space="0" w:color="auto"/>
            <w:left w:val="none" w:sz="0" w:space="0" w:color="auto"/>
            <w:bottom w:val="none" w:sz="0" w:space="0" w:color="auto"/>
            <w:right w:val="none" w:sz="0" w:space="0" w:color="auto"/>
          </w:divBdr>
        </w:div>
      </w:divsChild>
    </w:div>
    <w:div w:id="612131391">
      <w:bodyDiv w:val="1"/>
      <w:marLeft w:val="0"/>
      <w:marRight w:val="0"/>
      <w:marTop w:val="0"/>
      <w:marBottom w:val="0"/>
      <w:divBdr>
        <w:top w:val="none" w:sz="0" w:space="0" w:color="auto"/>
        <w:left w:val="none" w:sz="0" w:space="0" w:color="auto"/>
        <w:bottom w:val="none" w:sz="0" w:space="0" w:color="auto"/>
        <w:right w:val="none" w:sz="0" w:space="0" w:color="auto"/>
      </w:divBdr>
    </w:div>
    <w:div w:id="616452114">
      <w:bodyDiv w:val="1"/>
      <w:marLeft w:val="0"/>
      <w:marRight w:val="0"/>
      <w:marTop w:val="0"/>
      <w:marBottom w:val="0"/>
      <w:divBdr>
        <w:top w:val="none" w:sz="0" w:space="0" w:color="auto"/>
        <w:left w:val="none" w:sz="0" w:space="0" w:color="auto"/>
        <w:bottom w:val="none" w:sz="0" w:space="0" w:color="auto"/>
        <w:right w:val="none" w:sz="0" w:space="0" w:color="auto"/>
      </w:divBdr>
    </w:div>
    <w:div w:id="639071186">
      <w:bodyDiv w:val="1"/>
      <w:marLeft w:val="0"/>
      <w:marRight w:val="0"/>
      <w:marTop w:val="0"/>
      <w:marBottom w:val="0"/>
      <w:divBdr>
        <w:top w:val="none" w:sz="0" w:space="0" w:color="auto"/>
        <w:left w:val="none" w:sz="0" w:space="0" w:color="auto"/>
        <w:bottom w:val="none" w:sz="0" w:space="0" w:color="auto"/>
        <w:right w:val="none" w:sz="0" w:space="0" w:color="auto"/>
      </w:divBdr>
    </w:div>
    <w:div w:id="689767802">
      <w:bodyDiv w:val="1"/>
      <w:marLeft w:val="0"/>
      <w:marRight w:val="0"/>
      <w:marTop w:val="0"/>
      <w:marBottom w:val="0"/>
      <w:divBdr>
        <w:top w:val="none" w:sz="0" w:space="0" w:color="auto"/>
        <w:left w:val="none" w:sz="0" w:space="0" w:color="auto"/>
        <w:bottom w:val="none" w:sz="0" w:space="0" w:color="auto"/>
        <w:right w:val="none" w:sz="0" w:space="0" w:color="auto"/>
      </w:divBdr>
    </w:div>
    <w:div w:id="690033362">
      <w:marLeft w:val="0"/>
      <w:marRight w:val="0"/>
      <w:marTop w:val="0"/>
      <w:marBottom w:val="0"/>
      <w:divBdr>
        <w:top w:val="none" w:sz="0" w:space="0" w:color="auto"/>
        <w:left w:val="none" w:sz="0" w:space="0" w:color="auto"/>
        <w:bottom w:val="none" w:sz="0" w:space="0" w:color="auto"/>
        <w:right w:val="none" w:sz="0" w:space="0" w:color="auto"/>
      </w:divBdr>
      <w:divsChild>
        <w:div w:id="1581868570">
          <w:marLeft w:val="0"/>
          <w:marRight w:val="0"/>
          <w:marTop w:val="0"/>
          <w:marBottom w:val="0"/>
          <w:divBdr>
            <w:top w:val="none" w:sz="0" w:space="0" w:color="auto"/>
            <w:left w:val="none" w:sz="0" w:space="0" w:color="auto"/>
            <w:bottom w:val="none" w:sz="0" w:space="0" w:color="auto"/>
            <w:right w:val="none" w:sz="0" w:space="0" w:color="auto"/>
          </w:divBdr>
        </w:div>
      </w:divsChild>
    </w:div>
    <w:div w:id="706640184">
      <w:bodyDiv w:val="1"/>
      <w:marLeft w:val="0"/>
      <w:marRight w:val="0"/>
      <w:marTop w:val="0"/>
      <w:marBottom w:val="0"/>
      <w:divBdr>
        <w:top w:val="none" w:sz="0" w:space="0" w:color="auto"/>
        <w:left w:val="none" w:sz="0" w:space="0" w:color="auto"/>
        <w:bottom w:val="none" w:sz="0" w:space="0" w:color="auto"/>
        <w:right w:val="none" w:sz="0" w:space="0" w:color="auto"/>
      </w:divBdr>
    </w:div>
    <w:div w:id="771436266">
      <w:bodyDiv w:val="1"/>
      <w:marLeft w:val="0"/>
      <w:marRight w:val="0"/>
      <w:marTop w:val="0"/>
      <w:marBottom w:val="0"/>
      <w:divBdr>
        <w:top w:val="none" w:sz="0" w:space="0" w:color="auto"/>
        <w:left w:val="none" w:sz="0" w:space="0" w:color="auto"/>
        <w:bottom w:val="none" w:sz="0" w:space="0" w:color="auto"/>
        <w:right w:val="none" w:sz="0" w:space="0" w:color="auto"/>
      </w:divBdr>
    </w:div>
    <w:div w:id="806170542">
      <w:marLeft w:val="0"/>
      <w:marRight w:val="0"/>
      <w:marTop w:val="0"/>
      <w:marBottom w:val="0"/>
      <w:divBdr>
        <w:top w:val="none" w:sz="0" w:space="0" w:color="auto"/>
        <w:left w:val="none" w:sz="0" w:space="0" w:color="auto"/>
        <w:bottom w:val="none" w:sz="0" w:space="0" w:color="auto"/>
        <w:right w:val="none" w:sz="0" w:space="0" w:color="auto"/>
      </w:divBdr>
      <w:divsChild>
        <w:div w:id="1745562665">
          <w:marLeft w:val="0"/>
          <w:marRight w:val="0"/>
          <w:marTop w:val="0"/>
          <w:marBottom w:val="0"/>
          <w:divBdr>
            <w:top w:val="none" w:sz="0" w:space="0" w:color="auto"/>
            <w:left w:val="none" w:sz="0" w:space="0" w:color="auto"/>
            <w:bottom w:val="none" w:sz="0" w:space="0" w:color="auto"/>
            <w:right w:val="none" w:sz="0" w:space="0" w:color="auto"/>
          </w:divBdr>
        </w:div>
      </w:divsChild>
    </w:div>
    <w:div w:id="843016359">
      <w:bodyDiv w:val="1"/>
      <w:marLeft w:val="0"/>
      <w:marRight w:val="0"/>
      <w:marTop w:val="0"/>
      <w:marBottom w:val="0"/>
      <w:divBdr>
        <w:top w:val="none" w:sz="0" w:space="0" w:color="auto"/>
        <w:left w:val="none" w:sz="0" w:space="0" w:color="auto"/>
        <w:bottom w:val="none" w:sz="0" w:space="0" w:color="auto"/>
        <w:right w:val="none" w:sz="0" w:space="0" w:color="auto"/>
      </w:divBdr>
    </w:div>
    <w:div w:id="881163679">
      <w:bodyDiv w:val="1"/>
      <w:marLeft w:val="0"/>
      <w:marRight w:val="0"/>
      <w:marTop w:val="0"/>
      <w:marBottom w:val="0"/>
      <w:divBdr>
        <w:top w:val="none" w:sz="0" w:space="0" w:color="auto"/>
        <w:left w:val="none" w:sz="0" w:space="0" w:color="auto"/>
        <w:bottom w:val="none" w:sz="0" w:space="0" w:color="auto"/>
        <w:right w:val="none" w:sz="0" w:space="0" w:color="auto"/>
      </w:divBdr>
    </w:div>
    <w:div w:id="940454419">
      <w:marLeft w:val="0"/>
      <w:marRight w:val="0"/>
      <w:marTop w:val="0"/>
      <w:marBottom w:val="0"/>
      <w:divBdr>
        <w:top w:val="none" w:sz="0" w:space="0" w:color="auto"/>
        <w:left w:val="none" w:sz="0" w:space="0" w:color="auto"/>
        <w:bottom w:val="none" w:sz="0" w:space="0" w:color="auto"/>
        <w:right w:val="none" w:sz="0" w:space="0" w:color="auto"/>
      </w:divBdr>
      <w:divsChild>
        <w:div w:id="525674543">
          <w:marLeft w:val="0"/>
          <w:marRight w:val="0"/>
          <w:marTop w:val="0"/>
          <w:marBottom w:val="0"/>
          <w:divBdr>
            <w:top w:val="none" w:sz="0" w:space="0" w:color="auto"/>
            <w:left w:val="none" w:sz="0" w:space="0" w:color="auto"/>
            <w:bottom w:val="none" w:sz="0" w:space="0" w:color="auto"/>
            <w:right w:val="none" w:sz="0" w:space="0" w:color="auto"/>
          </w:divBdr>
        </w:div>
      </w:divsChild>
    </w:div>
    <w:div w:id="1014647108">
      <w:bodyDiv w:val="1"/>
      <w:marLeft w:val="0"/>
      <w:marRight w:val="0"/>
      <w:marTop w:val="0"/>
      <w:marBottom w:val="0"/>
      <w:divBdr>
        <w:top w:val="none" w:sz="0" w:space="0" w:color="auto"/>
        <w:left w:val="none" w:sz="0" w:space="0" w:color="auto"/>
        <w:bottom w:val="none" w:sz="0" w:space="0" w:color="auto"/>
        <w:right w:val="none" w:sz="0" w:space="0" w:color="auto"/>
      </w:divBdr>
    </w:div>
    <w:div w:id="1050542582">
      <w:marLeft w:val="0"/>
      <w:marRight w:val="0"/>
      <w:marTop w:val="0"/>
      <w:marBottom w:val="0"/>
      <w:divBdr>
        <w:top w:val="none" w:sz="0" w:space="0" w:color="auto"/>
        <w:left w:val="none" w:sz="0" w:space="0" w:color="auto"/>
        <w:bottom w:val="none" w:sz="0" w:space="0" w:color="auto"/>
        <w:right w:val="none" w:sz="0" w:space="0" w:color="auto"/>
      </w:divBdr>
      <w:divsChild>
        <w:div w:id="2096591818">
          <w:marLeft w:val="0"/>
          <w:marRight w:val="0"/>
          <w:marTop w:val="0"/>
          <w:marBottom w:val="0"/>
          <w:divBdr>
            <w:top w:val="none" w:sz="0" w:space="0" w:color="auto"/>
            <w:left w:val="none" w:sz="0" w:space="0" w:color="auto"/>
            <w:bottom w:val="none" w:sz="0" w:space="0" w:color="auto"/>
            <w:right w:val="none" w:sz="0" w:space="0" w:color="auto"/>
          </w:divBdr>
        </w:div>
      </w:divsChild>
    </w:div>
    <w:div w:id="1072309885">
      <w:bodyDiv w:val="1"/>
      <w:marLeft w:val="0"/>
      <w:marRight w:val="0"/>
      <w:marTop w:val="0"/>
      <w:marBottom w:val="0"/>
      <w:divBdr>
        <w:top w:val="none" w:sz="0" w:space="0" w:color="auto"/>
        <w:left w:val="none" w:sz="0" w:space="0" w:color="auto"/>
        <w:bottom w:val="none" w:sz="0" w:space="0" w:color="auto"/>
        <w:right w:val="none" w:sz="0" w:space="0" w:color="auto"/>
      </w:divBdr>
    </w:div>
    <w:div w:id="1097600544">
      <w:marLeft w:val="0"/>
      <w:marRight w:val="0"/>
      <w:marTop w:val="0"/>
      <w:marBottom w:val="0"/>
      <w:divBdr>
        <w:top w:val="none" w:sz="0" w:space="0" w:color="auto"/>
        <w:left w:val="none" w:sz="0" w:space="0" w:color="auto"/>
        <w:bottom w:val="none" w:sz="0" w:space="0" w:color="auto"/>
        <w:right w:val="none" w:sz="0" w:space="0" w:color="auto"/>
      </w:divBdr>
      <w:divsChild>
        <w:div w:id="1357657393">
          <w:marLeft w:val="0"/>
          <w:marRight w:val="0"/>
          <w:marTop w:val="0"/>
          <w:marBottom w:val="0"/>
          <w:divBdr>
            <w:top w:val="none" w:sz="0" w:space="0" w:color="auto"/>
            <w:left w:val="none" w:sz="0" w:space="0" w:color="auto"/>
            <w:bottom w:val="none" w:sz="0" w:space="0" w:color="auto"/>
            <w:right w:val="none" w:sz="0" w:space="0" w:color="auto"/>
          </w:divBdr>
        </w:div>
      </w:divsChild>
    </w:div>
    <w:div w:id="1277443299">
      <w:marLeft w:val="0"/>
      <w:marRight w:val="0"/>
      <w:marTop w:val="0"/>
      <w:marBottom w:val="0"/>
      <w:divBdr>
        <w:top w:val="none" w:sz="0" w:space="0" w:color="auto"/>
        <w:left w:val="none" w:sz="0" w:space="0" w:color="auto"/>
        <w:bottom w:val="none" w:sz="0" w:space="0" w:color="auto"/>
        <w:right w:val="none" w:sz="0" w:space="0" w:color="auto"/>
      </w:divBdr>
      <w:divsChild>
        <w:div w:id="1825926931">
          <w:marLeft w:val="0"/>
          <w:marRight w:val="0"/>
          <w:marTop w:val="0"/>
          <w:marBottom w:val="0"/>
          <w:divBdr>
            <w:top w:val="none" w:sz="0" w:space="0" w:color="auto"/>
            <w:left w:val="none" w:sz="0" w:space="0" w:color="auto"/>
            <w:bottom w:val="none" w:sz="0" w:space="0" w:color="auto"/>
            <w:right w:val="none" w:sz="0" w:space="0" w:color="auto"/>
          </w:divBdr>
        </w:div>
      </w:divsChild>
    </w:div>
    <w:div w:id="1297568142">
      <w:bodyDiv w:val="1"/>
      <w:marLeft w:val="0"/>
      <w:marRight w:val="0"/>
      <w:marTop w:val="0"/>
      <w:marBottom w:val="0"/>
      <w:divBdr>
        <w:top w:val="none" w:sz="0" w:space="0" w:color="auto"/>
        <w:left w:val="none" w:sz="0" w:space="0" w:color="auto"/>
        <w:bottom w:val="none" w:sz="0" w:space="0" w:color="auto"/>
        <w:right w:val="none" w:sz="0" w:space="0" w:color="auto"/>
      </w:divBdr>
    </w:div>
    <w:div w:id="1327516813">
      <w:marLeft w:val="0"/>
      <w:marRight w:val="0"/>
      <w:marTop w:val="0"/>
      <w:marBottom w:val="0"/>
      <w:divBdr>
        <w:top w:val="none" w:sz="0" w:space="0" w:color="auto"/>
        <w:left w:val="none" w:sz="0" w:space="0" w:color="auto"/>
        <w:bottom w:val="none" w:sz="0" w:space="0" w:color="auto"/>
        <w:right w:val="none" w:sz="0" w:space="0" w:color="auto"/>
      </w:divBdr>
      <w:divsChild>
        <w:div w:id="294020008">
          <w:marLeft w:val="0"/>
          <w:marRight w:val="0"/>
          <w:marTop w:val="0"/>
          <w:marBottom w:val="0"/>
          <w:divBdr>
            <w:top w:val="none" w:sz="0" w:space="0" w:color="auto"/>
            <w:left w:val="none" w:sz="0" w:space="0" w:color="auto"/>
            <w:bottom w:val="none" w:sz="0" w:space="0" w:color="auto"/>
            <w:right w:val="none" w:sz="0" w:space="0" w:color="auto"/>
          </w:divBdr>
        </w:div>
      </w:divsChild>
    </w:div>
    <w:div w:id="1362584989">
      <w:marLeft w:val="0"/>
      <w:marRight w:val="0"/>
      <w:marTop w:val="0"/>
      <w:marBottom w:val="0"/>
      <w:divBdr>
        <w:top w:val="none" w:sz="0" w:space="0" w:color="auto"/>
        <w:left w:val="none" w:sz="0" w:space="0" w:color="auto"/>
        <w:bottom w:val="none" w:sz="0" w:space="0" w:color="auto"/>
        <w:right w:val="none" w:sz="0" w:space="0" w:color="auto"/>
      </w:divBdr>
      <w:divsChild>
        <w:div w:id="661936396">
          <w:marLeft w:val="0"/>
          <w:marRight w:val="0"/>
          <w:marTop w:val="0"/>
          <w:marBottom w:val="0"/>
          <w:divBdr>
            <w:top w:val="none" w:sz="0" w:space="0" w:color="auto"/>
            <w:left w:val="none" w:sz="0" w:space="0" w:color="auto"/>
            <w:bottom w:val="none" w:sz="0" w:space="0" w:color="auto"/>
            <w:right w:val="none" w:sz="0" w:space="0" w:color="auto"/>
          </w:divBdr>
        </w:div>
      </w:divsChild>
    </w:div>
    <w:div w:id="1406146948">
      <w:bodyDiv w:val="1"/>
      <w:marLeft w:val="0"/>
      <w:marRight w:val="0"/>
      <w:marTop w:val="0"/>
      <w:marBottom w:val="0"/>
      <w:divBdr>
        <w:top w:val="none" w:sz="0" w:space="0" w:color="auto"/>
        <w:left w:val="none" w:sz="0" w:space="0" w:color="auto"/>
        <w:bottom w:val="none" w:sz="0" w:space="0" w:color="auto"/>
        <w:right w:val="none" w:sz="0" w:space="0" w:color="auto"/>
      </w:divBdr>
    </w:div>
    <w:div w:id="1438481684">
      <w:bodyDiv w:val="1"/>
      <w:marLeft w:val="0"/>
      <w:marRight w:val="0"/>
      <w:marTop w:val="0"/>
      <w:marBottom w:val="0"/>
      <w:divBdr>
        <w:top w:val="none" w:sz="0" w:space="0" w:color="auto"/>
        <w:left w:val="none" w:sz="0" w:space="0" w:color="auto"/>
        <w:bottom w:val="none" w:sz="0" w:space="0" w:color="auto"/>
        <w:right w:val="none" w:sz="0" w:space="0" w:color="auto"/>
      </w:divBdr>
    </w:div>
    <w:div w:id="1529414579">
      <w:bodyDiv w:val="1"/>
      <w:marLeft w:val="0"/>
      <w:marRight w:val="0"/>
      <w:marTop w:val="0"/>
      <w:marBottom w:val="0"/>
      <w:divBdr>
        <w:top w:val="none" w:sz="0" w:space="0" w:color="auto"/>
        <w:left w:val="none" w:sz="0" w:space="0" w:color="auto"/>
        <w:bottom w:val="none" w:sz="0" w:space="0" w:color="auto"/>
        <w:right w:val="none" w:sz="0" w:space="0" w:color="auto"/>
      </w:divBdr>
    </w:div>
    <w:div w:id="1642729542">
      <w:marLeft w:val="0"/>
      <w:marRight w:val="0"/>
      <w:marTop w:val="0"/>
      <w:marBottom w:val="0"/>
      <w:divBdr>
        <w:top w:val="none" w:sz="0" w:space="0" w:color="auto"/>
        <w:left w:val="none" w:sz="0" w:space="0" w:color="auto"/>
        <w:bottom w:val="none" w:sz="0" w:space="0" w:color="auto"/>
        <w:right w:val="none" w:sz="0" w:space="0" w:color="auto"/>
      </w:divBdr>
      <w:divsChild>
        <w:div w:id="1874536793">
          <w:marLeft w:val="0"/>
          <w:marRight w:val="0"/>
          <w:marTop w:val="0"/>
          <w:marBottom w:val="0"/>
          <w:divBdr>
            <w:top w:val="none" w:sz="0" w:space="0" w:color="auto"/>
            <w:left w:val="none" w:sz="0" w:space="0" w:color="auto"/>
            <w:bottom w:val="none" w:sz="0" w:space="0" w:color="auto"/>
            <w:right w:val="none" w:sz="0" w:space="0" w:color="auto"/>
          </w:divBdr>
        </w:div>
      </w:divsChild>
    </w:div>
    <w:div w:id="1704591484">
      <w:marLeft w:val="0"/>
      <w:marRight w:val="0"/>
      <w:marTop w:val="0"/>
      <w:marBottom w:val="0"/>
      <w:divBdr>
        <w:top w:val="none" w:sz="0" w:space="0" w:color="auto"/>
        <w:left w:val="none" w:sz="0" w:space="0" w:color="auto"/>
        <w:bottom w:val="none" w:sz="0" w:space="0" w:color="auto"/>
        <w:right w:val="none" w:sz="0" w:space="0" w:color="auto"/>
      </w:divBdr>
      <w:divsChild>
        <w:div w:id="1815095929">
          <w:marLeft w:val="0"/>
          <w:marRight w:val="0"/>
          <w:marTop w:val="0"/>
          <w:marBottom w:val="0"/>
          <w:divBdr>
            <w:top w:val="none" w:sz="0" w:space="0" w:color="auto"/>
            <w:left w:val="none" w:sz="0" w:space="0" w:color="auto"/>
            <w:bottom w:val="none" w:sz="0" w:space="0" w:color="auto"/>
            <w:right w:val="none" w:sz="0" w:space="0" w:color="auto"/>
          </w:divBdr>
        </w:div>
      </w:divsChild>
    </w:div>
    <w:div w:id="1775973297">
      <w:bodyDiv w:val="1"/>
      <w:marLeft w:val="0"/>
      <w:marRight w:val="0"/>
      <w:marTop w:val="0"/>
      <w:marBottom w:val="0"/>
      <w:divBdr>
        <w:top w:val="none" w:sz="0" w:space="0" w:color="auto"/>
        <w:left w:val="none" w:sz="0" w:space="0" w:color="auto"/>
        <w:bottom w:val="none" w:sz="0" w:space="0" w:color="auto"/>
        <w:right w:val="none" w:sz="0" w:space="0" w:color="auto"/>
      </w:divBdr>
    </w:div>
    <w:div w:id="1790011747">
      <w:bodyDiv w:val="1"/>
      <w:marLeft w:val="0"/>
      <w:marRight w:val="0"/>
      <w:marTop w:val="0"/>
      <w:marBottom w:val="0"/>
      <w:divBdr>
        <w:top w:val="none" w:sz="0" w:space="0" w:color="auto"/>
        <w:left w:val="none" w:sz="0" w:space="0" w:color="auto"/>
        <w:bottom w:val="none" w:sz="0" w:space="0" w:color="auto"/>
        <w:right w:val="none" w:sz="0" w:space="0" w:color="auto"/>
      </w:divBdr>
    </w:div>
    <w:div w:id="1842890256">
      <w:marLeft w:val="0"/>
      <w:marRight w:val="0"/>
      <w:marTop w:val="0"/>
      <w:marBottom w:val="0"/>
      <w:divBdr>
        <w:top w:val="none" w:sz="0" w:space="0" w:color="auto"/>
        <w:left w:val="none" w:sz="0" w:space="0" w:color="auto"/>
        <w:bottom w:val="none" w:sz="0" w:space="0" w:color="auto"/>
        <w:right w:val="none" w:sz="0" w:space="0" w:color="auto"/>
      </w:divBdr>
      <w:divsChild>
        <w:div w:id="1460566721">
          <w:marLeft w:val="0"/>
          <w:marRight w:val="0"/>
          <w:marTop w:val="0"/>
          <w:marBottom w:val="0"/>
          <w:divBdr>
            <w:top w:val="none" w:sz="0" w:space="0" w:color="auto"/>
            <w:left w:val="none" w:sz="0" w:space="0" w:color="auto"/>
            <w:bottom w:val="none" w:sz="0" w:space="0" w:color="auto"/>
            <w:right w:val="none" w:sz="0" w:space="0" w:color="auto"/>
          </w:divBdr>
        </w:div>
      </w:divsChild>
    </w:div>
    <w:div w:id="1856964286">
      <w:bodyDiv w:val="1"/>
      <w:marLeft w:val="0"/>
      <w:marRight w:val="0"/>
      <w:marTop w:val="0"/>
      <w:marBottom w:val="0"/>
      <w:divBdr>
        <w:top w:val="none" w:sz="0" w:space="0" w:color="auto"/>
        <w:left w:val="none" w:sz="0" w:space="0" w:color="auto"/>
        <w:bottom w:val="none" w:sz="0" w:space="0" w:color="auto"/>
        <w:right w:val="none" w:sz="0" w:space="0" w:color="auto"/>
      </w:divBdr>
    </w:div>
    <w:div w:id="1929729299">
      <w:bodyDiv w:val="1"/>
      <w:marLeft w:val="0"/>
      <w:marRight w:val="0"/>
      <w:marTop w:val="0"/>
      <w:marBottom w:val="0"/>
      <w:divBdr>
        <w:top w:val="none" w:sz="0" w:space="0" w:color="auto"/>
        <w:left w:val="none" w:sz="0" w:space="0" w:color="auto"/>
        <w:bottom w:val="none" w:sz="0" w:space="0" w:color="auto"/>
        <w:right w:val="none" w:sz="0" w:space="0" w:color="auto"/>
      </w:divBdr>
    </w:div>
    <w:div w:id="1945452936">
      <w:marLeft w:val="0"/>
      <w:marRight w:val="0"/>
      <w:marTop w:val="0"/>
      <w:marBottom w:val="0"/>
      <w:divBdr>
        <w:top w:val="none" w:sz="0" w:space="0" w:color="auto"/>
        <w:left w:val="none" w:sz="0" w:space="0" w:color="auto"/>
        <w:bottom w:val="none" w:sz="0" w:space="0" w:color="auto"/>
        <w:right w:val="none" w:sz="0" w:space="0" w:color="auto"/>
      </w:divBdr>
      <w:divsChild>
        <w:div w:id="1270771182">
          <w:marLeft w:val="0"/>
          <w:marRight w:val="0"/>
          <w:marTop w:val="0"/>
          <w:marBottom w:val="0"/>
          <w:divBdr>
            <w:top w:val="none" w:sz="0" w:space="0" w:color="auto"/>
            <w:left w:val="none" w:sz="0" w:space="0" w:color="auto"/>
            <w:bottom w:val="none" w:sz="0" w:space="0" w:color="auto"/>
            <w:right w:val="none" w:sz="0" w:space="0" w:color="auto"/>
          </w:divBdr>
        </w:div>
      </w:divsChild>
    </w:div>
    <w:div w:id="2074692791">
      <w:bodyDiv w:val="1"/>
      <w:marLeft w:val="0"/>
      <w:marRight w:val="0"/>
      <w:marTop w:val="0"/>
      <w:marBottom w:val="0"/>
      <w:divBdr>
        <w:top w:val="none" w:sz="0" w:space="0" w:color="auto"/>
        <w:left w:val="none" w:sz="0" w:space="0" w:color="auto"/>
        <w:bottom w:val="none" w:sz="0" w:space="0" w:color="auto"/>
        <w:right w:val="none" w:sz="0" w:space="0" w:color="auto"/>
      </w:divBdr>
    </w:div>
    <w:div w:id="2084795045">
      <w:bodyDiv w:val="1"/>
      <w:marLeft w:val="0"/>
      <w:marRight w:val="0"/>
      <w:marTop w:val="0"/>
      <w:marBottom w:val="0"/>
      <w:divBdr>
        <w:top w:val="none" w:sz="0" w:space="0" w:color="auto"/>
        <w:left w:val="none" w:sz="0" w:space="0" w:color="auto"/>
        <w:bottom w:val="none" w:sz="0" w:space="0" w:color="auto"/>
        <w:right w:val="none" w:sz="0" w:space="0" w:color="auto"/>
      </w:divBdr>
    </w:div>
    <w:div w:id="2110735086">
      <w:marLeft w:val="0"/>
      <w:marRight w:val="0"/>
      <w:marTop w:val="0"/>
      <w:marBottom w:val="0"/>
      <w:divBdr>
        <w:top w:val="none" w:sz="0" w:space="0" w:color="auto"/>
        <w:left w:val="none" w:sz="0" w:space="0" w:color="auto"/>
        <w:bottom w:val="none" w:sz="0" w:space="0" w:color="auto"/>
        <w:right w:val="none" w:sz="0" w:space="0" w:color="auto"/>
      </w:divBdr>
      <w:divsChild>
        <w:div w:id="1727336836">
          <w:marLeft w:val="0"/>
          <w:marRight w:val="0"/>
          <w:marTop w:val="0"/>
          <w:marBottom w:val="0"/>
          <w:divBdr>
            <w:top w:val="none" w:sz="0" w:space="0" w:color="auto"/>
            <w:left w:val="none" w:sz="0" w:space="0" w:color="auto"/>
            <w:bottom w:val="none" w:sz="0" w:space="0" w:color="auto"/>
            <w:right w:val="none" w:sz="0" w:space="0" w:color="auto"/>
          </w:divBdr>
        </w:div>
      </w:divsChild>
    </w:div>
    <w:div w:id="2129815603">
      <w:marLeft w:val="0"/>
      <w:marRight w:val="0"/>
      <w:marTop w:val="0"/>
      <w:marBottom w:val="0"/>
      <w:divBdr>
        <w:top w:val="none" w:sz="0" w:space="0" w:color="auto"/>
        <w:left w:val="none" w:sz="0" w:space="0" w:color="auto"/>
        <w:bottom w:val="none" w:sz="0" w:space="0" w:color="auto"/>
        <w:right w:val="none" w:sz="0" w:space="0" w:color="auto"/>
      </w:divBdr>
      <w:divsChild>
        <w:div w:id="1940334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open.overheid.nl/documenten/5fe94231-bdd4-435e-b343-8004a65f7087/file" TargetMode="External"/><Relationship Id="rId18" Type="http://schemas.openxmlformats.org/officeDocument/2006/relationships/hyperlink" Target="file:///H:\Application%20Data\Microsoft%20Office\Outlook\SecureTempFolder\Factsheet+Arbovisie+2040+Staat+van+gezond+en+veilig+werken.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rijksoverheid.nl/documenten/kamerstukken/2024/12/13/kamerbrief-uitwerking-plannen-arbeidsmarktkrapte-en-brede-arbeidsmarktagenda" TargetMode="External"/><Relationship Id="rId17" Type="http://schemas.openxmlformats.org/officeDocument/2006/relationships/hyperlink" Target="https://www.arboportaal.nl/campagnes/arbovisie-20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tten.overheid.nl/BWBR0002638/2025-01-0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advanstate.nl/adviezen/@142814/w12-24-00062-ii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pen.overheid.nl/documenten/5fe94231-bdd4-435e-b343-8004a65f7087/file" TargetMode="Externa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open.overheid.nl/documenten/5fe94231-bdd4-435e-b343-8004a65f7087/fil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2/05/18/partnerschapsovereenkomst-tussen-nederland-en-de-europese-commissie" TargetMode="External"/><Relationship Id="rId3" Type="http://schemas.openxmlformats.org/officeDocument/2006/relationships/hyperlink" Target="https://www.cpb.nl/sites/default/files/omnidownload/CPB_publicatie-budgettaire-analyse-voorjaarsnota-2025.pdf" TargetMode="External"/><Relationship Id="rId7" Type="http://schemas.openxmlformats.org/officeDocument/2006/relationships/hyperlink" Target="https://www.cpb.nl/raming-februari-2025-cep-2025" TargetMode="External"/><Relationship Id="rId2" Type="http://schemas.openxmlformats.org/officeDocument/2006/relationships/hyperlink" Target="https://www.cpb.nl/raming-februari-2025-cep-2025" TargetMode="External"/><Relationship Id="rId1" Type="http://schemas.openxmlformats.org/officeDocument/2006/relationships/hyperlink" Target="https://www.rijksoverheid.nl/documenten/publicaties/2024/10/01/update-budgettair-structureel-plan-voor-de-middellange-termijn" TargetMode="External"/><Relationship Id="rId6" Type="http://schemas.openxmlformats.org/officeDocument/2006/relationships/hyperlink" Target="https://www.cpb.nl/budgettaire-analyse-voorjaarsnota-2025" TargetMode="External"/><Relationship Id="rId5" Type="http://schemas.openxmlformats.org/officeDocument/2006/relationships/hyperlink" Target="https://www.cpb.nl/raming-september-2024-mev-2025" TargetMode="External"/><Relationship Id="rId10" Type="http://schemas.openxmlformats.org/officeDocument/2006/relationships/hyperlink" Target="https://open.overheid.nl/documenten/105257f6-c87e-4603-8521-244feadade6a/file" TargetMode="External"/><Relationship Id="rId4" Type="http://schemas.openxmlformats.org/officeDocument/2006/relationships/hyperlink" Target="https://www.rijksoverheid.nl/documenten/publicaties/2024/10/01/update-budgettair-structureel-plan-voor-de-middellange-termijn" TargetMode="External"/><Relationship Id="rId9" Type="http://schemas.openxmlformats.org/officeDocument/2006/relationships/hyperlink" Target="https://ec.europa.eu/economy_finance/country-specific-recommendations-databas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Mijn%20documenten\Macro\2025\CEP%202025\data-figuren-CEP2025-26-februari-2025%20(version%20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tabellen%20apr%20emu%20saldo%20schul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ijn%20documenten\tabellen%20apr%20emu%20saldo%20schul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'CEP25_1.1b ; CEP25_VD_1.1b'!$B$1</c:f>
              <c:strCache>
                <c:ptCount val="1"/>
                <c:pt idx="0">
                  <c:v>consumptie huishoudens</c:v>
                </c:pt>
              </c:strCache>
            </c:strRef>
          </c:tx>
          <c:spPr>
            <a:solidFill>
              <a:schemeClr val="accent2"/>
            </a:solidFill>
            <a:ln>
              <a:noFill/>
            </a:ln>
            <a:effectLst/>
          </c:spPr>
          <c:invertIfNegative val="0"/>
          <c:cat>
            <c:numRef>
              <c:f>'CEP25_1.1b ; CEP25_VD_1.1b'!$A$2:$A$10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'CEP25_1.1b ; CEP25_VD_1.1b'!$B$2:$B$10</c:f>
              <c:numCache>
                <c:formatCode>0.0</c:formatCode>
                <c:ptCount val="9"/>
                <c:pt idx="0">
                  <c:v>0.42836450325492598</c:v>
                </c:pt>
                <c:pt idx="1">
                  <c:v>0.23333935515153101</c:v>
                </c:pt>
                <c:pt idx="2">
                  <c:v>-1.48856841245509</c:v>
                </c:pt>
                <c:pt idx="3">
                  <c:v>1.2034477464081701</c:v>
                </c:pt>
                <c:pt idx="4">
                  <c:v>1.8716968674777299</c:v>
                </c:pt>
                <c:pt idx="5">
                  <c:v>0.180601015083172</c:v>
                </c:pt>
                <c:pt idx="6">
                  <c:v>0.25298106895175299</c:v>
                </c:pt>
                <c:pt idx="7">
                  <c:v>0.62</c:v>
                </c:pt>
                <c:pt idx="8">
                  <c:v>0.54</c:v>
                </c:pt>
              </c:numCache>
            </c:numRef>
          </c:val>
          <c:extLst>
            <c:ext xmlns:c16="http://schemas.microsoft.com/office/drawing/2014/chart" uri="{C3380CC4-5D6E-409C-BE32-E72D297353CC}">
              <c16:uniqueId val="{00000000-1403-418A-9EE4-02187CCA9519}"/>
            </c:ext>
          </c:extLst>
        </c:ser>
        <c:ser>
          <c:idx val="2"/>
          <c:order val="2"/>
          <c:tx>
            <c:strRef>
              <c:f>'CEP25_1.1b ; CEP25_VD_1.1b'!$C$1</c:f>
              <c:strCache>
                <c:ptCount val="1"/>
                <c:pt idx="0">
                  <c:v>investeringen</c:v>
                </c:pt>
              </c:strCache>
            </c:strRef>
          </c:tx>
          <c:spPr>
            <a:solidFill>
              <a:schemeClr val="accent3"/>
            </a:solidFill>
            <a:ln>
              <a:noFill/>
            </a:ln>
            <a:effectLst/>
          </c:spPr>
          <c:invertIfNegative val="0"/>
          <c:cat>
            <c:numRef>
              <c:f>'CEP25_1.1b ; CEP25_VD_1.1b'!$A$2:$A$10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'CEP25_1.1b ; CEP25_VD_1.1b'!$C$2:$C$10</c:f>
              <c:numCache>
                <c:formatCode>0.0</c:formatCode>
                <c:ptCount val="9"/>
                <c:pt idx="0">
                  <c:v>0.406423007396715</c:v>
                </c:pt>
                <c:pt idx="1">
                  <c:v>0.57091948830895101</c:v>
                </c:pt>
                <c:pt idx="2">
                  <c:v>-0.36428755152745901</c:v>
                </c:pt>
                <c:pt idx="3">
                  <c:v>0.98241595596895503</c:v>
                </c:pt>
                <c:pt idx="4">
                  <c:v>0.44893905163551101</c:v>
                </c:pt>
                <c:pt idx="5">
                  <c:v>-0.349732528907783</c:v>
                </c:pt>
                <c:pt idx="6">
                  <c:v>-0.15921714363855899</c:v>
                </c:pt>
                <c:pt idx="7">
                  <c:v>0.25</c:v>
                </c:pt>
                <c:pt idx="8">
                  <c:v>0.4</c:v>
                </c:pt>
              </c:numCache>
            </c:numRef>
          </c:val>
          <c:extLst>
            <c:ext xmlns:c16="http://schemas.microsoft.com/office/drawing/2014/chart" uri="{C3380CC4-5D6E-409C-BE32-E72D297353CC}">
              <c16:uniqueId val="{00000001-1403-418A-9EE4-02187CCA9519}"/>
            </c:ext>
          </c:extLst>
        </c:ser>
        <c:ser>
          <c:idx val="3"/>
          <c:order val="3"/>
          <c:tx>
            <c:strRef>
              <c:f>'CEP25_1.1b ; CEP25_VD_1.1b'!$D$1</c:f>
              <c:strCache>
                <c:ptCount val="1"/>
                <c:pt idx="0">
                  <c:v>consumptie overheid</c:v>
                </c:pt>
              </c:strCache>
            </c:strRef>
          </c:tx>
          <c:spPr>
            <a:solidFill>
              <a:schemeClr val="accent4"/>
            </a:solidFill>
            <a:ln>
              <a:noFill/>
            </a:ln>
            <a:effectLst/>
          </c:spPr>
          <c:invertIfNegative val="0"/>
          <c:cat>
            <c:numRef>
              <c:f>'CEP25_1.1b ; CEP25_VD_1.1b'!$A$2:$A$10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'CEP25_1.1b ; CEP25_VD_1.1b'!$D$2:$D$10</c:f>
              <c:numCache>
                <c:formatCode>0.0</c:formatCode>
                <c:ptCount val="9"/>
                <c:pt idx="0">
                  <c:v>0.27089993302946702</c:v>
                </c:pt>
                <c:pt idx="1">
                  <c:v>0.58521166361222599</c:v>
                </c:pt>
                <c:pt idx="2">
                  <c:v>0.21379914064550601</c:v>
                </c:pt>
                <c:pt idx="3">
                  <c:v>1.1491780217524901</c:v>
                </c:pt>
                <c:pt idx="4">
                  <c:v>0.45786475668129101</c:v>
                </c:pt>
                <c:pt idx="5">
                  <c:v>0.60233246448011502</c:v>
                </c:pt>
                <c:pt idx="6">
                  <c:v>0.61673625560357304</c:v>
                </c:pt>
                <c:pt idx="7">
                  <c:v>0.39</c:v>
                </c:pt>
                <c:pt idx="8">
                  <c:v>0.26</c:v>
                </c:pt>
              </c:numCache>
            </c:numRef>
          </c:val>
          <c:extLst>
            <c:ext xmlns:c16="http://schemas.microsoft.com/office/drawing/2014/chart" uri="{C3380CC4-5D6E-409C-BE32-E72D297353CC}">
              <c16:uniqueId val="{00000002-1403-418A-9EE4-02187CCA9519}"/>
            </c:ext>
          </c:extLst>
        </c:ser>
        <c:ser>
          <c:idx val="4"/>
          <c:order val="4"/>
          <c:tx>
            <c:strRef>
              <c:f>'CEP25_1.1b ; CEP25_VD_1.1b'!$E$1</c:f>
              <c:strCache>
                <c:ptCount val="1"/>
                <c:pt idx="0">
                  <c:v>uitvoer</c:v>
                </c:pt>
              </c:strCache>
            </c:strRef>
          </c:tx>
          <c:spPr>
            <a:solidFill>
              <a:schemeClr val="accent5"/>
            </a:solidFill>
            <a:ln>
              <a:noFill/>
            </a:ln>
            <a:effectLst/>
          </c:spPr>
          <c:invertIfNegative val="0"/>
          <c:cat>
            <c:numRef>
              <c:f>'CEP25_1.1b ; CEP25_VD_1.1b'!$A$2:$A$10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'CEP25_1.1b ; CEP25_VD_1.1b'!$E$2:$E$10</c:f>
              <c:numCache>
                <c:formatCode>0.0</c:formatCode>
                <c:ptCount val="9"/>
                <c:pt idx="0">
                  <c:v>1.1530441374887099</c:v>
                </c:pt>
                <c:pt idx="1">
                  <c:v>0.91069115184560001</c:v>
                </c:pt>
                <c:pt idx="2">
                  <c:v>-2.2289403510633998</c:v>
                </c:pt>
                <c:pt idx="3">
                  <c:v>2.9417942179745098</c:v>
                </c:pt>
                <c:pt idx="4">
                  <c:v>2.2287339247401801</c:v>
                </c:pt>
                <c:pt idx="5">
                  <c:v>-0.35864359854443001</c:v>
                </c:pt>
                <c:pt idx="6">
                  <c:v>0.220076451648021</c:v>
                </c:pt>
                <c:pt idx="7">
                  <c:v>0.63</c:v>
                </c:pt>
                <c:pt idx="8">
                  <c:v>0.3</c:v>
                </c:pt>
              </c:numCache>
            </c:numRef>
          </c:val>
          <c:extLst>
            <c:ext xmlns:c16="http://schemas.microsoft.com/office/drawing/2014/chart" uri="{C3380CC4-5D6E-409C-BE32-E72D297353CC}">
              <c16:uniqueId val="{00000003-1403-418A-9EE4-02187CCA9519}"/>
            </c:ext>
          </c:extLst>
        </c:ser>
        <c:dLbls>
          <c:showLegendKey val="0"/>
          <c:showVal val="0"/>
          <c:showCatName val="0"/>
          <c:showSerName val="0"/>
          <c:showPercent val="0"/>
          <c:showBubbleSize val="0"/>
        </c:dLbls>
        <c:gapWidth val="150"/>
        <c:overlap val="100"/>
        <c:axId val="1331229296"/>
        <c:axId val="1331229776"/>
        <c:extLst>
          <c:ext xmlns:c15="http://schemas.microsoft.com/office/drawing/2012/chart" uri="{02D57815-91ED-43cb-92C2-25804820EDAC}">
            <c15:filteredBarSeries>
              <c15:ser>
                <c:idx val="0"/>
                <c:order val="0"/>
                <c:tx>
                  <c:strRef>
                    <c:extLst>
                      <c:ext uri="{02D57815-91ED-43cb-92C2-25804820EDAC}">
                        <c15:formulaRef>
                          <c15:sqref>'CEP25_1.1b ; CEP25_VD_1.1b'!$A$1</c15:sqref>
                        </c15:formulaRef>
                      </c:ext>
                    </c:extLst>
                    <c:strCache>
                      <c:ptCount val="1"/>
                      <c:pt idx="0">
                        <c:v>inhoud</c:v>
                      </c:pt>
                    </c:strCache>
                  </c:strRef>
                </c:tx>
                <c:spPr>
                  <a:solidFill>
                    <a:schemeClr val="accent1"/>
                  </a:solidFill>
                  <a:ln>
                    <a:noFill/>
                  </a:ln>
                  <a:effectLst/>
                </c:spPr>
                <c:invertIfNegative val="0"/>
                <c:cat>
                  <c:numRef>
                    <c:extLst>
                      <c:ext uri="{02D57815-91ED-43cb-92C2-25804820EDAC}">
                        <c15:formulaRef>
                          <c15:sqref>'CEP25_1.1b ; CEP25_VD_1.1b'!$A$2:$A$10</c15:sqref>
                        </c15:formulaRef>
                      </c:ext>
                    </c:extLst>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extLst>
                      <c:ext uri="{02D57815-91ED-43cb-92C2-25804820EDAC}">
                        <c15:formulaRef>
                          <c15:sqref>'CEP25_1.1b ; CEP25_VD_1.1b'!$A$2:$A$10</c15:sqref>
                        </c15:formulaRef>
                      </c:ext>
                    </c:extLst>
                    <c:numCache>
                      <c:formatCode>General</c:formatCode>
                      <c:ptCount val="9"/>
                      <c:pt idx="0">
                        <c:v>2018</c:v>
                      </c:pt>
                      <c:pt idx="1">
                        <c:v>2019</c:v>
                      </c:pt>
                      <c:pt idx="2">
                        <c:v>2020</c:v>
                      </c:pt>
                      <c:pt idx="3">
                        <c:v>2021</c:v>
                      </c:pt>
                      <c:pt idx="4">
                        <c:v>2022</c:v>
                      </c:pt>
                      <c:pt idx="5">
                        <c:v>2023</c:v>
                      </c:pt>
                      <c:pt idx="6">
                        <c:v>2024</c:v>
                      </c:pt>
                      <c:pt idx="7">
                        <c:v>2025</c:v>
                      </c:pt>
                      <c:pt idx="8">
                        <c:v>2026</c:v>
                      </c:pt>
                    </c:numCache>
                  </c:numRef>
                </c:val>
                <c:extLst>
                  <c:ext xmlns:c16="http://schemas.microsoft.com/office/drawing/2014/chart" uri="{C3380CC4-5D6E-409C-BE32-E72D297353CC}">
                    <c16:uniqueId val="{00000005-1403-418A-9EE4-02187CCA9519}"/>
                  </c:ext>
                </c:extLst>
              </c15:ser>
            </c15:filteredBarSeries>
          </c:ext>
        </c:extLst>
      </c:barChart>
      <c:lineChart>
        <c:grouping val="standard"/>
        <c:varyColors val="0"/>
        <c:ser>
          <c:idx val="5"/>
          <c:order val="5"/>
          <c:tx>
            <c:strRef>
              <c:f>'CEP25_1.1b ; CEP25_VD_1.1b'!$F$1</c:f>
              <c:strCache>
                <c:ptCount val="1"/>
                <c:pt idx="0">
                  <c:v>bbp-groei</c:v>
                </c:pt>
              </c:strCache>
            </c:strRef>
          </c:tx>
          <c:spPr>
            <a:ln w="28575" cap="rnd">
              <a:solidFill>
                <a:schemeClr val="accent1">
                  <a:lumMod val="75000"/>
                </a:schemeClr>
              </a:solidFill>
              <a:round/>
            </a:ln>
            <a:effectLst/>
          </c:spPr>
          <c:marker>
            <c:symbol val="none"/>
          </c:marker>
          <c:cat>
            <c:numRef>
              <c:f>'CEP25_1.1b ; CEP25_VD_1.1b'!$A$2:$A$10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'CEP25_1.1b ; CEP25_VD_1.1b'!$F$2:$F$10</c:f>
              <c:numCache>
                <c:formatCode>0.0</c:formatCode>
                <c:ptCount val="9"/>
                <c:pt idx="0">
                  <c:v>2.2587315811697599</c:v>
                </c:pt>
                <c:pt idx="1">
                  <c:v>2.3001616589183298</c:v>
                </c:pt>
                <c:pt idx="2">
                  <c:v>-3.86799717440047</c:v>
                </c:pt>
                <c:pt idx="3">
                  <c:v>6.27683594210409</c:v>
                </c:pt>
                <c:pt idx="4">
                  <c:v>5.0072346005346899</c:v>
                </c:pt>
                <c:pt idx="5">
                  <c:v>7.45573521111043E-2</c:v>
                </c:pt>
                <c:pt idx="6">
                  <c:v>0.93057663256481704</c:v>
                </c:pt>
                <c:pt idx="7">
                  <c:v>1.89</c:v>
                </c:pt>
                <c:pt idx="8">
                  <c:v>1.5</c:v>
                </c:pt>
              </c:numCache>
            </c:numRef>
          </c:val>
          <c:smooth val="0"/>
          <c:extLst>
            <c:ext xmlns:c16="http://schemas.microsoft.com/office/drawing/2014/chart" uri="{C3380CC4-5D6E-409C-BE32-E72D297353CC}">
              <c16:uniqueId val="{00000004-1403-418A-9EE4-02187CCA9519}"/>
            </c:ext>
          </c:extLst>
        </c:ser>
        <c:dLbls>
          <c:showLegendKey val="0"/>
          <c:showVal val="0"/>
          <c:showCatName val="0"/>
          <c:showSerName val="0"/>
          <c:showPercent val="0"/>
          <c:showBubbleSize val="0"/>
        </c:dLbls>
        <c:marker val="1"/>
        <c:smooth val="0"/>
        <c:axId val="1331229296"/>
        <c:axId val="1331229776"/>
      </c:lineChart>
      <c:catAx>
        <c:axId val="133122929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331229776"/>
        <c:crosses val="autoZero"/>
        <c:auto val="1"/>
        <c:lblAlgn val="ctr"/>
        <c:lblOffset val="100"/>
        <c:noMultiLvlLbl val="0"/>
      </c:catAx>
      <c:valAx>
        <c:axId val="1331229776"/>
        <c:scaling>
          <c:orientation val="minMax"/>
          <c:max val="8"/>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a:t>%-punt bbp-groei</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33122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Verdana" panose="020B0604030504040204" pitchFamily="34" charset="0"/>
          <a:ea typeface="Verdana" panose="020B0604030504040204" pitchFamily="34" charset="0"/>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02428484318247"/>
          <c:y val="0.13808492688413948"/>
          <c:w val="0.81693867811978049"/>
          <c:h val="0.81429602549681279"/>
        </c:manualLayout>
      </c:layout>
      <c:barChart>
        <c:barDir val="col"/>
        <c:grouping val="clustered"/>
        <c:varyColors val="0"/>
        <c:ser>
          <c:idx val="0"/>
          <c:order val="0"/>
          <c:spPr>
            <a:solidFill>
              <a:srgbClr val="01689B"/>
            </a:solidFill>
            <a:ln>
              <a:noFill/>
            </a:ln>
            <a:effectLst/>
          </c:spPr>
          <c:invertIfNegative val="0"/>
          <c:dLbls>
            <c:dLbl>
              <c:idx val="3"/>
              <c:layout>
                <c:manualLayout>
                  <c:x val="0"/>
                  <c:y val="3.57142857142856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57-4DBB-82DC-DF1AEC9B4E4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Blad1!$C$16:$C$21</c:f>
              <c:numCache>
                <c:formatCode>General</c:formatCode>
                <c:ptCount val="6"/>
                <c:pt idx="0">
                  <c:v>2023</c:v>
                </c:pt>
                <c:pt idx="1">
                  <c:v>2024</c:v>
                </c:pt>
                <c:pt idx="2">
                  <c:v>2025</c:v>
                </c:pt>
                <c:pt idx="3">
                  <c:v>2026</c:v>
                </c:pt>
                <c:pt idx="4">
                  <c:v>2027</c:v>
                </c:pt>
                <c:pt idx="5">
                  <c:v>2028</c:v>
                </c:pt>
              </c:numCache>
            </c:numRef>
          </c:cat>
          <c:val>
            <c:numRef>
              <c:f>Blad1!$D$16:$D$21</c:f>
              <c:numCache>
                <c:formatCode>General</c:formatCode>
                <c:ptCount val="6"/>
                <c:pt idx="0">
                  <c:v>-0.4</c:v>
                </c:pt>
                <c:pt idx="1">
                  <c:v>-0.9</c:v>
                </c:pt>
                <c:pt idx="2">
                  <c:v>-2.2999999999999998</c:v>
                </c:pt>
                <c:pt idx="3">
                  <c:v>-2.8</c:v>
                </c:pt>
                <c:pt idx="4" formatCode="0.0">
                  <c:v>-2</c:v>
                </c:pt>
                <c:pt idx="5">
                  <c:v>-2.2000000000000002</c:v>
                </c:pt>
              </c:numCache>
            </c:numRef>
          </c:val>
          <c:extLst>
            <c:ext xmlns:c16="http://schemas.microsoft.com/office/drawing/2014/chart" uri="{C3380CC4-5D6E-409C-BE32-E72D297353CC}">
              <c16:uniqueId val="{00000000-EB04-493C-9D6B-4E1824B56F80}"/>
            </c:ext>
          </c:extLst>
        </c:ser>
        <c:dLbls>
          <c:showLegendKey val="0"/>
          <c:showVal val="0"/>
          <c:showCatName val="0"/>
          <c:showSerName val="0"/>
          <c:showPercent val="0"/>
          <c:showBubbleSize val="0"/>
        </c:dLbls>
        <c:gapWidth val="219"/>
        <c:overlap val="-27"/>
        <c:axId val="1401974736"/>
        <c:axId val="1401975216"/>
      </c:barChart>
      <c:lineChart>
        <c:grouping val="standard"/>
        <c:varyColors val="0"/>
        <c:ser>
          <c:idx val="1"/>
          <c:order val="1"/>
          <c:spPr>
            <a:ln w="28575" cap="rnd">
              <a:solidFill>
                <a:schemeClr val="accent2"/>
              </a:solidFill>
              <a:round/>
            </a:ln>
            <a:effectLst/>
          </c:spPr>
          <c:marker>
            <c:symbol val="none"/>
          </c:marker>
          <c:cat>
            <c:numRef>
              <c:f>Blad1!$C$16:$C$21</c:f>
              <c:numCache>
                <c:formatCode>General</c:formatCode>
                <c:ptCount val="6"/>
                <c:pt idx="0">
                  <c:v>2023</c:v>
                </c:pt>
                <c:pt idx="1">
                  <c:v>2024</c:v>
                </c:pt>
                <c:pt idx="2">
                  <c:v>2025</c:v>
                </c:pt>
                <c:pt idx="3">
                  <c:v>2026</c:v>
                </c:pt>
                <c:pt idx="4">
                  <c:v>2027</c:v>
                </c:pt>
                <c:pt idx="5">
                  <c:v>2028</c:v>
                </c:pt>
              </c:numCache>
            </c:numRef>
          </c:cat>
          <c:val>
            <c:numRef>
              <c:f>Blad1!$E$16:$E$21</c:f>
              <c:numCache>
                <c:formatCode>General</c:formatCode>
                <c:ptCount val="6"/>
                <c:pt idx="0">
                  <c:v>-3</c:v>
                </c:pt>
                <c:pt idx="1">
                  <c:v>-3</c:v>
                </c:pt>
                <c:pt idx="2">
                  <c:v>-3</c:v>
                </c:pt>
                <c:pt idx="3">
                  <c:v>-3</c:v>
                </c:pt>
                <c:pt idx="4">
                  <c:v>-3</c:v>
                </c:pt>
                <c:pt idx="5">
                  <c:v>-3</c:v>
                </c:pt>
              </c:numCache>
            </c:numRef>
          </c:val>
          <c:smooth val="0"/>
          <c:extLst>
            <c:ext xmlns:c16="http://schemas.microsoft.com/office/drawing/2014/chart" uri="{C3380CC4-5D6E-409C-BE32-E72D297353CC}">
              <c16:uniqueId val="{00000001-EB04-493C-9D6B-4E1824B56F80}"/>
            </c:ext>
          </c:extLst>
        </c:ser>
        <c:dLbls>
          <c:showLegendKey val="0"/>
          <c:showVal val="0"/>
          <c:showCatName val="0"/>
          <c:showSerName val="0"/>
          <c:showPercent val="0"/>
          <c:showBubbleSize val="0"/>
        </c:dLbls>
        <c:marker val="1"/>
        <c:smooth val="0"/>
        <c:axId val="1401974736"/>
        <c:axId val="1401975216"/>
      </c:lineChart>
      <c:catAx>
        <c:axId val="1401974736"/>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401975216"/>
        <c:crossesAt val="0"/>
        <c:auto val="1"/>
        <c:lblAlgn val="ctr"/>
        <c:lblOffset val="100"/>
        <c:noMultiLvlLbl val="0"/>
      </c:catAx>
      <c:valAx>
        <c:axId val="1401975216"/>
        <c:scaling>
          <c:orientation val="minMax"/>
          <c:max val="0"/>
          <c:min val="-3"/>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a:t>% bbp</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401974736"/>
        <c:crosses val="autoZero"/>
        <c:crossBetween val="between"/>
        <c:majorUnit val="1"/>
      </c:valAx>
      <c:spPr>
        <a:solidFill>
          <a:schemeClr val="bg1"/>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025371828521437E-2"/>
          <c:y val="5.5576896818533519E-2"/>
          <c:w val="0.90297462817147855"/>
          <c:h val="0.84204505686789155"/>
        </c:manualLayout>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Blad1!$C$31:$C$36</c:f>
              <c:numCache>
                <c:formatCode>General</c:formatCode>
                <c:ptCount val="6"/>
                <c:pt idx="0">
                  <c:v>2023</c:v>
                </c:pt>
                <c:pt idx="1">
                  <c:v>2024</c:v>
                </c:pt>
                <c:pt idx="2">
                  <c:v>2025</c:v>
                </c:pt>
                <c:pt idx="3">
                  <c:v>2026</c:v>
                </c:pt>
                <c:pt idx="4">
                  <c:v>2027</c:v>
                </c:pt>
                <c:pt idx="5">
                  <c:v>2028</c:v>
                </c:pt>
              </c:numCache>
            </c:numRef>
          </c:cat>
          <c:val>
            <c:numRef>
              <c:f>Blad1!$D$31:$D$36</c:f>
              <c:numCache>
                <c:formatCode>General</c:formatCode>
                <c:ptCount val="6"/>
                <c:pt idx="0">
                  <c:v>45.2</c:v>
                </c:pt>
                <c:pt idx="1">
                  <c:v>43.3</c:v>
                </c:pt>
                <c:pt idx="2">
                  <c:v>45</c:v>
                </c:pt>
                <c:pt idx="3">
                  <c:v>47.8</c:v>
                </c:pt>
                <c:pt idx="4">
                  <c:v>48.5</c:v>
                </c:pt>
                <c:pt idx="5">
                  <c:v>49.2</c:v>
                </c:pt>
              </c:numCache>
            </c:numRef>
          </c:val>
          <c:extLst>
            <c:ext xmlns:c16="http://schemas.microsoft.com/office/drawing/2014/chart" uri="{C3380CC4-5D6E-409C-BE32-E72D297353CC}">
              <c16:uniqueId val="{00000000-2730-41D2-A7B6-069D36148204}"/>
            </c:ext>
          </c:extLst>
        </c:ser>
        <c:dLbls>
          <c:showLegendKey val="0"/>
          <c:showVal val="0"/>
          <c:showCatName val="0"/>
          <c:showSerName val="0"/>
          <c:showPercent val="0"/>
          <c:showBubbleSize val="0"/>
        </c:dLbls>
        <c:gapWidth val="219"/>
        <c:overlap val="-27"/>
        <c:axId val="906903472"/>
        <c:axId val="906903952"/>
      </c:barChart>
      <c:lineChart>
        <c:grouping val="standard"/>
        <c:varyColors val="0"/>
        <c:ser>
          <c:idx val="1"/>
          <c:order val="1"/>
          <c:spPr>
            <a:ln w="28575" cap="rnd">
              <a:solidFill>
                <a:schemeClr val="accent2"/>
              </a:solidFill>
              <a:round/>
            </a:ln>
            <a:effectLst/>
          </c:spPr>
          <c:marker>
            <c:symbol val="none"/>
          </c:marker>
          <c:cat>
            <c:numRef>
              <c:f>Blad1!$C$31:$C$36</c:f>
              <c:numCache>
                <c:formatCode>General</c:formatCode>
                <c:ptCount val="6"/>
                <c:pt idx="0">
                  <c:v>2023</c:v>
                </c:pt>
                <c:pt idx="1">
                  <c:v>2024</c:v>
                </c:pt>
                <c:pt idx="2">
                  <c:v>2025</c:v>
                </c:pt>
                <c:pt idx="3">
                  <c:v>2026</c:v>
                </c:pt>
                <c:pt idx="4">
                  <c:v>2027</c:v>
                </c:pt>
                <c:pt idx="5">
                  <c:v>2028</c:v>
                </c:pt>
              </c:numCache>
            </c:numRef>
          </c:cat>
          <c:val>
            <c:numRef>
              <c:f>Blad1!$E$31:$E$36</c:f>
              <c:numCache>
                <c:formatCode>General</c:formatCode>
                <c:ptCount val="6"/>
                <c:pt idx="0">
                  <c:v>60</c:v>
                </c:pt>
                <c:pt idx="1">
                  <c:v>60</c:v>
                </c:pt>
                <c:pt idx="2">
                  <c:v>60</c:v>
                </c:pt>
                <c:pt idx="3">
                  <c:v>60</c:v>
                </c:pt>
                <c:pt idx="4">
                  <c:v>60</c:v>
                </c:pt>
                <c:pt idx="5">
                  <c:v>60</c:v>
                </c:pt>
              </c:numCache>
            </c:numRef>
          </c:val>
          <c:smooth val="0"/>
          <c:extLst>
            <c:ext xmlns:c16="http://schemas.microsoft.com/office/drawing/2014/chart" uri="{C3380CC4-5D6E-409C-BE32-E72D297353CC}">
              <c16:uniqueId val="{00000001-2730-41D2-A7B6-069D36148204}"/>
            </c:ext>
          </c:extLst>
        </c:ser>
        <c:dLbls>
          <c:showLegendKey val="0"/>
          <c:showVal val="0"/>
          <c:showCatName val="0"/>
          <c:showSerName val="0"/>
          <c:showPercent val="0"/>
          <c:showBubbleSize val="0"/>
        </c:dLbls>
        <c:marker val="1"/>
        <c:smooth val="0"/>
        <c:axId val="906903472"/>
        <c:axId val="906903952"/>
      </c:lineChart>
      <c:catAx>
        <c:axId val="90690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906903952"/>
        <c:crosses val="autoZero"/>
        <c:auto val="1"/>
        <c:lblAlgn val="ctr"/>
        <c:lblOffset val="100"/>
        <c:noMultiLvlLbl val="0"/>
      </c:catAx>
      <c:valAx>
        <c:axId val="906903952"/>
        <c:scaling>
          <c:orientation val="minMax"/>
          <c:max val="60"/>
          <c:min val="40"/>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sz="800"/>
                  <a:t>% bbp</a:t>
                </a:r>
              </a:p>
            </c:rich>
          </c:tx>
          <c:layout>
            <c:manualLayout>
              <c:xMode val="edge"/>
              <c:yMode val="edge"/>
              <c:x val="2.8128121152997494E-4"/>
              <c:y val="0.7073254796638792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906903472"/>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56</ap:Pages>
  <ap:Words>19629</ap:Words>
  <ap:Characters>107964</ap:Characters>
  <ap:DocSecurity>0</ap:DocSecurity>
  <ap:Lines>899</ap:Lines>
  <ap:Paragraphs>254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2025-05-26T13:39:00.0000000Z</dcterms:created>
  <dcterms:modified xsi:type="dcterms:W3CDTF">2025-05-26T13:39:00.0000000Z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2025-03-18T14:29:42Z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c55d53c8-edeb-47bd-8f75-e487628c9ddb</vt:lpwstr>
  </property>
  <property fmtid="{D5CDD505-2E9C-101B-9397-08002B2CF9AE}" pid="8" name="MSIP_Label_112e3eac-4767-4d29-949e-d809b1160d11_ContentBits">
    <vt:lpwstr>0</vt:lpwstr>
  </property>
  <property fmtid="{D5CDD505-2E9C-101B-9397-08002B2CF9AE}" pid="9" name="ContentTypeId">
    <vt:lpwstr>0x010100A987211BB4B4F544942F2B31772A7BC3</vt:lpwstr>
  </property>
</Properties>
</file>