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CBA" w:rsidP="00065CBA" w:rsidRDefault="000208D6" w14:paraId="0AE4A5D3" w14:textId="6F5F5773">
      <w:pPr>
        <w:rPr>
          <w:b/>
        </w:rPr>
      </w:pPr>
      <w:r w:rsidRPr="000208D6">
        <w:rPr>
          <w:b/>
        </w:rPr>
        <w:t xml:space="preserve">Regeling van de Minister van Onderwijs, Cultuur en Wetenschap van </w:t>
      </w:r>
      <w:r w:rsidR="0005022D">
        <w:rPr>
          <w:b/>
        </w:rPr>
        <w:t xml:space="preserve">                                </w:t>
      </w:r>
      <w:r w:rsidRPr="000208D6">
        <w:rPr>
          <w:b/>
        </w:rPr>
        <w:t>, Directie E&amp;K, nr.</w:t>
      </w:r>
      <w:r w:rsidR="00A62027">
        <w:rPr>
          <w:b/>
        </w:rPr>
        <w:t xml:space="preserve"> 51933936</w:t>
      </w:r>
      <w:r w:rsidRPr="000208D6">
        <w:rPr>
          <w:b/>
        </w:rPr>
        <w:t xml:space="preserve">, houdende wijziging van de Subsidieregeling indemniteit bruiklenen 2016 in verband met de verlenging van de </w:t>
      </w:r>
      <w:r>
        <w:rPr>
          <w:b/>
        </w:rPr>
        <w:t>l</w:t>
      </w:r>
      <w:r w:rsidRPr="000208D6">
        <w:rPr>
          <w:b/>
        </w:rPr>
        <w:t>ooptijd van deze regeling</w:t>
      </w:r>
    </w:p>
    <w:p w:rsidR="00D9436D" w:rsidP="00D9436D" w:rsidRDefault="00D9436D" w14:paraId="2EE1C3FD" w14:textId="77777777"/>
    <w:p w:rsidR="000208D6" w:rsidP="00D9436D" w:rsidRDefault="000208D6" w14:paraId="0B7348EB" w14:textId="77777777">
      <w:r>
        <w:t xml:space="preserve">De Minister van Onderwijs, Cultuur en Wetenschap, </w:t>
      </w:r>
    </w:p>
    <w:p w:rsidR="000208D6" w:rsidP="00D9436D" w:rsidRDefault="000208D6" w14:paraId="6ACEB710" w14:textId="77777777"/>
    <w:p w:rsidR="000208D6" w:rsidP="00D9436D" w:rsidRDefault="000208D6" w14:paraId="364A00CB" w14:textId="77777777">
      <w:r>
        <w:t xml:space="preserve">Gelet op artikel 4 van het Besluit op het specifiek cultuurbeleid; </w:t>
      </w:r>
    </w:p>
    <w:p w:rsidR="000208D6" w:rsidP="00D9436D" w:rsidRDefault="000208D6" w14:paraId="2425ABDA" w14:textId="77777777"/>
    <w:p w:rsidR="000208D6" w:rsidP="00D9436D" w:rsidRDefault="000208D6" w14:paraId="00D1AE56" w14:textId="63CCB090">
      <w:r>
        <w:t xml:space="preserve">Besluit: </w:t>
      </w:r>
    </w:p>
    <w:p w:rsidR="000208D6" w:rsidP="00D9436D" w:rsidRDefault="000208D6" w14:paraId="027F2FA7" w14:textId="77777777"/>
    <w:p w:rsidR="000208D6" w:rsidP="00D9436D" w:rsidRDefault="000208D6" w14:paraId="7D1E8F9E" w14:textId="0F8E5E84">
      <w:pPr>
        <w:rPr>
          <w:b/>
          <w:bCs/>
        </w:rPr>
      </w:pPr>
      <w:r w:rsidRPr="000208D6">
        <w:rPr>
          <w:b/>
          <w:bCs/>
        </w:rPr>
        <w:t xml:space="preserve">ARTIKEL I. Wijziging van de Subsidieregeling indemniteit bruiklenen 2016 </w:t>
      </w:r>
    </w:p>
    <w:p w:rsidR="00DA29C8" w:rsidP="00D9436D" w:rsidRDefault="00DA29C8" w14:paraId="1905085D" w14:textId="77777777">
      <w:pPr>
        <w:rPr>
          <w:b/>
          <w:bCs/>
        </w:rPr>
      </w:pPr>
    </w:p>
    <w:p w:rsidRPr="001D55B4" w:rsidR="00DA29C8" w:rsidP="00D9436D" w:rsidRDefault="00DA29C8" w14:paraId="22BF46A9" w14:textId="63CF188E">
      <w:r>
        <w:t>De Subsidieregeling indemniteit bruiklenen 2016 wordt als volgt gewijzigd:</w:t>
      </w:r>
    </w:p>
    <w:p w:rsidR="000208D6" w:rsidP="00D9436D" w:rsidRDefault="000208D6" w14:paraId="669C26EE" w14:textId="77777777"/>
    <w:p w:rsidR="00425897" w:rsidP="00D9436D" w:rsidRDefault="00425897" w14:paraId="7E7353D8" w14:textId="60AFCC7B">
      <w:r>
        <w:t>A</w:t>
      </w:r>
    </w:p>
    <w:p w:rsidR="00425897" w:rsidP="00D9436D" w:rsidRDefault="00425897" w14:paraId="11435F68" w14:textId="77777777"/>
    <w:p w:rsidR="009F6D33" w:rsidP="00425897" w:rsidRDefault="009F6D33" w14:paraId="0144D4D8" w14:textId="5FF11951">
      <w:r>
        <w:t>In a</w:t>
      </w:r>
      <w:r w:rsidR="00425897">
        <w:t xml:space="preserve">rtikel </w:t>
      </w:r>
      <w:r>
        <w:t>5, eerste lid, wordt ’31 augustus 2025’ vervangen door ’31 augustus 2030’.</w:t>
      </w:r>
    </w:p>
    <w:p w:rsidR="00425897" w:rsidP="00D9436D" w:rsidRDefault="00425897" w14:paraId="7AC9586D" w14:textId="77777777"/>
    <w:p w:rsidR="00425897" w:rsidP="00D9436D" w:rsidRDefault="00425897" w14:paraId="382B24B0" w14:textId="4FDA0A48">
      <w:r>
        <w:t>B</w:t>
      </w:r>
    </w:p>
    <w:p w:rsidR="00425897" w:rsidP="00D9436D" w:rsidRDefault="00425897" w14:paraId="1C935397" w14:textId="77777777"/>
    <w:p w:rsidR="000208D6" w:rsidP="00D9436D" w:rsidRDefault="000208D6" w14:paraId="5F4F1027" w14:textId="02152069">
      <w:r>
        <w:t>In artikel 14 wordt '1 januari 202</w:t>
      </w:r>
      <w:r w:rsidR="00776033">
        <w:t>6</w:t>
      </w:r>
      <w:r>
        <w:t>' vervangen door '1 januari 20</w:t>
      </w:r>
      <w:r w:rsidR="00776033">
        <w:t>31</w:t>
      </w:r>
      <w:r>
        <w:t xml:space="preserve">'. </w:t>
      </w:r>
    </w:p>
    <w:p w:rsidR="000208D6" w:rsidP="00D9436D" w:rsidRDefault="000208D6" w14:paraId="5F014C0A" w14:textId="77777777"/>
    <w:p w:rsidRPr="000208D6" w:rsidR="000208D6" w:rsidP="00D9436D" w:rsidRDefault="000208D6" w14:paraId="5280AB0F" w14:textId="7F890A5F">
      <w:pPr>
        <w:rPr>
          <w:b/>
          <w:bCs/>
        </w:rPr>
      </w:pPr>
      <w:r w:rsidRPr="000208D6">
        <w:rPr>
          <w:b/>
          <w:bCs/>
        </w:rPr>
        <w:t>A</w:t>
      </w:r>
      <w:r w:rsidR="00100423">
        <w:rPr>
          <w:b/>
          <w:bCs/>
        </w:rPr>
        <w:t>RTIKEL</w:t>
      </w:r>
      <w:r w:rsidRPr="000208D6">
        <w:rPr>
          <w:b/>
          <w:bCs/>
        </w:rPr>
        <w:t xml:space="preserve"> II. Inwerkingtreding </w:t>
      </w:r>
    </w:p>
    <w:p w:rsidR="000208D6" w:rsidP="00D9436D" w:rsidRDefault="000208D6" w14:paraId="07C8BDF9" w14:textId="77777777"/>
    <w:p w:rsidR="009F6D33" w:rsidP="00D9436D" w:rsidRDefault="000208D6" w14:paraId="7981A826" w14:textId="77777777">
      <w:r>
        <w:t xml:space="preserve">Deze regeling treedt in werking met ingang van de dag na de datum van uitgifte van de Staatscourant waarin zij wordt geplaatst. </w:t>
      </w:r>
    </w:p>
    <w:p w:rsidR="009F6D33" w:rsidP="00D9436D" w:rsidRDefault="009F6D33" w14:paraId="22B16A8E" w14:textId="77777777"/>
    <w:p w:rsidR="000208D6" w:rsidP="00D9436D" w:rsidRDefault="000208D6" w14:paraId="3B07691A" w14:textId="3A3F1FBD">
      <w:r>
        <w:t xml:space="preserve">Deze regeling zal met de toelichting in de Staatscourant worden geplaatst. </w:t>
      </w:r>
    </w:p>
    <w:p w:rsidR="000208D6" w:rsidP="00D9436D" w:rsidRDefault="000208D6" w14:paraId="13B2A3A5" w14:textId="77777777"/>
    <w:p w:rsidR="000208D6" w:rsidP="00D9436D" w:rsidRDefault="000208D6" w14:paraId="6F548E2B" w14:textId="77777777"/>
    <w:p w:rsidR="000A764A" w:rsidP="00D9436D" w:rsidRDefault="000208D6" w14:paraId="1FD1FAD8" w14:textId="4E5D60BA">
      <w:r>
        <w:t>De Minister van Onderwijs, Cultuur en Wetenschap,</w:t>
      </w:r>
    </w:p>
    <w:p w:rsidR="000208D6" w:rsidP="00D9436D" w:rsidRDefault="000208D6" w14:paraId="7D6823EF" w14:textId="77777777"/>
    <w:p w:rsidR="000208D6" w:rsidP="00D9436D" w:rsidRDefault="000208D6" w14:paraId="3172BA65" w14:textId="77777777"/>
    <w:p w:rsidR="000208D6" w:rsidP="00D9436D" w:rsidRDefault="000208D6" w14:paraId="199879B8" w14:textId="77777777"/>
    <w:p w:rsidR="000208D6" w:rsidP="00D9436D" w:rsidRDefault="000208D6" w14:paraId="64009848" w14:textId="19DEF638">
      <w:proofErr w:type="spellStart"/>
      <w:r>
        <w:t>Eppo</w:t>
      </w:r>
      <w:proofErr w:type="spellEnd"/>
      <w:r>
        <w:t xml:space="preserve"> Bruins</w:t>
      </w:r>
    </w:p>
    <w:p w:rsidR="00A62027" w:rsidP="00D9436D" w:rsidRDefault="00A62027" w14:paraId="589A23F8" w14:textId="77777777"/>
    <w:p w:rsidR="00A62027" w:rsidRDefault="00A62027" w14:paraId="62B893D9" w14:textId="5E0CD6FA">
      <w:pPr>
        <w:spacing w:line="240" w:lineRule="auto"/>
      </w:pPr>
      <w:r>
        <w:br w:type="page"/>
      </w:r>
    </w:p>
    <w:p w:rsidRPr="00A62027" w:rsidR="00A62027" w:rsidP="00A62027" w:rsidRDefault="00A62027" w14:paraId="3DE04E1A" w14:textId="77777777">
      <w:pPr>
        <w:rPr>
          <w:b/>
          <w:bCs/>
        </w:rPr>
      </w:pPr>
      <w:r w:rsidRPr="00A62027">
        <w:rPr>
          <w:b/>
          <w:bCs/>
        </w:rPr>
        <w:lastRenderedPageBreak/>
        <w:t xml:space="preserve">Toelichting </w:t>
      </w:r>
    </w:p>
    <w:p w:rsidR="00A62027" w:rsidP="00A62027" w:rsidRDefault="00A62027" w14:paraId="66D2DD69" w14:textId="77777777"/>
    <w:p w:rsidRPr="00A62027" w:rsidR="00A62027" w:rsidP="00A62027" w:rsidRDefault="00A62027" w14:paraId="6121009A" w14:textId="0301F76C">
      <w:pPr>
        <w:rPr>
          <w:b/>
          <w:bCs/>
        </w:rPr>
      </w:pPr>
      <w:r w:rsidRPr="00A62027">
        <w:rPr>
          <w:b/>
          <w:bCs/>
        </w:rPr>
        <w:t xml:space="preserve">Algemene toelichting </w:t>
      </w:r>
    </w:p>
    <w:p w:rsidR="00A62027" w:rsidP="00A62027" w:rsidRDefault="00A62027" w14:paraId="0084C30A" w14:textId="77777777"/>
    <w:p w:rsidR="00EB48DB" w:rsidP="00A62027" w:rsidRDefault="00A62027" w14:paraId="6FF08F91" w14:textId="7D7D9A56">
      <w:r>
        <w:t xml:space="preserve">Per 2016 is de Subsidieregeling indemniteit bruiklenen 2016 (hierna: de </w:t>
      </w:r>
      <w:r w:rsidR="0042202B">
        <w:t>subsidie</w:t>
      </w:r>
      <w:r>
        <w:t xml:space="preserve">regeling) in werking getreden, waarmee de Subsidieregeling indemniteit bruiklenen 2008 werd herzien. In 2019 is de </w:t>
      </w:r>
      <w:r w:rsidR="0042202B">
        <w:t>subsidie</w:t>
      </w:r>
      <w:r>
        <w:t>regeling verder geoptimaliseerd door middel van een aantal wijzigingen en in overleg met de Tweede Kamer verlengd tot 1 januari 2025</w:t>
      </w:r>
      <w:r w:rsidR="00EB48DB">
        <w:rPr>
          <w:rStyle w:val="Voetnootmarkering"/>
        </w:rPr>
        <w:footnoteReference w:id="1"/>
      </w:r>
      <w:r>
        <w:t xml:space="preserve">. </w:t>
      </w:r>
    </w:p>
    <w:p w:rsidR="00EB48DB" w:rsidP="00A62027" w:rsidRDefault="00EB48DB" w14:paraId="49E1A4D5" w14:textId="77777777"/>
    <w:p w:rsidRPr="005A4AD5" w:rsidR="00EB48DB" w:rsidP="00EB48DB" w:rsidRDefault="00EB48DB" w14:paraId="218DC296" w14:textId="1EB1DC59">
      <w:r w:rsidRPr="005A4AD5">
        <w:t xml:space="preserve">Op grond van de Comptabiliteitswet 2016 hebben subsidieregelingen in beginsel een maximale geldingsduur van </w:t>
      </w:r>
      <w:r w:rsidR="00100423">
        <w:t>vijf</w:t>
      </w:r>
      <w:r w:rsidRPr="005A4AD5">
        <w:t xml:space="preserve"> jaar. Verlenging van een subsidieregeling dient eerst aan de Tweede Kamer te worden voorgelegd (artikel 4.10, zevende lid, C</w:t>
      </w:r>
      <w:r w:rsidR="00100423">
        <w:t>omptabiliteitswet</w:t>
      </w:r>
      <w:r w:rsidRPr="005A4AD5">
        <w:t xml:space="preserve"> 2016). </w:t>
      </w:r>
      <w:r>
        <w:t>In verband met het feit dat de</w:t>
      </w:r>
      <w:r w:rsidRPr="00E5037A">
        <w:t xml:space="preserve"> evaluatie</w:t>
      </w:r>
      <w:r>
        <w:t xml:space="preserve"> van de </w:t>
      </w:r>
      <w:r w:rsidR="00B800CD">
        <w:t>subsidie</w:t>
      </w:r>
      <w:r>
        <w:t>regeling niet tijdig was afgerond</w:t>
      </w:r>
      <w:r w:rsidRPr="00E5037A">
        <w:t xml:space="preserve">, </w:t>
      </w:r>
      <w:r>
        <w:t>is deze in 2024</w:t>
      </w:r>
      <w:r>
        <w:rPr>
          <w:rStyle w:val="Voetnootmarkering"/>
        </w:rPr>
        <w:footnoteReference w:id="2"/>
      </w:r>
      <w:r>
        <w:t xml:space="preserve"> in overleg met de Tweede Kamer </w:t>
      </w:r>
      <w:r w:rsidRPr="00E5037A">
        <w:t xml:space="preserve">met </w:t>
      </w:r>
      <w:r>
        <w:t>éé</w:t>
      </w:r>
      <w:r w:rsidRPr="00E5037A">
        <w:t xml:space="preserve">n jaar </w:t>
      </w:r>
      <w:r>
        <w:t>verlengd</w:t>
      </w:r>
      <w:r w:rsidRPr="00E5037A">
        <w:t>.</w:t>
      </w:r>
    </w:p>
    <w:p w:rsidR="00EB48DB" w:rsidP="00A62027" w:rsidRDefault="00EB48DB" w14:paraId="05A012EF" w14:textId="77777777"/>
    <w:p w:rsidRPr="00EB48DB" w:rsidR="00EB48DB" w:rsidP="00EB48DB" w:rsidRDefault="00EB48DB" w14:paraId="17A4B860" w14:textId="38DF0E88">
      <w:r>
        <w:t xml:space="preserve">Inmiddels is de evaluatie afgerond. De Tweede Kamer is hierover geïnformeerd bij Kamerbrief van </w:t>
      </w:r>
      <w:r w:rsidR="00640BD4">
        <w:t>23 mei 2025</w:t>
      </w:r>
      <w:r>
        <w:rPr>
          <w:rStyle w:val="Voetnootmarkering"/>
        </w:rPr>
        <w:footnoteReference w:id="3"/>
      </w:r>
      <w:r>
        <w:t xml:space="preserve">. </w:t>
      </w:r>
      <w:r w:rsidRPr="00EB48DB">
        <w:t xml:space="preserve">De evaluatie toont aan dat de </w:t>
      </w:r>
      <w:r w:rsidR="00B800CD">
        <w:t>subsidie</w:t>
      </w:r>
      <w:r w:rsidRPr="00EB48DB">
        <w:t xml:space="preserve">regeling een belangrijk instrument is voor de musea in Nederland om grote, tijdelijke tentoonstellingen te organiseren en daarmee cultuurbezoek te stimuleren. Dankzij deze </w:t>
      </w:r>
      <w:r w:rsidR="00B800CD">
        <w:t>subsidie</w:t>
      </w:r>
      <w:r w:rsidRPr="00EB48DB">
        <w:t xml:space="preserve">regeling kunnen musea hoge kortingen krijgen op hun verzekeringspremies voor kostbare tentoonstellingen, waardoor het organiseren van deze presentaties toegankelijker wordt. </w:t>
      </w:r>
      <w:r w:rsidRPr="008A3B02" w:rsidR="008A3B02">
        <w:t>De regeling is sinds 1989 van kracht en heeft door de gerealiseerde premiereductie bijgedragen aan ve</w:t>
      </w:r>
      <w:r w:rsidR="008A3B02">
        <w:t>el</w:t>
      </w:r>
      <w:r w:rsidRPr="008A3B02" w:rsidR="008A3B02">
        <w:t xml:space="preserve"> </w:t>
      </w:r>
      <w:r w:rsidR="008A3B02">
        <w:t>grote, internationale</w:t>
      </w:r>
      <w:r w:rsidRPr="008A3B02" w:rsidR="008A3B02">
        <w:t xml:space="preserve"> tentoonstellingen </w:t>
      </w:r>
      <w:r w:rsidR="008A3B02">
        <w:t>met hoge bezoekersaantallen</w:t>
      </w:r>
      <w:r w:rsidRPr="008A3B02" w:rsidR="008A3B02">
        <w:t xml:space="preserve">. </w:t>
      </w:r>
      <w:r w:rsidR="008A3B02">
        <w:t>Om dit</w:t>
      </w:r>
      <w:r w:rsidRPr="00EB48DB">
        <w:t xml:space="preserve"> effect </w:t>
      </w:r>
      <w:r w:rsidR="008A3B02">
        <w:t>te</w:t>
      </w:r>
      <w:r w:rsidRPr="00EB48DB">
        <w:t xml:space="preserve"> blijven stimuleren</w:t>
      </w:r>
      <w:r w:rsidR="008A3B02">
        <w:t xml:space="preserve"> wordt </w:t>
      </w:r>
      <w:r w:rsidRPr="00EB48DB">
        <w:t xml:space="preserve">de </w:t>
      </w:r>
      <w:r w:rsidR="00B800CD">
        <w:t>subsidie</w:t>
      </w:r>
      <w:r w:rsidRPr="00EB48DB">
        <w:t xml:space="preserve">regeling </w:t>
      </w:r>
      <w:r w:rsidR="008A3B02">
        <w:t xml:space="preserve">verlengd </w:t>
      </w:r>
      <w:r w:rsidRPr="00EB48DB">
        <w:t>met vijf jaar tot en met eind 2030.</w:t>
      </w:r>
    </w:p>
    <w:p w:rsidR="00A62027" w:rsidP="00A62027" w:rsidRDefault="00A62027" w14:paraId="3C1EDC74" w14:textId="25420103"/>
    <w:p w:rsidRPr="005A4AD5" w:rsidR="005A4AD5" w:rsidP="005A4AD5" w:rsidRDefault="00A62027" w14:paraId="2ED789DC" w14:textId="7F9E5F0A">
      <w:r>
        <w:t xml:space="preserve">De ontwerp-wijzigingsregeling is bij brief van </w:t>
      </w:r>
      <w:r w:rsidR="00E5037A">
        <w:t>[</w:t>
      </w:r>
      <w:r w:rsidRPr="00E5037A" w:rsidR="00E5037A">
        <w:rPr>
          <w:highlight w:val="yellow"/>
        </w:rPr>
        <w:t>datum</w:t>
      </w:r>
      <w:r w:rsidR="00E5037A">
        <w:t>]</w:t>
      </w:r>
      <w:r>
        <w:t xml:space="preserve"> (</w:t>
      </w:r>
      <w:r w:rsidRPr="00E5037A">
        <w:rPr>
          <w:highlight w:val="yellow"/>
        </w:rPr>
        <w:t xml:space="preserve">Kamerstukken II, </w:t>
      </w:r>
      <w:r w:rsidRPr="00E5037A" w:rsidR="00E5037A">
        <w:rPr>
          <w:highlight w:val="yellow"/>
        </w:rPr>
        <w:t>[</w:t>
      </w:r>
      <w:r w:rsidR="005A4AD5">
        <w:rPr>
          <w:highlight w:val="yellow"/>
        </w:rPr>
        <w:t>zittings</w:t>
      </w:r>
      <w:r w:rsidRPr="00E5037A" w:rsidR="00E5037A">
        <w:rPr>
          <w:highlight w:val="yellow"/>
        </w:rPr>
        <w:t>jaar</w:t>
      </w:r>
      <w:r w:rsidR="005A4AD5">
        <w:rPr>
          <w:highlight w:val="yellow"/>
        </w:rPr>
        <w:t xml:space="preserve">, </w:t>
      </w:r>
      <w:r w:rsidRPr="00E5037A" w:rsidR="00E5037A">
        <w:rPr>
          <w:highlight w:val="yellow"/>
        </w:rPr>
        <w:t>d</w:t>
      </w:r>
      <w:r w:rsidR="005A4AD5">
        <w:rPr>
          <w:highlight w:val="yellow"/>
        </w:rPr>
        <w:t>ossiernummer</w:t>
      </w:r>
      <w:r w:rsidRPr="005A4AD5">
        <w:t xml:space="preserve">, nr. </w:t>
      </w:r>
      <w:r w:rsidRPr="005A4AD5" w:rsidR="005A4AD5">
        <w:rPr>
          <w:highlight w:val="yellow"/>
        </w:rPr>
        <w:t>ordernummer</w:t>
      </w:r>
      <w:r w:rsidR="005A4AD5">
        <w:t>]</w:t>
      </w:r>
      <w:r>
        <w:t xml:space="preserve"> aan de Tweede Kamer voorgelegd. </w:t>
      </w:r>
      <w:r w:rsidRPr="005A4AD5" w:rsidR="005A4AD5">
        <w:t>Er zijn [</w:t>
      </w:r>
      <w:r w:rsidRPr="005A4AD5" w:rsidR="005A4AD5">
        <w:rPr>
          <w:highlight w:val="yellow"/>
        </w:rPr>
        <w:t>geen/de volgende</w:t>
      </w:r>
      <w:r w:rsidRPr="005A4AD5" w:rsidR="005A4AD5">
        <w:t>] opmerkingen vanuit de Tweede Kamer op het ontwerp gekomen. [</w:t>
      </w:r>
      <w:r w:rsidRPr="005A4AD5" w:rsidR="005A4AD5">
        <w:rPr>
          <w:highlight w:val="yellow"/>
        </w:rPr>
        <w:t>Reactie/aanpassing</w:t>
      </w:r>
      <w:r w:rsidR="005D10AF">
        <w:rPr>
          <w:highlight w:val="yellow"/>
        </w:rPr>
        <w:t>?</w:t>
      </w:r>
      <w:r w:rsidRPr="005A4AD5" w:rsidR="005A4AD5">
        <w:rPr>
          <w:highlight w:val="yellow"/>
        </w:rPr>
        <w:t>]</w:t>
      </w:r>
    </w:p>
    <w:p w:rsidR="00A62027" w:rsidP="00A62027" w:rsidRDefault="00A62027" w14:paraId="515A8838" w14:textId="1DD078CB"/>
    <w:p w:rsidR="00A62027" w:rsidP="00A62027" w:rsidRDefault="00A62027" w14:paraId="3BD51C20" w14:textId="77777777"/>
    <w:p w:rsidRPr="00A62027" w:rsidR="00A62027" w:rsidP="00A62027" w:rsidRDefault="00A62027" w14:paraId="1928B8C5" w14:textId="2B8B741C">
      <w:pPr>
        <w:rPr>
          <w:b/>
          <w:bCs/>
        </w:rPr>
      </w:pPr>
      <w:r w:rsidRPr="00A62027">
        <w:rPr>
          <w:b/>
          <w:bCs/>
        </w:rPr>
        <w:t xml:space="preserve">Artikelsgewijze toelichting </w:t>
      </w:r>
    </w:p>
    <w:p w:rsidR="00A62027" w:rsidP="00A62027" w:rsidRDefault="00A62027" w14:paraId="43A2ACCA" w14:textId="77777777"/>
    <w:p w:rsidRPr="00A62027" w:rsidR="00A62027" w:rsidP="00A62027" w:rsidRDefault="00A62027" w14:paraId="4A450AAC" w14:textId="4856D3AC">
      <w:pPr>
        <w:rPr>
          <w:u w:val="single"/>
        </w:rPr>
      </w:pPr>
      <w:r w:rsidRPr="00A62027">
        <w:rPr>
          <w:u w:val="single"/>
        </w:rPr>
        <w:t>Artikel I</w:t>
      </w:r>
      <w:r w:rsidR="00100423">
        <w:rPr>
          <w:u w:val="single"/>
        </w:rPr>
        <w:t>,</w:t>
      </w:r>
      <w:r w:rsidR="00D31118">
        <w:rPr>
          <w:u w:val="single"/>
        </w:rPr>
        <w:t xml:space="preserve"> onder A</w:t>
      </w:r>
      <w:r w:rsidRPr="00A62027">
        <w:rPr>
          <w:u w:val="single"/>
        </w:rPr>
        <w:t xml:space="preserve"> </w:t>
      </w:r>
    </w:p>
    <w:p w:rsidR="00D31118" w:rsidP="00A62027" w:rsidRDefault="00100423" w14:paraId="3245A629" w14:textId="10481F05">
      <w:r>
        <w:t>Met</w:t>
      </w:r>
      <w:r w:rsidR="00D31118">
        <w:t xml:space="preserve"> de wijzigingsregeling van 19 november 2024</w:t>
      </w:r>
      <w:r w:rsidR="00D31118">
        <w:rPr>
          <w:rStyle w:val="Voetnootmarkering"/>
        </w:rPr>
        <w:footnoteReference w:id="4"/>
      </w:r>
      <w:r w:rsidR="00D31118">
        <w:t xml:space="preserve"> </w:t>
      </w:r>
      <w:r w:rsidRPr="00D31118" w:rsidR="00D31118">
        <w:t xml:space="preserve">is </w:t>
      </w:r>
      <w:r w:rsidR="00D31118">
        <w:t xml:space="preserve">in de regeling </w:t>
      </w:r>
      <w:r w:rsidRPr="00D31118" w:rsidR="00D31118">
        <w:t xml:space="preserve">opgenomen dat een subsidieaanvraag uiterlijk op 31 augustus 2025 moet zijn ingediend. Daarmee </w:t>
      </w:r>
      <w:r w:rsidR="00D31118">
        <w:t>werd</w:t>
      </w:r>
      <w:r w:rsidRPr="00D31118" w:rsidR="00D31118">
        <w:t xml:space="preserve"> voorkomen dat – bij latere indiening van aanvragen – niet meer op de aanvragen zou kunnen worden beslist voordat de regeling op grond van artikel 14 zou vervallen.</w:t>
      </w:r>
      <w:r w:rsidR="00D31118">
        <w:t xml:space="preserve"> Nu bij deze wijzigingsregeling de looptijd van de regeling met </w:t>
      </w:r>
      <w:r>
        <w:t>vijf</w:t>
      </w:r>
      <w:r w:rsidR="00D31118">
        <w:t xml:space="preserve"> jaar wordt verlengd wordt ook de </w:t>
      </w:r>
      <w:r>
        <w:t xml:space="preserve">uiterlijke </w:t>
      </w:r>
      <w:r w:rsidR="004D2CA2">
        <w:t xml:space="preserve">datum voor </w:t>
      </w:r>
      <w:r>
        <w:t xml:space="preserve">het indienen van </w:t>
      </w:r>
      <w:r w:rsidR="004D2CA2">
        <w:t xml:space="preserve">een </w:t>
      </w:r>
      <w:r>
        <w:t>subsidie</w:t>
      </w:r>
      <w:r w:rsidR="004D2CA2">
        <w:t xml:space="preserve">aanvraag </w:t>
      </w:r>
      <w:r w:rsidR="00D31118">
        <w:t>daarmee in overeenstemming gebracht.</w:t>
      </w:r>
    </w:p>
    <w:p w:rsidR="00D31118" w:rsidP="00A62027" w:rsidRDefault="00D31118" w14:paraId="7EC493B3" w14:textId="77777777"/>
    <w:p w:rsidRPr="00D31118" w:rsidR="00D31118" w:rsidP="00A62027" w:rsidRDefault="00D31118" w14:paraId="39D74312" w14:textId="3ED162F2">
      <w:pPr>
        <w:rPr>
          <w:u w:val="single"/>
        </w:rPr>
      </w:pPr>
      <w:r w:rsidRPr="00D31118">
        <w:rPr>
          <w:u w:val="single"/>
        </w:rPr>
        <w:t>Artikel I</w:t>
      </w:r>
      <w:r w:rsidR="00100423">
        <w:rPr>
          <w:u w:val="single"/>
        </w:rPr>
        <w:t>,</w:t>
      </w:r>
      <w:r w:rsidRPr="00D31118">
        <w:rPr>
          <w:u w:val="single"/>
        </w:rPr>
        <w:t xml:space="preserve"> onder B</w:t>
      </w:r>
    </w:p>
    <w:p w:rsidR="00A62027" w:rsidP="00A62027" w:rsidRDefault="00A62027" w14:paraId="7477E4CD" w14:textId="5663483D">
      <w:r>
        <w:t xml:space="preserve">In overleg met de Tweede Kamer is besloten om de regeling met een nieuwe periode van </w:t>
      </w:r>
      <w:r w:rsidR="00776033">
        <w:t>vijf</w:t>
      </w:r>
      <w:r>
        <w:t xml:space="preserve"> jaar te verlengen tot 1 januari 20</w:t>
      </w:r>
      <w:r w:rsidR="00776033">
        <w:t>31</w:t>
      </w:r>
      <w:r>
        <w:t xml:space="preserve">. </w:t>
      </w:r>
    </w:p>
    <w:p w:rsidR="00A62027" w:rsidP="00A62027" w:rsidRDefault="00A62027" w14:paraId="2D5EE109" w14:textId="77777777"/>
    <w:p w:rsidR="00A62027" w:rsidP="00A62027" w:rsidRDefault="00A62027" w14:paraId="16054CBC" w14:textId="77777777"/>
    <w:p w:rsidR="00A62027" w:rsidP="00A62027" w:rsidRDefault="00A62027" w14:paraId="2DA02B49" w14:textId="2BEBF43B">
      <w:r>
        <w:t>De Minister van Onderwijs, Cultuur en Wetenschap,</w:t>
      </w:r>
    </w:p>
    <w:p w:rsidR="00A62027" w:rsidP="00A62027" w:rsidRDefault="00A62027" w14:paraId="71D8074C" w14:textId="77777777"/>
    <w:p w:rsidR="00A62027" w:rsidP="00A62027" w:rsidRDefault="00A62027" w14:paraId="281E2EEF" w14:textId="77777777"/>
    <w:p w:rsidR="00A62027" w:rsidP="00A62027" w:rsidRDefault="00A62027" w14:paraId="4A4E7E41" w14:textId="77777777"/>
    <w:p w:rsidRPr="00D9436D" w:rsidR="00A62027" w:rsidP="00A62027" w:rsidRDefault="00A62027" w14:paraId="1A91CF3C" w14:textId="6C7F8FDB">
      <w:proofErr w:type="spellStart"/>
      <w:r>
        <w:t>Eppo</w:t>
      </w:r>
      <w:proofErr w:type="spellEnd"/>
      <w:r>
        <w:t xml:space="preserve"> Bruins</w:t>
      </w:r>
    </w:p>
    <w:sectPr w:rsidRPr="00D9436D" w:rsidR="00A62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71F0" w14:textId="77777777" w:rsidR="000208D6" w:rsidRDefault="000208D6">
      <w:pPr>
        <w:spacing w:line="240" w:lineRule="auto"/>
      </w:pPr>
      <w:r>
        <w:separator/>
      </w:r>
    </w:p>
  </w:endnote>
  <w:endnote w:type="continuationSeparator" w:id="0">
    <w:p w14:paraId="6B5E23B0" w14:textId="77777777" w:rsidR="000208D6" w:rsidRDefault="00020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F2DB" w14:textId="77777777" w:rsidR="005A5EDF" w:rsidRDefault="005A5E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B2D3" w14:textId="77777777" w:rsidR="005A5EDF" w:rsidRDefault="005A5E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D64A" w14:textId="77777777" w:rsidR="005A5EDF" w:rsidRDefault="005A5E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6AD7" w14:textId="77777777" w:rsidR="000208D6" w:rsidRDefault="000208D6">
      <w:pPr>
        <w:spacing w:line="240" w:lineRule="auto"/>
      </w:pPr>
      <w:r>
        <w:separator/>
      </w:r>
    </w:p>
  </w:footnote>
  <w:footnote w:type="continuationSeparator" w:id="0">
    <w:p w14:paraId="0E7086B4" w14:textId="77777777" w:rsidR="000208D6" w:rsidRDefault="000208D6">
      <w:pPr>
        <w:spacing w:line="240" w:lineRule="auto"/>
      </w:pPr>
      <w:r>
        <w:continuationSeparator/>
      </w:r>
    </w:p>
  </w:footnote>
  <w:footnote w:id="1">
    <w:p w14:paraId="49AC2ED6" w14:textId="5D18E242" w:rsidR="00EB48DB" w:rsidRDefault="00EB48D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28392C">
        <w:rPr>
          <w:sz w:val="16"/>
          <w:szCs w:val="16"/>
        </w:rPr>
        <w:t>Stcr</w:t>
      </w:r>
      <w:r w:rsidR="00100423">
        <w:rPr>
          <w:sz w:val="16"/>
          <w:szCs w:val="16"/>
        </w:rPr>
        <w:t>t</w:t>
      </w:r>
      <w:proofErr w:type="spellEnd"/>
      <w:r w:rsidRPr="0028392C">
        <w:rPr>
          <w:sz w:val="16"/>
          <w:szCs w:val="16"/>
        </w:rPr>
        <w:t>. 2019,</w:t>
      </w:r>
      <w:r w:rsidR="004E0CE3">
        <w:rPr>
          <w:sz w:val="16"/>
          <w:szCs w:val="16"/>
        </w:rPr>
        <w:t xml:space="preserve"> </w:t>
      </w:r>
      <w:r w:rsidRPr="0028392C">
        <w:rPr>
          <w:sz w:val="16"/>
          <w:szCs w:val="16"/>
        </w:rPr>
        <w:t>63642</w:t>
      </w:r>
      <w:r w:rsidR="004E0CE3">
        <w:rPr>
          <w:sz w:val="16"/>
          <w:szCs w:val="16"/>
        </w:rPr>
        <w:t>.</w:t>
      </w:r>
      <w:r w:rsidR="004E0CE3" w:rsidRPr="0028392C" w:rsidDel="004E0CE3">
        <w:rPr>
          <w:sz w:val="16"/>
          <w:szCs w:val="16"/>
        </w:rPr>
        <w:t xml:space="preserve"> </w:t>
      </w:r>
    </w:p>
  </w:footnote>
  <w:footnote w:id="2">
    <w:p w14:paraId="0DD94D7B" w14:textId="543DC52E" w:rsidR="00EB48DB" w:rsidRDefault="00EB48DB" w:rsidP="00EB48D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28392C">
        <w:rPr>
          <w:sz w:val="16"/>
          <w:szCs w:val="16"/>
        </w:rPr>
        <w:t>Stcr</w:t>
      </w:r>
      <w:r w:rsidR="00100423">
        <w:rPr>
          <w:sz w:val="16"/>
          <w:szCs w:val="16"/>
        </w:rPr>
        <w:t>t</w:t>
      </w:r>
      <w:proofErr w:type="spellEnd"/>
      <w:r w:rsidRPr="0028392C">
        <w:rPr>
          <w:sz w:val="16"/>
          <w:szCs w:val="16"/>
        </w:rPr>
        <w:t>. 2024, 35427</w:t>
      </w:r>
      <w:r w:rsidR="004E0CE3">
        <w:rPr>
          <w:sz w:val="16"/>
          <w:szCs w:val="16"/>
        </w:rPr>
        <w:t>.</w:t>
      </w:r>
      <w:r w:rsidR="004E0CE3" w:rsidRPr="0028392C" w:rsidDel="004E0CE3">
        <w:rPr>
          <w:sz w:val="16"/>
          <w:szCs w:val="16"/>
        </w:rPr>
        <w:t xml:space="preserve"> </w:t>
      </w:r>
    </w:p>
  </w:footnote>
  <w:footnote w:id="3">
    <w:p w14:paraId="7C58C6B2" w14:textId="76E86069" w:rsidR="00EB48DB" w:rsidRDefault="00EB48D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640BD4">
        <w:rPr>
          <w:sz w:val="16"/>
          <w:szCs w:val="16"/>
        </w:rPr>
        <w:t xml:space="preserve">Kamerstuk </w:t>
      </w:r>
      <w:r w:rsidR="00640BD4" w:rsidRPr="00640BD4">
        <w:rPr>
          <w:sz w:val="16"/>
          <w:szCs w:val="16"/>
        </w:rPr>
        <w:t>32820-541</w:t>
      </w:r>
      <w:r w:rsidR="00640BD4">
        <w:rPr>
          <w:sz w:val="16"/>
          <w:szCs w:val="16"/>
        </w:rPr>
        <w:t>.</w:t>
      </w:r>
    </w:p>
  </w:footnote>
  <w:footnote w:id="4">
    <w:p w14:paraId="27C21992" w14:textId="4A734942" w:rsidR="00D31118" w:rsidRDefault="00D3111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D31118">
        <w:rPr>
          <w:sz w:val="16"/>
          <w:szCs w:val="16"/>
        </w:rPr>
        <w:t>Stcr</w:t>
      </w:r>
      <w:r w:rsidR="00100423">
        <w:rPr>
          <w:sz w:val="16"/>
          <w:szCs w:val="16"/>
        </w:rPr>
        <w:t>t</w:t>
      </w:r>
      <w:proofErr w:type="spellEnd"/>
      <w:r w:rsidRPr="00D31118">
        <w:rPr>
          <w:sz w:val="16"/>
          <w:szCs w:val="16"/>
        </w:rPr>
        <w:t>. 20</w:t>
      </w:r>
      <w:r>
        <w:rPr>
          <w:sz w:val="16"/>
          <w:szCs w:val="16"/>
        </w:rPr>
        <w:t>24</w:t>
      </w:r>
      <w:r w:rsidRPr="00D31118">
        <w:rPr>
          <w:sz w:val="16"/>
          <w:szCs w:val="16"/>
        </w:rPr>
        <w:t xml:space="preserve">, </w:t>
      </w:r>
      <w:r>
        <w:rPr>
          <w:sz w:val="16"/>
          <w:szCs w:val="16"/>
        </w:rPr>
        <w:t>38702</w:t>
      </w:r>
      <w:r w:rsidR="004E0CE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BF19" w14:textId="77777777" w:rsidR="005A5EDF" w:rsidRDefault="005A5E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F092" w14:textId="77777777" w:rsidR="00116907" w:rsidRDefault="000208D6">
    <w:pPr>
      <w:pStyle w:val="Koptekst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5A5EDF">
      <w:rPr>
        <w:noProof/>
      </w:rPr>
      <w:t>3</w:t>
    </w:r>
    <w:r>
      <w:fldChar w:fldCharType="end"/>
    </w:r>
    <w:r>
      <w:t>-</w:t>
    </w:r>
  </w:p>
  <w:p w14:paraId="0A13D77A" w14:textId="77777777" w:rsidR="00116907" w:rsidRDefault="001169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6037" w14:textId="77777777" w:rsidR="005A5EDF" w:rsidRDefault="005A5ED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16A"/>
    <w:multiLevelType w:val="hybridMultilevel"/>
    <w:tmpl w:val="E4120172"/>
    <w:lvl w:ilvl="0" w:tplc="781413B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E16C71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62A0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5E8B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8E73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C2D5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4C59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685B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58EB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AA2903"/>
    <w:multiLevelType w:val="hybridMultilevel"/>
    <w:tmpl w:val="DA2EA638"/>
    <w:lvl w:ilvl="0" w:tplc="70F4AB9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67E09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8C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29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C4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5E9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C1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65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B66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B1163"/>
    <w:multiLevelType w:val="hybridMultilevel"/>
    <w:tmpl w:val="8FB221D0"/>
    <w:lvl w:ilvl="0" w:tplc="F3664442">
      <w:start w:val="1"/>
      <w:numFmt w:val="lowerLetter"/>
      <w:lvlText w:val="%1."/>
      <w:lvlJc w:val="left"/>
      <w:pPr>
        <w:ind w:left="360" w:hanging="360"/>
      </w:pPr>
    </w:lvl>
    <w:lvl w:ilvl="1" w:tplc="100ABC7A" w:tentative="1">
      <w:start w:val="1"/>
      <w:numFmt w:val="lowerLetter"/>
      <w:lvlText w:val="%2."/>
      <w:lvlJc w:val="left"/>
      <w:pPr>
        <w:ind w:left="1080" w:hanging="360"/>
      </w:pPr>
    </w:lvl>
    <w:lvl w:ilvl="2" w:tplc="0804F528" w:tentative="1">
      <w:start w:val="1"/>
      <w:numFmt w:val="lowerRoman"/>
      <w:lvlText w:val="%3."/>
      <w:lvlJc w:val="right"/>
      <w:pPr>
        <w:ind w:left="1800" w:hanging="180"/>
      </w:pPr>
    </w:lvl>
    <w:lvl w:ilvl="3" w:tplc="93FCCB74" w:tentative="1">
      <w:start w:val="1"/>
      <w:numFmt w:val="decimal"/>
      <w:lvlText w:val="%4."/>
      <w:lvlJc w:val="left"/>
      <w:pPr>
        <w:ind w:left="2520" w:hanging="360"/>
      </w:pPr>
    </w:lvl>
    <w:lvl w:ilvl="4" w:tplc="999A2EAE" w:tentative="1">
      <w:start w:val="1"/>
      <w:numFmt w:val="lowerLetter"/>
      <w:lvlText w:val="%5."/>
      <w:lvlJc w:val="left"/>
      <w:pPr>
        <w:ind w:left="3240" w:hanging="360"/>
      </w:pPr>
    </w:lvl>
    <w:lvl w:ilvl="5" w:tplc="3FECB734" w:tentative="1">
      <w:start w:val="1"/>
      <w:numFmt w:val="lowerRoman"/>
      <w:lvlText w:val="%6."/>
      <w:lvlJc w:val="right"/>
      <w:pPr>
        <w:ind w:left="3960" w:hanging="180"/>
      </w:pPr>
    </w:lvl>
    <w:lvl w:ilvl="6" w:tplc="F38C0D66" w:tentative="1">
      <w:start w:val="1"/>
      <w:numFmt w:val="decimal"/>
      <w:lvlText w:val="%7."/>
      <w:lvlJc w:val="left"/>
      <w:pPr>
        <w:ind w:left="4680" w:hanging="360"/>
      </w:pPr>
    </w:lvl>
    <w:lvl w:ilvl="7" w:tplc="5C327D64" w:tentative="1">
      <w:start w:val="1"/>
      <w:numFmt w:val="lowerLetter"/>
      <w:lvlText w:val="%8."/>
      <w:lvlJc w:val="left"/>
      <w:pPr>
        <w:ind w:left="5400" w:hanging="360"/>
      </w:pPr>
    </w:lvl>
    <w:lvl w:ilvl="8" w:tplc="FB6E77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C61EAA"/>
    <w:multiLevelType w:val="hybridMultilevel"/>
    <w:tmpl w:val="302218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B5B87"/>
    <w:multiLevelType w:val="hybridMultilevel"/>
    <w:tmpl w:val="E0B4F8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961CD"/>
    <w:multiLevelType w:val="hybridMultilevel"/>
    <w:tmpl w:val="A73C517E"/>
    <w:lvl w:ilvl="0" w:tplc="5F56C2E6">
      <w:start w:val="1"/>
      <w:numFmt w:val="lowerLetter"/>
      <w:lvlText w:val="%1."/>
      <w:lvlJc w:val="left"/>
      <w:pPr>
        <w:ind w:left="360" w:hanging="360"/>
      </w:pPr>
    </w:lvl>
    <w:lvl w:ilvl="1" w:tplc="A5BEF5A0" w:tentative="1">
      <w:start w:val="1"/>
      <w:numFmt w:val="lowerLetter"/>
      <w:lvlText w:val="%2."/>
      <w:lvlJc w:val="left"/>
      <w:pPr>
        <w:ind w:left="1080" w:hanging="360"/>
      </w:pPr>
    </w:lvl>
    <w:lvl w:ilvl="2" w:tplc="85B04A64" w:tentative="1">
      <w:start w:val="1"/>
      <w:numFmt w:val="lowerRoman"/>
      <w:lvlText w:val="%3."/>
      <w:lvlJc w:val="right"/>
      <w:pPr>
        <w:ind w:left="1800" w:hanging="180"/>
      </w:pPr>
    </w:lvl>
    <w:lvl w:ilvl="3" w:tplc="45BEE818" w:tentative="1">
      <w:start w:val="1"/>
      <w:numFmt w:val="decimal"/>
      <w:lvlText w:val="%4."/>
      <w:lvlJc w:val="left"/>
      <w:pPr>
        <w:ind w:left="2520" w:hanging="360"/>
      </w:pPr>
    </w:lvl>
    <w:lvl w:ilvl="4" w:tplc="7EDC5A14" w:tentative="1">
      <w:start w:val="1"/>
      <w:numFmt w:val="lowerLetter"/>
      <w:lvlText w:val="%5."/>
      <w:lvlJc w:val="left"/>
      <w:pPr>
        <w:ind w:left="3240" w:hanging="360"/>
      </w:pPr>
    </w:lvl>
    <w:lvl w:ilvl="5" w:tplc="3CB44976" w:tentative="1">
      <w:start w:val="1"/>
      <w:numFmt w:val="lowerRoman"/>
      <w:lvlText w:val="%6."/>
      <w:lvlJc w:val="right"/>
      <w:pPr>
        <w:ind w:left="3960" w:hanging="180"/>
      </w:pPr>
    </w:lvl>
    <w:lvl w:ilvl="6" w:tplc="8B7EF10A" w:tentative="1">
      <w:start w:val="1"/>
      <w:numFmt w:val="decimal"/>
      <w:lvlText w:val="%7."/>
      <w:lvlJc w:val="left"/>
      <w:pPr>
        <w:ind w:left="4680" w:hanging="360"/>
      </w:pPr>
    </w:lvl>
    <w:lvl w:ilvl="7" w:tplc="C630C44A" w:tentative="1">
      <w:start w:val="1"/>
      <w:numFmt w:val="lowerLetter"/>
      <w:lvlText w:val="%8."/>
      <w:lvlJc w:val="left"/>
      <w:pPr>
        <w:ind w:left="5400" w:hanging="360"/>
      </w:pPr>
    </w:lvl>
    <w:lvl w:ilvl="8" w:tplc="FF8C24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3567972">
    <w:abstractNumId w:val="2"/>
  </w:num>
  <w:num w:numId="2" w16cid:durableId="1361128106">
    <w:abstractNumId w:val="0"/>
  </w:num>
  <w:num w:numId="3" w16cid:durableId="548758683">
    <w:abstractNumId w:val="1"/>
  </w:num>
  <w:num w:numId="4" w16cid:durableId="1193230409">
    <w:abstractNumId w:val="5"/>
  </w:num>
  <w:num w:numId="5" w16cid:durableId="6755749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755177">
    <w:abstractNumId w:val="0"/>
  </w:num>
  <w:num w:numId="7" w16cid:durableId="810757596">
    <w:abstractNumId w:val="3"/>
  </w:num>
  <w:num w:numId="8" w16cid:durableId="1279605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5B"/>
    <w:rsid w:val="000208D6"/>
    <w:rsid w:val="0003215B"/>
    <w:rsid w:val="0005022D"/>
    <w:rsid w:val="00052771"/>
    <w:rsid w:val="00054588"/>
    <w:rsid w:val="00065CBA"/>
    <w:rsid w:val="000A764A"/>
    <w:rsid w:val="000E5032"/>
    <w:rsid w:val="00100423"/>
    <w:rsid w:val="00116907"/>
    <w:rsid w:val="00116F83"/>
    <w:rsid w:val="00167985"/>
    <w:rsid w:val="001954B4"/>
    <w:rsid w:val="001D49F6"/>
    <w:rsid w:val="001D55B4"/>
    <w:rsid w:val="00210796"/>
    <w:rsid w:val="0028392C"/>
    <w:rsid w:val="00336468"/>
    <w:rsid w:val="003371F3"/>
    <w:rsid w:val="00363B67"/>
    <w:rsid w:val="00390344"/>
    <w:rsid w:val="003E6D7F"/>
    <w:rsid w:val="00405EC8"/>
    <w:rsid w:val="0042202B"/>
    <w:rsid w:val="00425897"/>
    <w:rsid w:val="004D2CA2"/>
    <w:rsid w:val="004E0CE3"/>
    <w:rsid w:val="00525AD4"/>
    <w:rsid w:val="00532846"/>
    <w:rsid w:val="0053741A"/>
    <w:rsid w:val="00571A7F"/>
    <w:rsid w:val="00592506"/>
    <w:rsid w:val="005A4AD5"/>
    <w:rsid w:val="005A5EDF"/>
    <w:rsid w:val="005D10AF"/>
    <w:rsid w:val="005E4750"/>
    <w:rsid w:val="00611293"/>
    <w:rsid w:val="006371FE"/>
    <w:rsid w:val="00640BD4"/>
    <w:rsid w:val="0067667B"/>
    <w:rsid w:val="006A23CE"/>
    <w:rsid w:val="006D07D0"/>
    <w:rsid w:val="007427EB"/>
    <w:rsid w:val="00765BB7"/>
    <w:rsid w:val="00776033"/>
    <w:rsid w:val="007A41B5"/>
    <w:rsid w:val="007A607A"/>
    <w:rsid w:val="007F0EEA"/>
    <w:rsid w:val="00825E7C"/>
    <w:rsid w:val="008A3B02"/>
    <w:rsid w:val="00925BF8"/>
    <w:rsid w:val="00926884"/>
    <w:rsid w:val="00927124"/>
    <w:rsid w:val="009A0198"/>
    <w:rsid w:val="009F5EAB"/>
    <w:rsid w:val="009F6D33"/>
    <w:rsid w:val="00A3360F"/>
    <w:rsid w:val="00A51351"/>
    <w:rsid w:val="00A62027"/>
    <w:rsid w:val="00AC0C3B"/>
    <w:rsid w:val="00AE74E3"/>
    <w:rsid w:val="00AF4C73"/>
    <w:rsid w:val="00B06F5C"/>
    <w:rsid w:val="00B40B0C"/>
    <w:rsid w:val="00B4676F"/>
    <w:rsid w:val="00B70067"/>
    <w:rsid w:val="00B800CD"/>
    <w:rsid w:val="00BE0D78"/>
    <w:rsid w:val="00D13C0D"/>
    <w:rsid w:val="00D31118"/>
    <w:rsid w:val="00D9436D"/>
    <w:rsid w:val="00DA29C8"/>
    <w:rsid w:val="00DC4639"/>
    <w:rsid w:val="00DD7DB6"/>
    <w:rsid w:val="00E5037A"/>
    <w:rsid w:val="00E51A11"/>
    <w:rsid w:val="00E51BF5"/>
    <w:rsid w:val="00E66BC3"/>
    <w:rsid w:val="00EB48DB"/>
    <w:rsid w:val="00EC700F"/>
    <w:rsid w:val="00F01098"/>
    <w:rsid w:val="00F041FE"/>
    <w:rsid w:val="00F27C25"/>
    <w:rsid w:val="00F355C2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54B2"/>
  <w15:docId w15:val="{64A79537-D113-421D-A717-1BE3A8DC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4588"/>
    <w:pPr>
      <w:spacing w:line="240" w:lineRule="atLeast"/>
    </w:pPr>
    <w:rPr>
      <w:rFonts w:ascii="Verdana" w:hAnsi="Verdana"/>
      <w:sz w:val="18"/>
      <w:szCs w:val="24"/>
      <w:lang w:val="nl-NL"/>
    </w:rPr>
  </w:style>
  <w:style w:type="paragraph" w:styleId="Kop1">
    <w:name w:val="heading 1"/>
    <w:basedOn w:val="Standaard"/>
    <w:next w:val="Standaard"/>
    <w:link w:val="Kop1Char"/>
    <w:qFormat/>
    <w:rsid w:val="0005458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5458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5458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3371F3"/>
    <w:rPr>
      <w:rFonts w:ascii="Verdana" w:hAnsi="Verdana" w:cs="Arial"/>
      <w:b/>
      <w:bCs/>
      <w:kern w:val="32"/>
      <w:sz w:val="32"/>
      <w:szCs w:val="32"/>
    </w:rPr>
  </w:style>
  <w:style w:type="character" w:customStyle="1" w:styleId="Kop2Char">
    <w:name w:val="Kop 2 Char"/>
    <w:link w:val="Kop2"/>
    <w:rsid w:val="003371F3"/>
    <w:rPr>
      <w:rFonts w:ascii="Verdana" w:hAnsi="Verdana" w:cs="Arial"/>
      <w:b/>
      <w:bCs/>
      <w:i/>
      <w:iCs/>
      <w:sz w:val="28"/>
      <w:szCs w:val="28"/>
    </w:rPr>
  </w:style>
  <w:style w:type="character" w:customStyle="1" w:styleId="Kop3Char">
    <w:name w:val="Kop 3 Char"/>
    <w:link w:val="Kop3"/>
    <w:rsid w:val="003371F3"/>
    <w:rPr>
      <w:rFonts w:ascii="Verdana" w:hAnsi="Verdana" w:cs="Arial"/>
      <w:b/>
      <w:bCs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11690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16907"/>
    <w:rPr>
      <w:rFonts w:ascii="Verdana" w:hAnsi="Verdana"/>
      <w:sz w:val="18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11690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16907"/>
    <w:rPr>
      <w:rFonts w:ascii="Verdana" w:hAnsi="Verdana"/>
      <w:sz w:val="18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169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16907"/>
    <w:rPr>
      <w:rFonts w:ascii="Tahoma" w:hAnsi="Tahoma" w:cs="Tahoma"/>
      <w:sz w:val="16"/>
      <w:szCs w:val="16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603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6033"/>
    <w:rPr>
      <w:rFonts w:ascii="Verdana" w:hAnsi="Verdana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76033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E5037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037A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4AD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4AD5"/>
    <w:pPr>
      <w:spacing w:line="240" w:lineRule="auto"/>
    </w:pPr>
    <w:rPr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4AD5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4AD5"/>
    <w:rPr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4AD5"/>
    <w:rPr>
      <w:rFonts w:ascii="Verdana" w:hAnsi="Verdana"/>
      <w:b/>
      <w:bCs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B48DB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425897"/>
    <w:pPr>
      <w:ind w:left="720"/>
      <w:contextualSpacing/>
    </w:pPr>
  </w:style>
  <w:style w:type="paragraph" w:styleId="Revisie">
    <w:name w:val="Revision"/>
    <w:hidden/>
    <w:uiPriority w:val="99"/>
    <w:semiHidden/>
    <w:rsid w:val="00B40B0C"/>
    <w:rPr>
      <w:rFonts w:ascii="Verdana" w:hAnsi="Verdana"/>
      <w:sz w:val="1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562</ap:Words>
  <ap:Characters>3096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2025-05-26T15:17:00.0000000Z</dcterms:created>
  <dcterms:modified xsi:type="dcterms:W3CDTF">2025-05-26T15:17:00.0000000Z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O214VAL</vt:lpwstr>
  </property>
  <property fmtid="{D5CDD505-2E9C-101B-9397-08002B2CF9AE}" pid="3" name="E-doc documentnummer">
    <vt:lpwstr> </vt:lpwstr>
  </property>
  <property fmtid="{D5CDD505-2E9C-101B-9397-08002B2CF9AE}" pid="4" name="Template">
    <vt:lpwstr>Model ministeriële regeling/beleidsregel</vt:lpwstr>
  </property>
  <property fmtid="{D5CDD505-2E9C-101B-9397-08002B2CF9AE}" pid="5" name="TemplateId">
    <vt:lpwstr>31D885277DD9466092AB1E6667B4CD7B</vt:lpwstr>
  </property>
  <property fmtid="{D5CDD505-2E9C-101B-9397-08002B2CF9AE}" pid="6" name="Typist">
    <vt:lpwstr>O214VAL</vt:lpwstr>
  </property>
  <property fmtid="{D5CDD505-2E9C-101B-9397-08002B2CF9AE}" pid="7" name="cs_objectid">
    <vt:lpwstr>52538807</vt:lpwstr>
  </property>
</Properties>
</file>