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2025Z10594</w:t>
        <w:br/>
      </w:r>
      <w:proofErr w:type="spellEnd"/>
    </w:p>
    <w:p>
      <w:pPr>
        <w:pStyle w:val="Normal"/>
        <w:rPr>
          <w:b w:val="1"/>
          <w:bCs w:val="1"/>
        </w:rPr>
      </w:pPr>
      <w:r w:rsidR="250AE766">
        <w:rPr>
          <w:b w:val="0"/>
          <w:bCs w:val="0"/>
        </w:rPr>
        <w:t>(ingezonden 27 mei 2025)</w:t>
        <w:br/>
      </w:r>
    </w:p>
    <w:p>
      <w:r>
        <w:t xml:space="preserve">Vragen van de leden Flach (SGP) en Grinwis (ChristenUnie) aan de minister van Klimaat en Groene Groei en de staatssecretarissen van Financiën en van Landbouw, Voedselzekerheid, Visserij en Natuur over de invulling van de klimaatmaatregelen voor de glastuinbouw</w:t>
      </w:r>
      <w:r>
        <w:br/>
      </w:r>
    </w:p>
    <w:p>
      <w:r>
        <w:t xml:space="preserve"> </w:t>
      </w:r>
      <w:r>
        <w:br/>
      </w:r>
    </w:p>
    <w:p>
      <w:pPr>
        <w:pStyle w:val="ListParagraph"/>
        <w:numPr>
          <w:ilvl w:val="0"/>
          <w:numId w:val="100479390"/>
        </w:numPr>
        <w:ind w:left="360"/>
      </w:pPr>
      <w:r>
        <w:t>Heeft u kennisgenomen van de potentiële impact die het van toepassing verklaren van ETS-2 en de bijmengverplichting op de glastuinbouw (Kamerstuk 32140, nr. 251) kan hebben op glastuinbouwbedrijven[1]?</w:t>
      </w:r>
      <w:r>
        <w:br/>
      </w:r>
    </w:p>
    <w:p>
      <w:pPr>
        <w:pStyle w:val="ListParagraph"/>
        <w:numPr>
          <w:ilvl w:val="0"/>
          <w:numId w:val="100479390"/>
        </w:numPr>
        <w:ind w:left="360"/>
      </w:pPr>
      <w:r>
        <w:t>Hebben alle partners in het Convenant Energietransitie Glastuinbouw 2022-2030 ingestemd met de opt-in voor ETS-2, zoals gevraagd in de motie-Flach/Grinwis (Kamerstuk 36600-XIV, nr. 24)? Zo nee, waarom zet u deze opt-in dan wel door?</w:t>
      </w:r>
      <w:r>
        <w:br/>
      </w:r>
    </w:p>
    <w:p>
      <w:pPr>
        <w:pStyle w:val="ListParagraph"/>
        <w:numPr>
          <w:ilvl w:val="0"/>
          <w:numId w:val="100479390"/>
        </w:numPr>
        <w:ind w:left="360"/>
      </w:pPr>
      <w:r>
        <w:t>Kunt u aangeven waarom het niet mogelijk zou zijn de glastuinbouw uit te zonderen van ETS-2, terwijl Eneco en Glastuinbouw Nederland een voorstel hebben gedaan om deze uitzondering uitvoeringstechnisch vorm te geven en in omliggende landen deze uitzondering wel mogelijk blijkt te zijn?</w:t>
      </w:r>
      <w:r>
        <w:br/>
      </w:r>
    </w:p>
    <w:p>
      <w:pPr>
        <w:pStyle w:val="ListParagraph"/>
        <w:numPr>
          <w:ilvl w:val="0"/>
          <w:numId w:val="100479390"/>
        </w:numPr>
        <w:ind w:left="360"/>
      </w:pPr>
      <w:r>
        <w:t>Heeft er in uw ogen voldoende inhoudelijk overleg plaatsgevonden tussen betrokken partijen, waaronder de Nederlandse Emissieautoriteit, sectorpartijen en energieleveranciers, over de mogelijkheden om een uitzondering voor de glastuinbouw in ETS-2 uitvoeringstechnisch vorm te geven?</w:t>
      </w:r>
      <w:r>
        <w:br/>
      </w:r>
    </w:p>
    <w:p>
      <w:pPr>
        <w:pStyle w:val="ListParagraph"/>
        <w:numPr>
          <w:ilvl w:val="0"/>
          <w:numId w:val="100479390"/>
        </w:numPr>
        <w:ind w:left="360"/>
      </w:pPr>
      <w:r>
        <w:t>Hoe verhouden de genomen besluiten met betrekking tot ETS-2 en de bijmengverplichting en de voorbereiding daartoe zich tot de afspraken in het Convenant Energietransitie Glastuinbouw 2022-2030?</w:t>
      </w:r>
      <w:r>
        <w:br/>
      </w:r>
    </w:p>
    <w:p>
      <w:pPr>
        <w:pStyle w:val="ListParagraph"/>
        <w:numPr>
          <w:ilvl w:val="0"/>
          <w:numId w:val="100479390"/>
        </w:numPr>
        <w:ind w:left="360"/>
      </w:pPr>
      <w:r>
        <w:t>Is in aanloop naar de voorjaarsbesluitvorming met sectorpartijen, waaronder Glastuinbouw Nederland, overleg gevoerd over ETS-2, de bijmengverplichting, de CO2-heffing en eventuele alternatieven hiervoor en over de invulling van compenserende maatregelen? Zo nee, waarom niet? Zo ja, welke alternatieven voor de opt-in bij ETS-2 en de bijmengverplichting zijn onderzocht? Waarom is hier niet voor gekozen?</w:t>
      </w:r>
      <w:r>
        <w:br/>
      </w:r>
    </w:p>
    <w:p>
      <w:pPr>
        <w:pStyle w:val="ListParagraph"/>
        <w:numPr>
          <w:ilvl w:val="0"/>
          <w:numId w:val="100479390"/>
        </w:numPr>
        <w:ind w:left="360"/>
      </w:pPr>
      <w:r>
        <w:t>Is de veronderstelling juist dat de verschillende beprijzingsmaatregelen voor de glastuinbouw optellen tot ongeveer 200 euro per ton CO2, terwijl voor het bereiken van het sectordoel maar ongeveer 100 euro per ton CO2 nodig is?</w:t>
      </w:r>
      <w:r>
        <w:br/>
      </w:r>
    </w:p>
    <w:p>
      <w:pPr>
        <w:pStyle w:val="ListParagraph"/>
        <w:numPr>
          <w:ilvl w:val="0"/>
          <w:numId w:val="100479390"/>
        </w:numPr>
        <w:ind w:left="360"/>
      </w:pPr>
      <w:r>
        <w:t>Hoe verhouden de uitvoeringslasten van een eventuele uitzondering van de glastuinbouw voor ETS-2 en de bijmengverplichting zich tot de uitvoeringslasten van de gewenste bedrijfsspecifieke compensatie?</w:t>
      </w:r>
      <w:r>
        <w:br/>
      </w:r>
    </w:p>
    <w:p>
      <w:pPr>
        <w:pStyle w:val="ListParagraph"/>
        <w:numPr>
          <w:ilvl w:val="0"/>
          <w:numId w:val="100479390"/>
        </w:numPr>
        <w:ind w:left="360"/>
      </w:pPr>
      <w:r>
        <w:t>Kunt u de nieuwe tariefstudie van de CO2-heffing glastuinbouw, uitgevoerd door Kalavasta en Berenschot, voor de debatten over de voorjaarsbesluitvorming met de Kamer delen?</w:t>
      </w:r>
      <w:r>
        <w:br/>
      </w:r>
    </w:p>
    <w:p>
      <w:pPr>
        <w:pStyle w:val="ListParagraph"/>
        <w:numPr>
          <w:ilvl w:val="0"/>
          <w:numId w:val="100479390"/>
        </w:numPr>
        <w:ind w:left="360"/>
      </w:pPr>
      <w:r>
        <w:t>Acht u de genoemde verhoging van de CO2-heffing van 17,70 euro naar 42,50 euro per ton CO2 de meest kosteneffectieve en haalbare maatregel om het sectordoel te halen? Hoe is de problematiek van netcongestie, waardoor veel tuinders de voor verduurzaming noodzakelijke aansluiting op het net niet kunnen krijgen, meegewogen?</w:t>
      </w:r>
      <w:r>
        <w:br/>
      </w:r>
    </w:p>
    <w:p>
      <w:pPr>
        <w:pStyle w:val="ListParagraph"/>
        <w:numPr>
          <w:ilvl w:val="0"/>
          <w:numId w:val="100479390"/>
        </w:numPr>
        <w:ind w:left="360"/>
      </w:pPr>
      <w:r>
        <w:t>Kunt u aangeven welke impact (het rekenen met) een CO2-heffing van 42,50 euro per ton CO2 heeft op de economische rendabiliteit van glastuinbouwbedrijven? Hoe verhoudt dit kostenplaatje, inclusief energiebelasting, zich tot het kostenplaatje van CO2-uitstoot voor glastuinbouwbedrijven in omringende landen?</w:t>
      </w:r>
      <w:r>
        <w:br/>
      </w:r>
    </w:p>
    <w:p>
      <w:pPr>
        <w:pStyle w:val="ListParagraph"/>
        <w:numPr>
          <w:ilvl w:val="0"/>
          <w:numId w:val="100479390"/>
        </w:numPr>
        <w:ind w:left="360"/>
      </w:pPr>
      <w:r>
        <w:t>Gaat u zowel de lastenverzwaringen als gevolg van ETS-2 als van de bijmengverplichting volledig en langjarig compenseren op bedrijfsniveau als kostencompensatie?</w:t>
      </w:r>
      <w:r>
        <w:br/>
      </w:r>
    </w:p>
    <w:p>
      <w:pPr>
        <w:pStyle w:val="ListParagraph"/>
        <w:numPr>
          <w:ilvl w:val="0"/>
          <w:numId w:val="100479390"/>
        </w:numPr>
        <w:ind w:left="360"/>
      </w:pPr>
      <w:r>
        <w:t>Op welke wijze kunnen het staatssteunkader en de grenzen van het herstel- en veerkrachtplan belemmeringen opwerpen voor volledige bedrijfsspecifieke compensatie? Hoe wordt voorkomen dat het gezien wordt als fossiele subsidie?</w:t>
      </w:r>
      <w:r>
        <w:br/>
      </w:r>
    </w:p>
    <w:p>
      <w:pPr>
        <w:pStyle w:val="ListParagraph"/>
        <w:numPr>
          <w:ilvl w:val="0"/>
          <w:numId w:val="100479390"/>
        </w:numPr>
        <w:ind w:left="360"/>
      </w:pPr>
      <w:r>
        <w:t>Kunt u een inschatting geven van de gevolgen van de stapeling van lastenverzwaringen voor de glastuinbouw, inclusief de eerdere fiscale lastenverzwaringen, voor de concurrentiepositie van glastuinbouwbedrijven?</w:t>
      </w:r>
      <w:r>
        <w:br/>
      </w:r>
    </w:p>
    <w:p>
      <w:pPr>
        <w:pStyle w:val="ListParagraph"/>
        <w:numPr>
          <w:ilvl w:val="0"/>
          <w:numId w:val="100479390"/>
        </w:numPr>
        <w:ind w:left="360"/>
      </w:pPr>
      <w:r>
        <w:t>Gaat u bestaande SDE++-projecten niet corrigeren voor de bijmengverplichting, zoals u ook voornemens bent ten aanzien van ETS-2? Zo nee, waarom niet?</w:t>
      </w:r>
      <w:r>
        <w:br/>
      </w:r>
    </w:p>
    <w:p>
      <w:pPr>
        <w:pStyle w:val="ListParagraph"/>
        <w:numPr>
          <w:ilvl w:val="0"/>
          <w:numId w:val="100479390"/>
        </w:numPr>
        <w:ind w:left="360"/>
      </w:pPr>
      <w:r>
        <w:t>Bent u ook voornemens bestaande SDE++-projecten die niet gerund worden door een glastuinbouwbedrijf, maar die wel volledig ontwikkeld zijn voor de glastuinbouw (aardwarmte, CCU) niet te corrigeren voor ETS-2 en de bijmengverplichting?</w:t>
      </w:r>
      <w:r>
        <w:br/>
      </w:r>
    </w:p>
    <w:p>
      <w:pPr>
        <w:pStyle w:val="ListParagraph"/>
        <w:numPr>
          <w:ilvl w:val="0"/>
          <w:numId w:val="100479390"/>
        </w:numPr>
        <w:ind w:left="360"/>
      </w:pPr>
      <w:r>
        <w:t>Kunt u aangeven wat de gevolgen zijn voor de business case van nieuwe duurzame energieprojecten als voor zowel ETS-2 als de bijmengverplichting gecorrigeerd zal worden?</w:t>
      </w:r>
      <w:r>
        <w:br/>
      </w:r>
    </w:p>
    <w:p>
      <w:r>
        <w:t xml:space="preserve"> </w:t>
      </w:r>
      <w:r>
        <w:br/>
      </w:r>
    </w:p>
    <w:p>
      <w:r>
        <w:t xml:space="preserve"> </w:t>
      </w:r>
      <w:r>
        <w:br/>
      </w:r>
    </w:p>
    <w:p>
      <w:r>
        <w:t xml:space="preserve">[1] https://www.glastuinbouwnederland.nl/nieuws/glastuinbouw-verzet-zich-tegen-kabinetsbesluit-opname-in-ets-2-en-bijmengverplichting-groen-gas/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380">
    <w:abstractNumId w:val="100479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