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091D" w:rsidR="00E9091D" w:rsidP="00E9091D" w:rsidRDefault="00E9091D" w14:paraId="6F934A0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9091D">
        <w:rPr>
          <w:rFonts w:ascii="Times New Roman" w:hAnsi="Times New Roman" w:cs="Times New Roman"/>
          <w:b/>
          <w:sz w:val="24"/>
          <w:szCs w:val="24"/>
        </w:rPr>
        <w:t xml:space="preserve">Lijst van vragen </w:t>
      </w:r>
    </w:p>
    <w:p w:rsidRPr="00E9091D" w:rsidR="00E9091D" w:rsidP="00E9091D" w:rsidRDefault="00E9091D" w14:paraId="678326CD" w14:textId="4F740964">
      <w:pPr>
        <w:rPr>
          <w:rFonts w:ascii="Times New Roman" w:hAnsi="Times New Roman" w:cs="Times New Roman"/>
          <w:sz w:val="24"/>
          <w:szCs w:val="24"/>
        </w:rPr>
      </w:pPr>
      <w:r w:rsidRPr="00E9091D">
        <w:rPr>
          <w:rFonts w:ascii="Times New Roman" w:hAnsi="Times New Roman" w:cs="Times New Roman"/>
          <w:sz w:val="24"/>
          <w:szCs w:val="24"/>
        </w:rPr>
        <w:t xml:space="preserve">De vaste commissie voor Onderwijs, Cultuur en Wetenschap heeft een aantal vragen voorgelegd aan de Algemene Rekenkamer over de brief van 21 mei 2025 inzake het </w:t>
      </w:r>
      <w:r w:rsidRPr="00E9091D">
        <w:rPr>
          <w:rFonts w:ascii="Times New Roman" w:hAnsi="Times New Roman" w:cs="Times New Roman"/>
          <w:b/>
          <w:sz w:val="24"/>
          <w:szCs w:val="24"/>
        </w:rPr>
        <w:t>Rapport van de Algemene Rekenkamer bij het jaarverslag over het Ministerie van Onderwijs, Cultuur en Wetenschap 2024</w:t>
      </w:r>
      <w:r w:rsidRPr="00E9091D">
        <w:rPr>
          <w:rFonts w:ascii="Times New Roman" w:hAnsi="Times New Roman" w:cs="Times New Roman"/>
          <w:sz w:val="24"/>
          <w:szCs w:val="24"/>
        </w:rPr>
        <w:t xml:space="preserve"> (</w:t>
      </w:r>
      <w:r w:rsidRPr="00E9091D">
        <w:rPr>
          <w:rFonts w:ascii="Times New Roman" w:hAnsi="Times New Roman" w:cs="Times New Roman"/>
          <w:b/>
          <w:bCs/>
          <w:sz w:val="24"/>
          <w:szCs w:val="24"/>
        </w:rPr>
        <w:t>Kamerstuk</w:t>
      </w:r>
      <w:r w:rsidRPr="00E9091D">
        <w:rPr>
          <w:rFonts w:ascii="Times New Roman" w:hAnsi="Times New Roman" w:cs="Times New Roman"/>
          <w:sz w:val="24"/>
          <w:szCs w:val="24"/>
        </w:rPr>
        <w:t xml:space="preserve"> </w:t>
      </w:r>
      <w:r w:rsidRPr="00E9091D">
        <w:rPr>
          <w:rFonts w:ascii="Times New Roman" w:hAnsi="Times New Roman" w:cs="Times New Roman"/>
          <w:b/>
          <w:sz w:val="24"/>
          <w:szCs w:val="24"/>
        </w:rPr>
        <w:t>36</w:t>
      </w:r>
      <w:r w:rsidRPr="00E9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91D">
        <w:rPr>
          <w:rFonts w:ascii="Times New Roman" w:hAnsi="Times New Roman" w:cs="Times New Roman"/>
          <w:b/>
          <w:sz w:val="24"/>
          <w:szCs w:val="24"/>
        </w:rPr>
        <w:t>740</w:t>
      </w:r>
      <w:r w:rsidRPr="00E9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91D">
        <w:rPr>
          <w:rFonts w:ascii="Times New Roman" w:hAnsi="Times New Roman" w:cs="Times New Roman"/>
          <w:b/>
          <w:sz w:val="24"/>
          <w:szCs w:val="24"/>
        </w:rPr>
        <w:t>VIII, nr. 2).</w:t>
      </w:r>
    </w:p>
    <w:p w:rsidRPr="00E9091D" w:rsidR="00E9091D" w:rsidP="00E9091D" w:rsidRDefault="00E9091D" w14:paraId="5B2CA1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9091D" w:rsidR="00E9091D" w:rsidP="00E9091D" w:rsidRDefault="00E9091D" w14:paraId="6897D10E" w14:textId="46CEF3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1D">
        <w:rPr>
          <w:rFonts w:ascii="Times New Roman" w:hAnsi="Times New Roman" w:cs="Times New Roman"/>
          <w:sz w:val="24"/>
          <w:szCs w:val="24"/>
        </w:rPr>
        <w:t>De v</w:t>
      </w:r>
      <w:r w:rsidRPr="00E9091D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E9091D" w:rsidR="00E9091D" w:rsidP="00E9091D" w:rsidRDefault="00E9091D" w14:paraId="233BE3F9" w14:textId="6CBDB9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091D">
        <w:rPr>
          <w:rFonts w:ascii="Times New Roman" w:hAnsi="Times New Roman" w:cs="Times New Roman"/>
          <w:sz w:val="24"/>
          <w:szCs w:val="24"/>
        </w:rPr>
        <w:t>Bromet</w:t>
      </w:r>
      <w:proofErr w:type="spellEnd"/>
    </w:p>
    <w:p w:rsidRPr="00E9091D" w:rsidR="00E9091D" w:rsidP="00E9091D" w:rsidRDefault="00E9091D" w14:paraId="4BA591C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1D">
        <w:rPr>
          <w:rFonts w:ascii="Times New Roman" w:hAnsi="Times New Roman" w:cs="Times New Roman"/>
          <w:sz w:val="24"/>
          <w:szCs w:val="24"/>
        </w:rPr>
        <w:tab/>
      </w:r>
      <w:r w:rsidRPr="00E9091D">
        <w:rPr>
          <w:rFonts w:ascii="Times New Roman" w:hAnsi="Times New Roman" w:cs="Times New Roman"/>
          <w:sz w:val="24"/>
          <w:szCs w:val="24"/>
        </w:rPr>
        <w:tab/>
      </w:r>
    </w:p>
    <w:p w:rsidRPr="00E9091D" w:rsidR="00E9091D" w:rsidP="00E9091D" w:rsidRDefault="00E9091D" w14:paraId="29D6AD0E" w14:textId="7707C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1D">
        <w:rPr>
          <w:rFonts w:ascii="Times New Roman" w:hAnsi="Times New Roman" w:cs="Times New Roman"/>
          <w:sz w:val="24"/>
          <w:szCs w:val="24"/>
        </w:rPr>
        <w:t>Adjunct-griffier van de commissie,</w:t>
      </w:r>
    </w:p>
    <w:p w:rsidRPr="00E9091D" w:rsidR="00E9091D" w:rsidP="00E9091D" w:rsidRDefault="00E9091D" w14:paraId="2BB9AE2E" w14:textId="48E98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1D">
        <w:rPr>
          <w:rFonts w:ascii="Times New Roman" w:hAnsi="Times New Roman" w:cs="Times New Roman"/>
          <w:sz w:val="24"/>
          <w:szCs w:val="24"/>
        </w:rPr>
        <w:t>Huls</w:t>
      </w:r>
    </w:p>
    <w:p w:rsidRPr="00E9091D" w:rsidR="00E9091D" w:rsidP="00E9091D" w:rsidRDefault="00E9091D" w14:paraId="0D5BE81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E9091D" w:rsidR="00E9091D" w:rsidTr="00E9091D" w14:paraId="26DC9407" w14:textId="77777777">
        <w:trPr>
          <w:cantSplit/>
        </w:trPr>
        <w:tc>
          <w:tcPr>
            <w:tcW w:w="567" w:type="dxa"/>
          </w:tcPr>
          <w:p w:rsidRPr="00E9091D" w:rsidR="00E9091D" w:rsidP="009B6BCB" w:rsidRDefault="00E9091D" w14:paraId="19E46C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E9091D" w:rsidR="00E9091D" w:rsidP="009B6BCB" w:rsidRDefault="00E9091D" w14:paraId="6B1DFE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Vraag</w:t>
            </w:r>
          </w:p>
        </w:tc>
      </w:tr>
      <w:tr w:rsidRPr="00E9091D" w:rsidR="00E9091D" w:rsidTr="00E9091D" w14:paraId="67A5B53B" w14:textId="77777777">
        <w:tc>
          <w:tcPr>
            <w:tcW w:w="567" w:type="dxa"/>
          </w:tcPr>
          <w:p w:rsidRPr="00E9091D" w:rsidR="00E9091D" w:rsidP="009B6BCB" w:rsidRDefault="00E9091D" w14:paraId="7727A9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E9091D" w:rsidR="00E9091D" w:rsidP="009B6BCB" w:rsidRDefault="00E9091D" w14:paraId="478C85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Zijn er soortgelijke problemen bij het kansengelijkheidsbeleid van andere onderwijsniveaus als in het mbo?</w:t>
            </w:r>
          </w:p>
        </w:tc>
      </w:tr>
      <w:tr w:rsidRPr="00E9091D" w:rsidR="00E9091D" w:rsidTr="00E9091D" w14:paraId="3CF97BCE" w14:textId="77777777">
        <w:tc>
          <w:tcPr>
            <w:tcW w:w="567" w:type="dxa"/>
          </w:tcPr>
          <w:p w:rsidRPr="00E9091D" w:rsidR="00E9091D" w:rsidP="009B6BCB" w:rsidRDefault="00E9091D" w14:paraId="5B267C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E9091D" w:rsidR="00E9091D" w:rsidP="009B6BCB" w:rsidRDefault="00E9091D" w14:paraId="6E8A47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Is ten aanzien van het doelmatig besteden van middelen vooruitgang geboekt in het mbo ten opzichte van vorig jaar?</w:t>
            </w:r>
          </w:p>
        </w:tc>
      </w:tr>
      <w:tr w:rsidRPr="00E9091D" w:rsidR="00E9091D" w:rsidTr="00E9091D" w14:paraId="645A1091" w14:textId="77777777">
        <w:tc>
          <w:tcPr>
            <w:tcW w:w="567" w:type="dxa"/>
          </w:tcPr>
          <w:p w:rsidRPr="00E9091D" w:rsidR="00E9091D" w:rsidP="009B6BCB" w:rsidRDefault="00E9091D" w14:paraId="4A0F66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E9091D" w:rsidR="00E9091D" w:rsidP="009B6BCB" w:rsidRDefault="00E9091D" w14:paraId="4BDE0B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Kunt u toelichten waarom niet is gekozen voor een onderzoek naar het Nationaal Archief, in het bijzonder met betrekking tot de doelmatigheid van de uitgaven aan het Centraal Archief Bijzondere Rechtspleging?</w:t>
            </w:r>
          </w:p>
        </w:tc>
      </w:tr>
      <w:tr w:rsidRPr="00E9091D" w:rsidR="00E9091D" w:rsidTr="00E9091D" w14:paraId="7886A2CC" w14:textId="77777777">
        <w:tc>
          <w:tcPr>
            <w:tcW w:w="567" w:type="dxa"/>
          </w:tcPr>
          <w:p w:rsidRPr="00E9091D" w:rsidR="00E9091D" w:rsidP="009B6BCB" w:rsidRDefault="00E9091D" w14:paraId="6E3A75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E9091D" w:rsidR="00E9091D" w:rsidP="009B6BCB" w:rsidRDefault="00E9091D" w14:paraId="53C6EF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Is onderzocht of de vacaturegraad en gewerkte uren in het onderwijs als brede welvaartsindicatoren voldoende detail bieden om beleidskeuzes te onderbouwen?</w:t>
            </w:r>
          </w:p>
        </w:tc>
      </w:tr>
      <w:tr w:rsidRPr="00E9091D" w:rsidR="00E9091D" w:rsidTr="00E9091D" w14:paraId="0F4BAA91" w14:textId="77777777">
        <w:tc>
          <w:tcPr>
            <w:tcW w:w="567" w:type="dxa"/>
          </w:tcPr>
          <w:p w:rsidRPr="00E9091D" w:rsidR="00E9091D" w:rsidP="009B6BCB" w:rsidRDefault="00E9091D" w14:paraId="602054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Pr="00E9091D" w:rsidR="00E9091D" w:rsidP="009B6BCB" w:rsidRDefault="00E9091D" w14:paraId="534A74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Hoe heeft u vastgesteld dat het ontbreken van een expliciete koppeling tussen doelen, maatregelen, middelen en resultaten daadwerkelijk de controle belemmert?</w:t>
            </w:r>
          </w:p>
        </w:tc>
      </w:tr>
      <w:tr w:rsidRPr="00E9091D" w:rsidR="00E9091D" w:rsidTr="00E9091D" w14:paraId="4D91FBC2" w14:textId="77777777">
        <w:tc>
          <w:tcPr>
            <w:tcW w:w="567" w:type="dxa"/>
          </w:tcPr>
          <w:p w:rsidRPr="00E9091D" w:rsidR="00E9091D" w:rsidP="009B6BCB" w:rsidRDefault="00E9091D" w14:paraId="64DB2D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Pr="00E9091D" w:rsidR="00E9091D" w:rsidP="009B6BCB" w:rsidRDefault="00E9091D" w14:paraId="4762FE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In hoeverre is de kwantitatieve analyse van de uitgaven aan de Lerarenstrategie gebaseerd op interne OCW-data in plaats van uitsluitend op openbare bronnen?</w:t>
            </w:r>
          </w:p>
        </w:tc>
      </w:tr>
      <w:tr w:rsidRPr="00E9091D" w:rsidR="00E9091D" w:rsidTr="00E9091D" w14:paraId="07626AE5" w14:textId="77777777">
        <w:tc>
          <w:tcPr>
            <w:tcW w:w="567" w:type="dxa"/>
          </w:tcPr>
          <w:p w:rsidRPr="00E9091D" w:rsidR="00E9091D" w:rsidP="009B6BCB" w:rsidRDefault="00E9091D" w14:paraId="747426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Pr="00E9091D" w:rsidR="00E9091D" w:rsidP="009B6BCB" w:rsidRDefault="00E9091D" w14:paraId="26E3D1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Waarom is het ontbreken van openbaarheid bij posten onder artikel 9 (Overige subsidies en opdrachten) niet expliciet aangemerkt als strijdig met het budgetrecht?</w:t>
            </w:r>
          </w:p>
        </w:tc>
      </w:tr>
      <w:tr w:rsidRPr="00E9091D" w:rsidR="00E9091D" w:rsidTr="00E9091D" w14:paraId="770D8E5E" w14:textId="77777777">
        <w:tc>
          <w:tcPr>
            <w:tcW w:w="567" w:type="dxa"/>
          </w:tcPr>
          <w:p w:rsidRPr="00E9091D" w:rsidR="00E9091D" w:rsidP="009B6BCB" w:rsidRDefault="00E9091D" w14:paraId="65AB90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Pr="00E9091D" w:rsidR="00E9091D" w:rsidP="009B6BCB" w:rsidRDefault="00E9091D" w14:paraId="01D2AE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Acht u het verantwoord om beleidsconclusies over kansenongelijkheid in het mbo te trekken zonder basislijnmeting of consistente monitoring, zoals zelf geconstateerd?</w:t>
            </w:r>
          </w:p>
        </w:tc>
      </w:tr>
      <w:tr w:rsidRPr="00E9091D" w:rsidR="00E9091D" w:rsidTr="00E9091D" w14:paraId="3ED98882" w14:textId="77777777">
        <w:tc>
          <w:tcPr>
            <w:tcW w:w="567" w:type="dxa"/>
          </w:tcPr>
          <w:p w:rsidRPr="00E9091D" w:rsidR="00E9091D" w:rsidP="009B6BCB" w:rsidRDefault="00E9091D" w14:paraId="5E1BA2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Pr="00E9091D" w:rsidR="00E9091D" w:rsidP="009B6BCB" w:rsidRDefault="00E9091D" w14:paraId="65317B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Is de conclusie dat mbo-kwaliteitsagenda’s ‘weinig ruimte’ laten voor eigen invulling gebaseerd op een representatieve steekproef of op een algemene beleidsanalyse?</w:t>
            </w:r>
          </w:p>
        </w:tc>
      </w:tr>
      <w:tr w:rsidRPr="00E9091D" w:rsidR="00E9091D" w:rsidTr="00E9091D" w14:paraId="2E5DFD2D" w14:textId="77777777">
        <w:tc>
          <w:tcPr>
            <w:tcW w:w="567" w:type="dxa"/>
          </w:tcPr>
          <w:p w:rsidRPr="00E9091D" w:rsidR="00E9091D" w:rsidP="009B6BCB" w:rsidRDefault="00E9091D" w14:paraId="3A56AE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21" w:type="dxa"/>
          </w:tcPr>
          <w:p w:rsidRPr="00E9091D" w:rsidR="00E9091D" w:rsidP="009B6BCB" w:rsidRDefault="00E9091D" w14:paraId="2A69C0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Welke beoordelingscriteria hanteert u bij het constateren dat het ministerie geen meetbare definitie van ‘gelijke kansen’ in het mbo heeft geformuleerd?</w:t>
            </w:r>
          </w:p>
        </w:tc>
      </w:tr>
      <w:tr w:rsidRPr="00E9091D" w:rsidR="00E9091D" w:rsidTr="00E9091D" w14:paraId="378C864F" w14:textId="77777777">
        <w:tc>
          <w:tcPr>
            <w:tcW w:w="567" w:type="dxa"/>
          </w:tcPr>
          <w:p w:rsidRPr="00E9091D" w:rsidR="00E9091D" w:rsidP="009B6BCB" w:rsidRDefault="00E9091D" w14:paraId="66C670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Pr="00E9091D" w:rsidR="00E9091D" w:rsidP="009B6BCB" w:rsidRDefault="00E9091D" w14:paraId="65D5DC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Waarom is ervoor gekozen de effecten van het Masterplan basisvaardigheden vooral te baseren op zelfrapportages van subsidieontvangers?</w:t>
            </w:r>
          </w:p>
        </w:tc>
      </w:tr>
      <w:tr w:rsidRPr="00E9091D" w:rsidR="00E9091D" w:rsidTr="00E9091D" w14:paraId="3C0D798A" w14:textId="77777777">
        <w:tc>
          <w:tcPr>
            <w:tcW w:w="567" w:type="dxa"/>
          </w:tcPr>
          <w:p w:rsidRPr="00E9091D" w:rsidR="00E9091D" w:rsidP="009B6BCB" w:rsidRDefault="00E9091D" w14:paraId="250943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Pr="00E9091D" w:rsidR="00E9091D" w:rsidP="009B6BCB" w:rsidRDefault="00E9091D" w14:paraId="6F6EF4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Had u normatief kunnen adviseren over de meest geschikte set indicatoren, gezien het inconsistente gebruik tussen het Masterplan en de Monitor Brede Welvaart?</w:t>
            </w:r>
          </w:p>
        </w:tc>
      </w:tr>
      <w:tr w:rsidRPr="00E9091D" w:rsidR="00E9091D" w:rsidTr="00E9091D" w14:paraId="3CBF800A" w14:textId="77777777">
        <w:tc>
          <w:tcPr>
            <w:tcW w:w="567" w:type="dxa"/>
          </w:tcPr>
          <w:p w:rsidRPr="00E9091D" w:rsidR="00E9091D" w:rsidP="009B6BCB" w:rsidRDefault="00E9091D" w14:paraId="6BFC6B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Pr="00E9091D" w:rsidR="00E9091D" w:rsidP="009B6BCB" w:rsidRDefault="00E9091D" w14:paraId="4DC6AB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Waarom is de ernst van de onvolkomenheden in het M&amp;O</w:t>
            </w:r>
            <w:r w:rsidRPr="00E9091D">
              <w:rPr>
                <w:rStyle w:val="Voetnootmarkering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-beleid bij OCW niet als 'ernstig' geclassificeerd, ondanks herhaalde signaleringen sinds 2021?</w:t>
            </w:r>
          </w:p>
        </w:tc>
      </w:tr>
      <w:tr w:rsidRPr="00E9091D" w:rsidR="00E9091D" w:rsidTr="00E9091D" w14:paraId="720A7FF2" w14:textId="77777777">
        <w:tc>
          <w:tcPr>
            <w:tcW w:w="567" w:type="dxa"/>
          </w:tcPr>
          <w:p w:rsidRPr="00E9091D" w:rsidR="00E9091D" w:rsidP="009B6BCB" w:rsidRDefault="00E9091D" w14:paraId="199FE0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Pr="00E9091D" w:rsidR="00E9091D" w:rsidP="009B6BCB" w:rsidRDefault="00E9091D" w14:paraId="257D9C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1D">
              <w:rPr>
                <w:rFonts w:ascii="Times New Roman" w:hAnsi="Times New Roman" w:cs="Times New Roman"/>
                <w:sz w:val="24"/>
                <w:szCs w:val="24"/>
              </w:rPr>
              <w:t>Hoe verklaart u het ontbreken van een controlemechanisme voor toelaatbaarheidsverklaringen in het speciaal onderwijs, ondanks het structurele risico op overfinanciering?</w:t>
            </w:r>
          </w:p>
        </w:tc>
      </w:tr>
    </w:tbl>
    <w:p w:rsidRPr="00E9091D" w:rsidR="00E9091D" w:rsidP="00E9091D" w:rsidRDefault="00E9091D" w14:paraId="17DB640C" w14:textId="77777777">
      <w:pPr>
        <w:rPr>
          <w:rFonts w:ascii="Times New Roman" w:hAnsi="Times New Roman" w:cs="Times New Roman"/>
          <w:sz w:val="24"/>
          <w:szCs w:val="24"/>
        </w:rPr>
      </w:pPr>
    </w:p>
    <w:p w:rsidRPr="00E9091D" w:rsidR="00EC711E" w:rsidRDefault="00EC711E" w14:paraId="5699E105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E9091D" w:rsidR="00EC711E" w:rsidSect="00E90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A8F7" w14:textId="77777777" w:rsidR="00E9091D" w:rsidRDefault="00E9091D" w:rsidP="00E9091D">
      <w:pPr>
        <w:spacing w:after="0" w:line="240" w:lineRule="auto"/>
      </w:pPr>
      <w:r>
        <w:separator/>
      </w:r>
    </w:p>
  </w:endnote>
  <w:endnote w:type="continuationSeparator" w:id="0">
    <w:p w14:paraId="45906B78" w14:textId="77777777" w:rsidR="00E9091D" w:rsidRDefault="00E9091D" w:rsidP="00E9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0ECE" w14:textId="77777777" w:rsidR="00E9091D" w:rsidRPr="00E9091D" w:rsidRDefault="00E9091D" w:rsidP="00E909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4A1B" w14:textId="77777777" w:rsidR="00E9091D" w:rsidRPr="00E9091D" w:rsidRDefault="00E9091D" w:rsidP="00E909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8A6" w14:textId="77777777" w:rsidR="00E9091D" w:rsidRPr="00E9091D" w:rsidRDefault="00E9091D" w:rsidP="00E909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D28" w14:textId="77777777" w:rsidR="00E9091D" w:rsidRDefault="00E9091D" w:rsidP="00E9091D">
      <w:pPr>
        <w:spacing w:after="0" w:line="240" w:lineRule="auto"/>
      </w:pPr>
      <w:r>
        <w:separator/>
      </w:r>
    </w:p>
  </w:footnote>
  <w:footnote w:type="continuationSeparator" w:id="0">
    <w:p w14:paraId="01D654F6" w14:textId="77777777" w:rsidR="00E9091D" w:rsidRDefault="00E9091D" w:rsidP="00E9091D">
      <w:pPr>
        <w:spacing w:after="0" w:line="240" w:lineRule="auto"/>
      </w:pPr>
      <w:r>
        <w:continuationSeparator/>
      </w:r>
    </w:p>
  </w:footnote>
  <w:footnote w:id="1">
    <w:p w14:paraId="6A186FB2" w14:textId="77777777" w:rsidR="00E9091D" w:rsidRDefault="00E9091D" w:rsidP="00E9091D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M&amp;O: </w:t>
      </w:r>
      <w:r w:rsidRPr="00E2239E">
        <w:t>misbruik en oneigenlijk gebruik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BB08" w14:textId="77777777" w:rsidR="00E9091D" w:rsidRPr="00E9091D" w:rsidRDefault="00E9091D" w:rsidP="00E909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A730" w14:textId="77777777" w:rsidR="00E9091D" w:rsidRPr="00E9091D" w:rsidRDefault="00E9091D" w:rsidP="00E9091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4BAA" w14:textId="77777777" w:rsidR="00E9091D" w:rsidRPr="00E9091D" w:rsidRDefault="00E9091D" w:rsidP="00E909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1D"/>
    <w:rsid w:val="00393911"/>
    <w:rsid w:val="00566ABE"/>
    <w:rsid w:val="009F5F36"/>
    <w:rsid w:val="00E9091D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96BE"/>
  <w15:chartTrackingRefBased/>
  <w15:docId w15:val="{2B0F9C6F-B758-4CA6-8819-EB804BC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09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09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09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09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09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09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09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09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09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09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091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9091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9091D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9091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091D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09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091D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0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404</ap:Words>
  <ap:Characters>2228</ap:Characters>
  <ap:DocSecurity>0</ap:DocSecurity>
  <ap:Lines>18</ap:Lines>
  <ap:Paragraphs>5</ap:Paragraphs>
  <ap:ScaleCrop>false</ap:ScaleCrop>
  <ap:LinksUpToDate>false</ap:LinksUpToDate>
  <ap:CharactersWithSpaces>2627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2025-06-02T09:34:00.0000000Z</dcterms:created>
  <dcterms:modified xsi:type="dcterms:W3CDTF">2025-06-02T09:36:00.0000000Z</dcterms:modified>
  <version/>
  <category/>
</coreProperties>
</file>