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AF3" w:rsidP="00173554" w:rsidRDefault="00900A8F" w14:paraId="6B19DE45" w14:textId="62FBC298">
      <w:pPr>
        <w:ind w:left="-993"/>
        <w:rPr>
          <w:b/>
          <w:bCs/>
        </w:rPr>
      </w:pPr>
      <w:r>
        <w:rPr>
          <w:b/>
          <w:bCs/>
        </w:rPr>
        <w:t xml:space="preserve">Toetsingsformat </w:t>
      </w:r>
      <w:r w:rsidR="00F133FA">
        <w:rPr>
          <w:b/>
          <w:bCs/>
        </w:rPr>
        <w:t>Asielnoodmaatregelenwet</w:t>
      </w:r>
      <w:r w:rsidR="008D4AF3">
        <w:rPr>
          <w:b/>
          <w:bCs/>
        </w:rPr>
        <w:t xml:space="preserve"> (versie </w:t>
      </w:r>
      <w:r w:rsidR="00032C05">
        <w:rPr>
          <w:b/>
          <w:bCs/>
        </w:rPr>
        <w:t xml:space="preserve">25 november </w:t>
      </w:r>
      <w:r w:rsidR="008D4AF3">
        <w:rPr>
          <w:b/>
          <w:bCs/>
        </w:rPr>
        <w:t>2024)</w:t>
      </w:r>
      <w:r>
        <w:rPr>
          <w:b/>
          <w:bCs/>
        </w:rPr>
        <w:t xml:space="preserve"> </w:t>
      </w:r>
      <w:r w:rsidR="008D4AF3">
        <w:rPr>
          <w:b/>
          <w:bCs/>
        </w:rPr>
        <w:t xml:space="preserve"> </w:t>
      </w:r>
    </w:p>
    <w:p w:rsidR="00335222" w:rsidP="00173554" w:rsidRDefault="008D4AF3" w14:paraId="197D0CB2" w14:textId="7F473DC6">
      <w:pPr>
        <w:ind w:left="-993"/>
        <w:rPr>
          <w:b/>
          <w:bCs/>
        </w:rPr>
      </w:pPr>
      <w:r>
        <w:rPr>
          <w:b/>
          <w:bCs/>
        </w:rPr>
        <w:t>KetenID: PM</w:t>
      </w:r>
    </w:p>
    <w:p w:rsidR="000E3C0F" w:rsidP="00F12122" w:rsidRDefault="000E3C0F" w14:paraId="6D5CD7A3" w14:textId="77777777">
      <w:pPr>
        <w:ind w:left="-993"/>
        <w:rPr>
          <w:b/>
          <w:bCs/>
        </w:rPr>
      </w:pPr>
    </w:p>
    <w:p w:rsidR="00D901FD" w:rsidP="00F12122" w:rsidRDefault="00D901FD" w14:paraId="1DC9734A" w14:textId="77777777">
      <w:pPr>
        <w:ind w:left="-993"/>
        <w:rPr>
          <w:b/>
          <w:bCs/>
        </w:rPr>
      </w:pPr>
    </w:p>
    <w:tbl>
      <w:tblPr>
        <w:tblStyle w:val="Tabelraster"/>
        <w:tblW w:w="0" w:type="auto"/>
        <w:tblInd w:w="-9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284"/>
        <w:gridCol w:w="4819"/>
      </w:tblGrid>
      <w:tr w:rsidR="00A841FB" w:rsidTr="00D901FD" w14:paraId="08BECD34" w14:textId="77777777">
        <w:tc>
          <w:tcPr>
            <w:tcW w:w="1668" w:type="dxa"/>
          </w:tcPr>
          <w:p w:rsidRPr="000E3C0F" w:rsidR="00A841FB" w:rsidP="00A841FB" w:rsidRDefault="00A841FB" w14:paraId="5458A716" w14:textId="232E2D80">
            <w:r w:rsidRPr="003D006D">
              <w:rPr>
                <w:szCs w:val="18"/>
              </w:rPr>
              <w:t>Toetser:</w:t>
            </w:r>
          </w:p>
        </w:tc>
        <w:tc>
          <w:tcPr>
            <w:tcW w:w="5103" w:type="dxa"/>
            <w:gridSpan w:val="2"/>
          </w:tcPr>
          <w:p w:rsidR="00A841FB" w:rsidP="00A841FB" w:rsidRDefault="00900A8F" w14:paraId="1E178E67" w14:textId="4E7E66B9">
            <w:pPr>
              <w:rPr>
                <w:b/>
                <w:bCs/>
              </w:rPr>
            </w:pPr>
            <w:r>
              <w:rPr>
                <w:szCs w:val="18"/>
              </w:rPr>
              <w:t xml:space="preserve"> </w:t>
            </w:r>
            <w:r w:rsidRPr="003D006D" w:rsidR="00A841FB">
              <w:rPr>
                <w:szCs w:val="18"/>
              </w:rPr>
              <w:t>(JenV/JZW)</w:t>
            </w:r>
          </w:p>
        </w:tc>
      </w:tr>
      <w:tr w:rsidRPr="00F61478" w:rsidR="00A841FB" w:rsidTr="00D901FD" w14:paraId="26F287A8" w14:textId="77777777">
        <w:tc>
          <w:tcPr>
            <w:tcW w:w="1668" w:type="dxa"/>
          </w:tcPr>
          <w:p w:rsidRPr="000E3C0F" w:rsidR="00A841FB" w:rsidP="00A841FB" w:rsidRDefault="00A841FB" w14:paraId="1AD2F7D2" w14:textId="15928063">
            <w:r w:rsidRPr="003D006D">
              <w:rPr>
                <w:szCs w:val="18"/>
              </w:rPr>
              <w:t>Co-toetsers</w:t>
            </w:r>
          </w:p>
        </w:tc>
        <w:tc>
          <w:tcPr>
            <w:tcW w:w="5103" w:type="dxa"/>
            <w:gridSpan w:val="2"/>
          </w:tcPr>
          <w:p w:rsidRPr="00342EF2" w:rsidR="00A841FB" w:rsidP="00A841FB" w:rsidRDefault="00900A8F" w14:paraId="01BC115B" w14:textId="623798BA">
            <w:r>
              <w:rPr>
                <w:szCs w:val="18"/>
              </w:rPr>
              <w:t xml:space="preserve"> </w:t>
            </w:r>
            <w:r w:rsidRPr="003D006D" w:rsidR="00A841FB">
              <w:rPr>
                <w:szCs w:val="18"/>
              </w:rPr>
              <w:t>(JenV/JZW)</w:t>
            </w:r>
          </w:p>
        </w:tc>
      </w:tr>
      <w:tr w:rsidR="00A841FB" w:rsidTr="00D901FD" w14:paraId="1E6F88BA" w14:textId="77777777">
        <w:tc>
          <w:tcPr>
            <w:tcW w:w="1668" w:type="dxa"/>
          </w:tcPr>
          <w:p w:rsidRPr="000E3C0F" w:rsidR="00A841FB" w:rsidP="00A841FB" w:rsidRDefault="00A841FB" w14:paraId="414B0955" w14:textId="26B7DDC6">
            <w:r w:rsidRPr="003D006D">
              <w:rPr>
                <w:szCs w:val="18"/>
              </w:rPr>
              <w:t>Dossierhouder:</w:t>
            </w:r>
          </w:p>
        </w:tc>
        <w:tc>
          <w:tcPr>
            <w:tcW w:w="5103" w:type="dxa"/>
            <w:gridSpan w:val="2"/>
          </w:tcPr>
          <w:p w:rsidRPr="000E3C0F" w:rsidR="00A841FB" w:rsidP="00A841FB" w:rsidRDefault="00A841FB" w14:paraId="76B1CF6D" w14:textId="42F1DA80">
            <w:r>
              <w:t>/</w:t>
            </w:r>
            <w:proofErr w:type="spellStart"/>
            <w:r w:rsidR="00900A8F">
              <w:t>MinjenV</w:t>
            </w:r>
            <w:proofErr w:type="spellEnd"/>
            <w:r w:rsidR="00900A8F">
              <w:t xml:space="preserve"> (SBR)</w:t>
            </w:r>
          </w:p>
        </w:tc>
      </w:tr>
      <w:tr w:rsidR="00A841FB" w:rsidTr="000E3C0F" w14:paraId="4772932F" w14:textId="77777777">
        <w:trPr>
          <w:gridAfter w:val="1"/>
          <w:wAfter w:w="4819" w:type="dxa"/>
        </w:trPr>
        <w:tc>
          <w:tcPr>
            <w:tcW w:w="1952" w:type="dxa"/>
            <w:gridSpan w:val="2"/>
          </w:tcPr>
          <w:p w:rsidRPr="000E3C0F" w:rsidR="00A841FB" w:rsidP="00A841FB" w:rsidRDefault="00A841FB" w14:paraId="37DD126D" w14:textId="26252370"/>
        </w:tc>
      </w:tr>
      <w:tr w:rsidR="00A841FB" w:rsidTr="000E3C0F" w14:paraId="74097A2D" w14:textId="77777777">
        <w:trPr>
          <w:gridAfter w:val="1"/>
          <w:wAfter w:w="4819" w:type="dxa"/>
        </w:trPr>
        <w:tc>
          <w:tcPr>
            <w:tcW w:w="1952" w:type="dxa"/>
            <w:gridSpan w:val="2"/>
          </w:tcPr>
          <w:p w:rsidRPr="003D006D" w:rsidR="00A841FB" w:rsidP="00A841FB" w:rsidRDefault="00A841FB" w14:paraId="3A0F324D" w14:textId="77777777">
            <w:pPr>
              <w:rPr>
                <w:szCs w:val="18"/>
              </w:rPr>
            </w:pPr>
          </w:p>
        </w:tc>
      </w:tr>
      <w:tr w:rsidR="00A841FB" w:rsidTr="000E3C0F" w14:paraId="537D6B89" w14:textId="77777777">
        <w:trPr>
          <w:gridAfter w:val="1"/>
          <w:wAfter w:w="4819" w:type="dxa"/>
        </w:trPr>
        <w:tc>
          <w:tcPr>
            <w:tcW w:w="1952" w:type="dxa"/>
            <w:gridSpan w:val="2"/>
          </w:tcPr>
          <w:p w:rsidRPr="003D006D" w:rsidR="00A841FB" w:rsidP="00A841FB" w:rsidRDefault="00A841FB" w14:paraId="012715D6" w14:textId="77777777">
            <w:pPr>
              <w:rPr>
                <w:szCs w:val="18"/>
              </w:rPr>
            </w:pPr>
          </w:p>
        </w:tc>
      </w:tr>
    </w:tbl>
    <w:p w:rsidR="005A7F5D" w:rsidP="00CE2A94" w:rsidRDefault="005A7F5D" w14:paraId="1185421A" w14:textId="77777777">
      <w:pPr>
        <w:ind w:left="-993"/>
      </w:pPr>
    </w:p>
    <w:tbl>
      <w:tblPr>
        <w:tblStyle w:val="Tabelraster"/>
        <w:tblW w:w="15701" w:type="dxa"/>
        <w:tblInd w:w="-88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534"/>
        <w:gridCol w:w="2331"/>
        <w:gridCol w:w="5386"/>
        <w:gridCol w:w="3686"/>
        <w:gridCol w:w="3764"/>
      </w:tblGrid>
      <w:tr w:rsidR="005A7F5D" w:rsidTr="00A70653" w14:paraId="703AD7E4" w14:textId="77777777">
        <w:tc>
          <w:tcPr>
            <w:tcW w:w="2865" w:type="dxa"/>
            <w:gridSpan w:val="2"/>
          </w:tcPr>
          <w:p w:rsidRPr="00835743" w:rsidR="005A7F5D" w:rsidP="005C238D" w:rsidRDefault="005A7F5D" w14:paraId="4045929F" w14:textId="77777777"/>
        </w:tc>
        <w:tc>
          <w:tcPr>
            <w:tcW w:w="5386" w:type="dxa"/>
          </w:tcPr>
          <w:p w:rsidRPr="005C238D" w:rsidR="005A7F5D" w:rsidP="00196AD5" w:rsidRDefault="005A7F5D" w14:paraId="4816B9EC" w14:textId="591E9C49">
            <w:pPr>
              <w:rPr>
                <w:b/>
              </w:rPr>
            </w:pPr>
            <w:r w:rsidRPr="005C238D">
              <w:rPr>
                <w:b/>
              </w:rPr>
              <w:t>Opmerkingen</w:t>
            </w:r>
            <w:r w:rsidR="00D901FD">
              <w:rPr>
                <w:b/>
              </w:rPr>
              <w:t xml:space="preserve"> </w:t>
            </w:r>
          </w:p>
        </w:tc>
        <w:tc>
          <w:tcPr>
            <w:tcW w:w="3686" w:type="dxa"/>
          </w:tcPr>
          <w:p w:rsidRPr="005C238D" w:rsidR="005A7F5D" w:rsidP="00173554" w:rsidRDefault="005A7F5D" w14:paraId="2AE77C9C" w14:textId="0D73EE54">
            <w:pPr>
              <w:rPr>
                <w:b/>
              </w:rPr>
            </w:pPr>
            <w:r w:rsidRPr="005C238D">
              <w:rPr>
                <w:b/>
              </w:rPr>
              <w:t>Reacties</w:t>
            </w:r>
            <w:r w:rsidR="00D901FD">
              <w:rPr>
                <w:b/>
              </w:rPr>
              <w:t xml:space="preserve"> dossierhouder </w:t>
            </w:r>
            <w:r>
              <w:rPr>
                <w:b/>
              </w:rPr>
              <w:t>()</w:t>
            </w:r>
          </w:p>
        </w:tc>
        <w:tc>
          <w:tcPr>
            <w:tcW w:w="3764" w:type="dxa"/>
          </w:tcPr>
          <w:p w:rsidRPr="005C238D" w:rsidR="005A7F5D" w:rsidP="00F12122" w:rsidRDefault="00D901FD" w14:paraId="0DA43967" w14:textId="77777777">
            <w:pPr>
              <w:rPr>
                <w:b/>
              </w:rPr>
            </w:pPr>
            <w:r>
              <w:rPr>
                <w:b/>
              </w:rPr>
              <w:t xml:space="preserve">Reacties toetser </w:t>
            </w:r>
            <w:r w:rsidR="005A7F5D">
              <w:rPr>
                <w:b/>
              </w:rPr>
              <w:t>(</w:t>
            </w:r>
            <w:proofErr w:type="spellStart"/>
            <w:r w:rsidR="005A7F5D">
              <w:rPr>
                <w:b/>
              </w:rPr>
              <w:t>dd</w:t>
            </w:r>
            <w:proofErr w:type="spellEnd"/>
            <w:r w:rsidR="005A7F5D">
              <w:rPr>
                <w:b/>
              </w:rPr>
              <w:t>-mm-</w:t>
            </w:r>
            <w:proofErr w:type="spellStart"/>
            <w:r w:rsidR="005A7F5D">
              <w:rPr>
                <w:b/>
              </w:rPr>
              <w:t>jjjj</w:t>
            </w:r>
            <w:proofErr w:type="spellEnd"/>
            <w:r w:rsidR="005A7F5D">
              <w:rPr>
                <w:b/>
              </w:rPr>
              <w:t>)</w:t>
            </w:r>
          </w:p>
        </w:tc>
      </w:tr>
      <w:tr w:rsidR="0029303C" w:rsidTr="00A70653" w14:paraId="6BD92B3B" w14:textId="77777777">
        <w:tc>
          <w:tcPr>
            <w:tcW w:w="534" w:type="dxa"/>
          </w:tcPr>
          <w:p w:rsidRPr="00835743" w:rsidR="0029303C" w:rsidP="0050149F" w:rsidRDefault="0029303C" w14:paraId="6639A62B" w14:textId="77777777">
            <w:pPr>
              <w:pStyle w:val="Lijstalinea"/>
              <w:numPr>
                <w:ilvl w:val="0"/>
                <w:numId w:val="3"/>
              </w:numPr>
            </w:pPr>
          </w:p>
        </w:tc>
        <w:tc>
          <w:tcPr>
            <w:tcW w:w="2331" w:type="dxa"/>
          </w:tcPr>
          <w:p w:rsidRPr="00835743" w:rsidR="0029303C" w:rsidP="0029303C" w:rsidRDefault="00F133FA" w14:paraId="4CA8A1DA" w14:textId="552741AA">
            <w:r>
              <w:t>Algemeen</w:t>
            </w:r>
          </w:p>
        </w:tc>
        <w:tc>
          <w:tcPr>
            <w:tcW w:w="5386" w:type="dxa"/>
          </w:tcPr>
          <w:p w:rsidR="0029303C" w:rsidP="00BF39F7" w:rsidRDefault="00F133FA" w14:paraId="7C56070D" w14:textId="6F20CD3B">
            <w:r>
              <w:t>Wij hebben weinig tijd gekregen voor de toetsing en konden niet kennisnemen van de resultaten van de uitvoeringstoets en andere consultatieresultaten</w:t>
            </w:r>
            <w:r w:rsidR="00796C22">
              <w:t xml:space="preserve"> (m.n. IMD. OM. RM)</w:t>
            </w:r>
            <w:r>
              <w:t>.</w:t>
            </w:r>
            <w:r w:rsidR="00EC49DD">
              <w:t xml:space="preserve"> </w:t>
            </w:r>
            <w:r w:rsidR="00BF39F7">
              <w:t xml:space="preserve">Bij de deelvoorstellen worden geen harde schattingen genoemd m.b.t. de verwachte netto effecten daarvan. Over nut en noodzaak van het voorstel </w:t>
            </w:r>
            <w:r w:rsidR="00B720EF">
              <w:t>kunnen we ons daarom geen oordeel vormen</w:t>
            </w:r>
            <w:r w:rsidR="00BF39F7">
              <w:t xml:space="preserve">. </w:t>
            </w:r>
            <w:r w:rsidR="00903F11">
              <w:br/>
              <w:t>Voor de duidelijkheid: wij begrijpen dat jullie sowieso het voorstel in procedure gaan brengen. Maar w</w:t>
            </w:r>
            <w:r w:rsidR="00EC49DD">
              <w:t>e beschouwen de wetgevingstoets dus niet als afgerond</w:t>
            </w:r>
            <w:r w:rsidR="00903F11">
              <w:t xml:space="preserve"> en je kunt op het mr-formulier bij deze stand van zaken dus niet invullen dat overeenstemming is bereikt. </w:t>
            </w:r>
          </w:p>
        </w:tc>
        <w:tc>
          <w:tcPr>
            <w:tcW w:w="3686" w:type="dxa"/>
          </w:tcPr>
          <w:p w:rsidR="0029303C" w:rsidP="0029303C" w:rsidRDefault="0029303C" w14:paraId="0B597C48" w14:textId="19805A29"/>
        </w:tc>
        <w:tc>
          <w:tcPr>
            <w:tcW w:w="3764" w:type="dxa"/>
          </w:tcPr>
          <w:p w:rsidR="0029303C" w:rsidP="0029303C" w:rsidRDefault="0029303C" w14:paraId="030181B2" w14:textId="77777777"/>
        </w:tc>
      </w:tr>
      <w:tr w:rsidR="00CC0D94" w:rsidTr="00A70653" w14:paraId="6DA73FB3" w14:textId="77777777">
        <w:tc>
          <w:tcPr>
            <w:tcW w:w="534" w:type="dxa"/>
          </w:tcPr>
          <w:p w:rsidRPr="00835743" w:rsidR="00CC0D94" w:rsidP="0050149F" w:rsidRDefault="00CC0D94" w14:paraId="3FD12933" w14:textId="77777777">
            <w:pPr>
              <w:pStyle w:val="Lijstalinea"/>
              <w:numPr>
                <w:ilvl w:val="0"/>
                <w:numId w:val="3"/>
              </w:numPr>
            </w:pPr>
          </w:p>
        </w:tc>
        <w:tc>
          <w:tcPr>
            <w:tcW w:w="2331" w:type="dxa"/>
          </w:tcPr>
          <w:p w:rsidRPr="00835743" w:rsidR="00CC0D94" w:rsidP="0029303C" w:rsidRDefault="00CC0D94" w14:paraId="56265534" w14:textId="77777777"/>
        </w:tc>
        <w:tc>
          <w:tcPr>
            <w:tcW w:w="5386" w:type="dxa"/>
          </w:tcPr>
          <w:p w:rsidR="00CC0D94" w:rsidP="00BF39F7" w:rsidRDefault="00CC0D94" w14:paraId="179F9744" w14:textId="19DC9CBB">
            <w:r>
              <w:t xml:space="preserve">De noodzaak van het wetsvoorstel wordt onderbouwd door naast de specifiek </w:t>
            </w:r>
            <w:r w:rsidR="00B720EF">
              <w:t xml:space="preserve">aan </w:t>
            </w:r>
            <w:r>
              <w:t xml:space="preserve">asielverlening gerelateerde problemen ook een aantal maatschappelijke problemen van algemener aard te noemen (woongelegenheid, zorg, onderwijs) zonder te beschrijven wat de relatieve bijdrage van de asielinstroom bij die problemen is. Dat wekt de indruk dat de argumenten bij elkaar geveegd zijn in plaats van een grondige en </w:t>
            </w:r>
            <w:proofErr w:type="spellStart"/>
            <w:r>
              <w:t>welonderbouwde</w:t>
            </w:r>
            <w:proofErr w:type="spellEnd"/>
            <w:r>
              <w:t xml:space="preserve"> analyse van de problemen die met dit voorstel aangepakt moeten worden.</w:t>
            </w:r>
          </w:p>
        </w:tc>
        <w:tc>
          <w:tcPr>
            <w:tcW w:w="3686" w:type="dxa"/>
          </w:tcPr>
          <w:p w:rsidR="00CC0D94" w:rsidP="0029303C" w:rsidRDefault="00CC0D94" w14:paraId="607ACA57" w14:textId="77777777"/>
        </w:tc>
        <w:tc>
          <w:tcPr>
            <w:tcW w:w="3764" w:type="dxa"/>
          </w:tcPr>
          <w:p w:rsidR="00CC0D94" w:rsidP="0029303C" w:rsidRDefault="00CC0D94" w14:paraId="61B1661D" w14:textId="77777777"/>
        </w:tc>
      </w:tr>
      <w:tr w:rsidR="00F133FA" w:rsidTr="00A70653" w14:paraId="2BE408A5" w14:textId="77777777">
        <w:tc>
          <w:tcPr>
            <w:tcW w:w="534" w:type="dxa"/>
          </w:tcPr>
          <w:p w:rsidRPr="00835743" w:rsidR="00F133FA" w:rsidP="0050149F" w:rsidRDefault="00F133FA" w14:paraId="4EBA83E5" w14:textId="77777777">
            <w:pPr>
              <w:pStyle w:val="Lijstalinea"/>
              <w:numPr>
                <w:ilvl w:val="0"/>
                <w:numId w:val="3"/>
              </w:numPr>
            </w:pPr>
          </w:p>
        </w:tc>
        <w:tc>
          <w:tcPr>
            <w:tcW w:w="2331" w:type="dxa"/>
          </w:tcPr>
          <w:p w:rsidRPr="00835743" w:rsidR="00F133FA" w:rsidP="0029303C" w:rsidRDefault="00F133FA" w14:paraId="6462D5CF" w14:textId="77777777"/>
        </w:tc>
        <w:tc>
          <w:tcPr>
            <w:tcW w:w="5386" w:type="dxa"/>
          </w:tcPr>
          <w:p w:rsidR="00BF39F7" w:rsidP="00BF39F7" w:rsidRDefault="00BF39F7" w14:paraId="76CB7C1E" w14:textId="1EFD2F9F">
            <w:r>
              <w:t xml:space="preserve">Het voorstel heeft in feite twee te onderscheiden doelen: </w:t>
            </w:r>
          </w:p>
          <w:p w:rsidR="00BF39F7" w:rsidP="00BF39F7" w:rsidRDefault="00BF39F7" w14:paraId="77658B8C" w14:textId="1C9A50FA">
            <w:pPr>
              <w:pStyle w:val="Lijstalinea"/>
              <w:numPr>
                <w:ilvl w:val="0"/>
                <w:numId w:val="10"/>
              </w:numPr>
            </w:pPr>
            <w:r>
              <w:t xml:space="preserve">Tegengaan instroom asielzoekers door </w:t>
            </w:r>
            <w:r w:rsidR="00CC0D94">
              <w:t xml:space="preserve">b.v. </w:t>
            </w:r>
            <w:r>
              <w:t>minder ruim aanvragen toe te wijzen en de komst van asielzoekers te ontmoedigen;</w:t>
            </w:r>
          </w:p>
          <w:p w:rsidR="00F133FA" w:rsidP="00CC0D94" w:rsidRDefault="00BF39F7" w14:paraId="24A550CF" w14:textId="0241276C">
            <w:pPr>
              <w:pStyle w:val="Lijstalinea"/>
              <w:numPr>
                <w:ilvl w:val="0"/>
                <w:numId w:val="10"/>
              </w:numPr>
            </w:pPr>
            <w:r>
              <w:t>Verhelpen van de overbelasting van de aanvraagketen (</w:t>
            </w:r>
            <w:r w:rsidR="00CC0D94">
              <w:t xml:space="preserve">m.n. </w:t>
            </w:r>
            <w:r>
              <w:t xml:space="preserve">opvang tijdens de procedure, plaatsing toegelaten vluchtelingen, belasting apparaat door </w:t>
            </w:r>
            <w:r>
              <w:lastRenderedPageBreak/>
              <w:t>hoeveelheid aanvragers en de benodigde tijd voor de beoordeling daarvan etc.).</w:t>
            </w:r>
          </w:p>
          <w:p w:rsidR="00CC0D94" w:rsidP="00CC0D94" w:rsidRDefault="00CC0D94" w14:paraId="3EB15C70" w14:textId="6D11F225">
            <w:r>
              <w:t xml:space="preserve">Er worden geen harde inschattingen gemaakt wat het verwachte effect is van elk van de voorgestelde maatregelen. Het is dus ook niet mogelijk om t.z.t. te beoordelen of een maatregel het daarmee beoogde effect heeft gehad.   </w:t>
            </w:r>
          </w:p>
        </w:tc>
        <w:tc>
          <w:tcPr>
            <w:tcW w:w="3686" w:type="dxa"/>
          </w:tcPr>
          <w:p w:rsidR="00F133FA" w:rsidP="0029303C" w:rsidRDefault="00F133FA" w14:paraId="3534004B" w14:textId="77777777"/>
        </w:tc>
        <w:tc>
          <w:tcPr>
            <w:tcW w:w="3764" w:type="dxa"/>
          </w:tcPr>
          <w:p w:rsidR="00F133FA" w:rsidP="0029303C" w:rsidRDefault="00F133FA" w14:paraId="26FBFB4A" w14:textId="77777777"/>
        </w:tc>
      </w:tr>
      <w:tr w:rsidR="00EC49DD" w:rsidTr="00A70653" w14:paraId="0ED1D78B" w14:textId="77777777">
        <w:tc>
          <w:tcPr>
            <w:tcW w:w="534" w:type="dxa"/>
          </w:tcPr>
          <w:p w:rsidRPr="00835743" w:rsidR="00EC49DD" w:rsidP="0050149F" w:rsidRDefault="00EC49DD" w14:paraId="128D2E9F" w14:textId="77777777">
            <w:pPr>
              <w:pStyle w:val="Lijstalinea"/>
              <w:numPr>
                <w:ilvl w:val="0"/>
                <w:numId w:val="3"/>
              </w:numPr>
            </w:pPr>
          </w:p>
        </w:tc>
        <w:tc>
          <w:tcPr>
            <w:tcW w:w="2331" w:type="dxa"/>
          </w:tcPr>
          <w:p w:rsidRPr="00835743" w:rsidR="00EC49DD" w:rsidP="0029303C" w:rsidRDefault="00EC49DD" w14:paraId="4D423811" w14:textId="77777777"/>
        </w:tc>
        <w:tc>
          <w:tcPr>
            <w:tcW w:w="5386" w:type="dxa"/>
          </w:tcPr>
          <w:p w:rsidR="00BF39F7" w:rsidP="00CC0D94" w:rsidRDefault="00CC0D94" w14:paraId="61C10CD7" w14:textId="61EF0474">
            <w:r>
              <w:t>De maatregelen die met het oog op elk van de doelen te treffen zijn, kunnen elkaar tegenwerken. Verzwaring van de toelatingseisen b.v. leidt tot meer afwijzingen en daardoor meer belasting van het apparaat</w:t>
            </w:r>
            <w:r w:rsidR="00FE00C4">
              <w:t>.</w:t>
            </w:r>
            <w:r>
              <w:t xml:space="preserve"> Het is daarom ook nodig dat de </w:t>
            </w:r>
            <w:r w:rsidR="00BF39F7">
              <w:t xml:space="preserve">effecten </w:t>
            </w:r>
            <w:r w:rsidRPr="00082236" w:rsidR="00BF39F7">
              <w:rPr>
                <w:u w:val="single"/>
              </w:rPr>
              <w:t>integraal</w:t>
            </w:r>
            <w:r w:rsidR="00BF39F7">
              <w:t xml:space="preserve"> gewogen </w:t>
            </w:r>
            <w:r>
              <w:t xml:space="preserve">worden, met oog voor de </w:t>
            </w:r>
            <w:r w:rsidR="00FE00C4">
              <w:t xml:space="preserve">interferentie tussen de maatregelen </w:t>
            </w:r>
            <w:r>
              <w:t xml:space="preserve">in plaats van enkel per maatregel. </w:t>
            </w:r>
          </w:p>
          <w:p w:rsidR="00EC49DD" w:rsidP="00FE00C4" w:rsidRDefault="00FE00C4" w14:paraId="006DC7C2" w14:textId="307C83BE">
            <w:r>
              <w:t>Ook om die reden is nut en noodzaak van het voorstel niet goed onderbouwd.</w:t>
            </w:r>
            <w:r w:rsidR="00BF39F7">
              <w:t xml:space="preserve">         </w:t>
            </w:r>
          </w:p>
        </w:tc>
        <w:tc>
          <w:tcPr>
            <w:tcW w:w="3686" w:type="dxa"/>
          </w:tcPr>
          <w:p w:rsidR="00EC49DD" w:rsidP="0029303C" w:rsidRDefault="00EC49DD" w14:paraId="0E952051" w14:textId="77777777"/>
        </w:tc>
        <w:tc>
          <w:tcPr>
            <w:tcW w:w="3764" w:type="dxa"/>
          </w:tcPr>
          <w:p w:rsidR="00EC49DD" w:rsidP="0029303C" w:rsidRDefault="00EC49DD" w14:paraId="0A0577CE" w14:textId="77777777"/>
        </w:tc>
      </w:tr>
      <w:tr w:rsidR="00BF39F7" w:rsidTr="00A70653" w14:paraId="2F39B4DB" w14:textId="77777777">
        <w:tc>
          <w:tcPr>
            <w:tcW w:w="534" w:type="dxa"/>
          </w:tcPr>
          <w:p w:rsidRPr="00835743" w:rsidR="00BF39F7" w:rsidP="0050149F" w:rsidRDefault="00BF39F7" w14:paraId="0E84DC4D" w14:textId="77777777">
            <w:pPr>
              <w:pStyle w:val="Lijstalinea"/>
              <w:numPr>
                <w:ilvl w:val="0"/>
                <w:numId w:val="3"/>
              </w:numPr>
            </w:pPr>
          </w:p>
        </w:tc>
        <w:tc>
          <w:tcPr>
            <w:tcW w:w="2331" w:type="dxa"/>
          </w:tcPr>
          <w:p w:rsidRPr="00835743" w:rsidR="00BF39F7" w:rsidP="0029303C" w:rsidRDefault="00E63CAA" w14:paraId="1A043F08" w14:textId="450B8DA4">
            <w:r>
              <w:t xml:space="preserve">Voorgestelde maatregelen </w:t>
            </w:r>
          </w:p>
        </w:tc>
        <w:tc>
          <w:tcPr>
            <w:tcW w:w="5386" w:type="dxa"/>
          </w:tcPr>
          <w:p w:rsidR="00BF39F7" w:rsidP="00082236" w:rsidRDefault="00E63CAA" w14:paraId="2FF2CD34" w14:textId="673D7BE4">
            <w:r>
              <w:t xml:space="preserve">(aan de hand van de volgorde in de </w:t>
            </w:r>
            <w:proofErr w:type="spellStart"/>
            <w:r>
              <w:t>MvT</w:t>
            </w:r>
            <w:proofErr w:type="spellEnd"/>
            <w:r>
              <w:t>)</w:t>
            </w:r>
          </w:p>
        </w:tc>
        <w:tc>
          <w:tcPr>
            <w:tcW w:w="3686" w:type="dxa"/>
          </w:tcPr>
          <w:p w:rsidR="00BF39F7" w:rsidP="0029303C" w:rsidRDefault="00BF39F7" w14:paraId="10B71FAE" w14:textId="77777777"/>
        </w:tc>
        <w:tc>
          <w:tcPr>
            <w:tcW w:w="3764" w:type="dxa"/>
          </w:tcPr>
          <w:p w:rsidR="00BF39F7" w:rsidP="0029303C" w:rsidRDefault="00BF39F7" w14:paraId="5C471D3E" w14:textId="77777777"/>
        </w:tc>
      </w:tr>
      <w:tr w:rsidR="00E63CAA" w:rsidTr="00A70653" w14:paraId="1A4CA289" w14:textId="77777777">
        <w:tc>
          <w:tcPr>
            <w:tcW w:w="534" w:type="dxa"/>
          </w:tcPr>
          <w:p w:rsidRPr="00835743" w:rsidR="00E63CAA" w:rsidP="0050149F" w:rsidRDefault="00E63CAA" w14:paraId="65D5D45E" w14:textId="77777777">
            <w:pPr>
              <w:pStyle w:val="Lijstalinea"/>
              <w:numPr>
                <w:ilvl w:val="0"/>
                <w:numId w:val="3"/>
              </w:numPr>
            </w:pPr>
          </w:p>
        </w:tc>
        <w:tc>
          <w:tcPr>
            <w:tcW w:w="2331" w:type="dxa"/>
          </w:tcPr>
          <w:p w:rsidR="00E63CAA" w:rsidP="0029303C" w:rsidRDefault="00E63CAA" w14:paraId="57410AD7" w14:textId="45B8BF5D">
            <w:r>
              <w:t>Kortere duur verblijfsvergunning</w:t>
            </w:r>
          </w:p>
        </w:tc>
        <w:tc>
          <w:tcPr>
            <w:tcW w:w="5386" w:type="dxa"/>
          </w:tcPr>
          <w:p w:rsidR="00E63CAA" w:rsidP="00082236" w:rsidRDefault="00E63CAA" w14:paraId="7549BB22" w14:textId="51B1A66D">
            <w:r>
              <w:t xml:space="preserve">Effecten op belasting apparaat doordat vaker beslissingen moeten worden genomen en mogelijk ook vaker bezwaren/beroepen? </w:t>
            </w:r>
          </w:p>
        </w:tc>
        <w:tc>
          <w:tcPr>
            <w:tcW w:w="3686" w:type="dxa"/>
          </w:tcPr>
          <w:p w:rsidR="00E63CAA" w:rsidP="0029303C" w:rsidRDefault="00E63CAA" w14:paraId="289D102C" w14:textId="77777777"/>
        </w:tc>
        <w:tc>
          <w:tcPr>
            <w:tcW w:w="3764" w:type="dxa"/>
          </w:tcPr>
          <w:p w:rsidR="00E63CAA" w:rsidP="0029303C" w:rsidRDefault="00E63CAA" w14:paraId="2C823589" w14:textId="77777777"/>
        </w:tc>
      </w:tr>
      <w:tr w:rsidR="00E63CAA" w:rsidTr="00A70653" w14:paraId="3A9B5044" w14:textId="77777777">
        <w:tc>
          <w:tcPr>
            <w:tcW w:w="534" w:type="dxa"/>
          </w:tcPr>
          <w:p w:rsidRPr="00835743" w:rsidR="00E63CAA" w:rsidP="0050149F" w:rsidRDefault="00E63CAA" w14:paraId="538C7485" w14:textId="77777777">
            <w:pPr>
              <w:pStyle w:val="Lijstalinea"/>
              <w:numPr>
                <w:ilvl w:val="0"/>
                <w:numId w:val="3"/>
              </w:numPr>
            </w:pPr>
          </w:p>
        </w:tc>
        <w:tc>
          <w:tcPr>
            <w:tcW w:w="2331" w:type="dxa"/>
          </w:tcPr>
          <w:p w:rsidR="00E63CAA" w:rsidP="0029303C" w:rsidRDefault="00E63CAA" w14:paraId="4E5EF512" w14:textId="19B42FC0">
            <w:r>
              <w:t>Geen verblijfsvergunningen onbepaalde tijd</w:t>
            </w:r>
          </w:p>
        </w:tc>
        <w:tc>
          <w:tcPr>
            <w:tcW w:w="5386" w:type="dxa"/>
          </w:tcPr>
          <w:p w:rsidR="00E63CAA" w:rsidP="00082236" w:rsidRDefault="00E63CAA" w14:paraId="2BEC9CD1" w14:textId="69CC41C5">
            <w:r>
              <w:t>Effecten op belasting apparaat doordat vaker beslissingen moeten worden genomen en mogelijk ook vaker bezwaren/beroepen?</w:t>
            </w:r>
          </w:p>
        </w:tc>
        <w:tc>
          <w:tcPr>
            <w:tcW w:w="3686" w:type="dxa"/>
          </w:tcPr>
          <w:p w:rsidR="00E63CAA" w:rsidP="0029303C" w:rsidRDefault="00E63CAA" w14:paraId="2F48B945" w14:textId="77777777"/>
        </w:tc>
        <w:tc>
          <w:tcPr>
            <w:tcW w:w="3764" w:type="dxa"/>
          </w:tcPr>
          <w:p w:rsidR="00E63CAA" w:rsidP="0029303C" w:rsidRDefault="00E63CAA" w14:paraId="13F86083" w14:textId="77777777"/>
        </w:tc>
      </w:tr>
      <w:tr w:rsidR="00BF39F7" w:rsidTr="00A70653" w14:paraId="568D80D6" w14:textId="77777777">
        <w:tc>
          <w:tcPr>
            <w:tcW w:w="534" w:type="dxa"/>
          </w:tcPr>
          <w:p w:rsidRPr="00835743" w:rsidR="00BF39F7" w:rsidP="0050149F" w:rsidRDefault="00BF39F7" w14:paraId="08D84C9A" w14:textId="77777777">
            <w:pPr>
              <w:pStyle w:val="Lijstalinea"/>
              <w:numPr>
                <w:ilvl w:val="0"/>
                <w:numId w:val="3"/>
              </w:numPr>
            </w:pPr>
          </w:p>
        </w:tc>
        <w:tc>
          <w:tcPr>
            <w:tcW w:w="2331" w:type="dxa"/>
          </w:tcPr>
          <w:p w:rsidRPr="00835743" w:rsidR="00BF39F7" w:rsidP="0029303C" w:rsidRDefault="00E63CAA" w14:paraId="6CFF6751" w14:textId="19E7D40C">
            <w:r>
              <w:t>Verruimde mogelijkheden o</w:t>
            </w:r>
            <w:r w:rsidR="00B720EF">
              <w:t>ngewenstverklaring</w:t>
            </w:r>
          </w:p>
        </w:tc>
        <w:tc>
          <w:tcPr>
            <w:tcW w:w="5386" w:type="dxa"/>
          </w:tcPr>
          <w:p w:rsidR="00BF39F7" w:rsidP="00BF39F7" w:rsidRDefault="00BF39F7" w14:paraId="6FDBB158" w14:textId="0FF7920B">
            <w:r>
              <w:t>EU-rechtelijke toelaatbaarheid van ongewenstverklaring:</w:t>
            </w:r>
          </w:p>
          <w:p w:rsidR="00BF39F7" w:rsidP="00BF39F7" w:rsidRDefault="00BF39F7" w14:paraId="47F2121B" w14:textId="77777777">
            <w:r>
              <w:t>Niet alleen de directe rechtsgevolgen van de ongewenstverklaring, maar ook de voorwaarden waaronder een ongewenstverklaring kan worden opgelegd, wijken af van de opleggingsvoorwaarden en de directe rechtsgevolgen van een inreisverbod als bedoeld in de Terugkeerrichtlijn.</w:t>
            </w:r>
          </w:p>
          <w:p w:rsidR="00BF39F7" w:rsidP="00BF39F7" w:rsidRDefault="00BF39F7" w14:paraId="2CAD6948" w14:textId="4C3A00EF">
            <w:r>
              <w:t xml:space="preserve">Volgens vaste rechtspraak van het </w:t>
            </w:r>
            <w:proofErr w:type="spellStart"/>
            <w:r>
              <w:t>HvJEU</w:t>
            </w:r>
            <w:proofErr w:type="spellEnd"/>
            <w:r>
              <w:t xml:space="preserve"> zijn met de Terugkeerrichtlijn echter gemeenschappelijke normen en procedures vastgesteld, die moeten worden toegepast bij de terugkeer van illegaal op hun grondgebied verblijvende derde landen, en is afwijking van die normen slechts toegestaan als de Terugkeerrichtlijn dat uitdrukkelijk toestaat. De </w:t>
            </w:r>
            <w:r w:rsidR="00CC0D94">
              <w:t>T</w:t>
            </w:r>
            <w:r>
              <w:t>erugkeerrichtlijn voorziet niet in de afwijkingen van het terugkeerbesluit en het inreisverbod zoals die worden beoogd met de ongewenstverklaring, zodat deze zonder meer daarmee in strijd zijn.</w:t>
            </w:r>
          </w:p>
          <w:p w:rsidR="00BF39F7" w:rsidP="00BF39F7" w:rsidRDefault="00BF39F7" w14:paraId="13ACAFF9" w14:textId="77777777"/>
          <w:p w:rsidR="00BF39F7" w:rsidP="00BF39F7" w:rsidRDefault="00BF39F7" w14:paraId="62E79B80" w14:textId="77777777">
            <w:r>
              <w:t>NB 1: Het strafbaar stellen van verblijf in weerwil van een terugkeerbesluit nadat de terugkeerprocedure zonder succes is afgerond, terwijl betrokkene daarvan een verwijt kan worden gemaakt, kan dus niet worden bereikt via herinvoering van de ongewenstverklaring op gevallen waarin de terugkeerrichtlijn van toepassing is. Dat kan alleen door die gedraging als zodanig in het wetboek van strafrecht op te nemen (al dan niet met als aanvullende voorwaarde dat betrokkene bepaalde strafbare feiten heeft gepleegd).</w:t>
            </w:r>
          </w:p>
          <w:p w:rsidR="00BF39F7" w:rsidP="00BF39F7" w:rsidRDefault="00BF39F7" w14:paraId="6A45789B" w14:textId="77777777">
            <w:r>
              <w:t xml:space="preserve">NB2: De enige mogelijkheid die het </w:t>
            </w:r>
            <w:proofErr w:type="spellStart"/>
            <w:r>
              <w:t>HvJEU</w:t>
            </w:r>
            <w:proofErr w:type="spellEnd"/>
            <w:r>
              <w:t xml:space="preserve"> heeft aanvaard van een nationaal werkend inreisverbod kan aan de orde zijn bij toepassing van artikel 6 lid 2 Terugkeerrichtlijn (d.w.z., als een lidstaat een terugkeerbesluit wil opleggen aan </w:t>
            </w:r>
            <w:r w:rsidRPr="00CC0D94">
              <w:rPr>
                <w:u w:val="single"/>
              </w:rPr>
              <w:t>een derdelander die nog een verblijfsrecht</w:t>
            </w:r>
            <w:r>
              <w:t xml:space="preserve"> heeft in een andere lidstaat van de Unie).</w:t>
            </w:r>
          </w:p>
          <w:p w:rsidR="00BF39F7" w:rsidP="00BF39F7" w:rsidRDefault="00BF39F7" w14:paraId="3F2041FA" w14:textId="0630BCDC">
            <w:r>
              <w:t xml:space="preserve">Als een lidstaat een inreisverbod wil opleggen aan een derdelander die een verblijfsrecht heeft in een andere lidstaat, en als vervolgens (na verplichte consultatie met die andere lidstaat) blijkt dat die lidstaat het verblijfsrecht van betrokkene niet wil intrekken, dan volgt uit de rechtspraak van het </w:t>
            </w:r>
            <w:proofErr w:type="spellStart"/>
            <w:r>
              <w:t>HvJEU</w:t>
            </w:r>
            <w:proofErr w:type="spellEnd"/>
            <w:r>
              <w:t xml:space="preserve"> dat het inreisverbod niet mag worden opgelegd (dan wel dat het reeds opgelegde inreisverbod moet worden ingetrokken). Voor die gevallen heeft het Hof toegestaan dat de eerste lidstaat ten aanzien van die persoon wel nog een nationale signalering mag hanteren (d.w.z. een inreisverbod met een nationale werking). Bij een dergelijke ‘nationaal inreisverbod’ is overigens alleen de werking nationaal. De lidstaat mag dus geen nationale voorwaarden vaststellen waaronder dat inreisverbod mag worden opgelegd.</w:t>
            </w:r>
          </w:p>
          <w:p w:rsidR="00BF39F7" w:rsidP="00BF39F7" w:rsidRDefault="00BF39F7" w14:paraId="1D2B712F" w14:textId="4BF40AED"/>
        </w:tc>
        <w:tc>
          <w:tcPr>
            <w:tcW w:w="3686" w:type="dxa"/>
          </w:tcPr>
          <w:p w:rsidR="00BF39F7" w:rsidP="0029303C" w:rsidRDefault="00BF39F7" w14:paraId="26A1DB23" w14:textId="77777777"/>
        </w:tc>
        <w:tc>
          <w:tcPr>
            <w:tcW w:w="3764" w:type="dxa"/>
          </w:tcPr>
          <w:p w:rsidR="00BF39F7" w:rsidP="0029303C" w:rsidRDefault="00BF39F7" w14:paraId="2A6096FF" w14:textId="77777777"/>
        </w:tc>
      </w:tr>
      <w:tr w:rsidR="00FE00C4" w:rsidTr="00A70653" w14:paraId="4F04A268" w14:textId="77777777">
        <w:tc>
          <w:tcPr>
            <w:tcW w:w="534" w:type="dxa"/>
          </w:tcPr>
          <w:p w:rsidRPr="00835743" w:rsidR="00FE00C4" w:rsidP="0050149F" w:rsidRDefault="00FE00C4" w14:paraId="20ACC135" w14:textId="77777777">
            <w:pPr>
              <w:pStyle w:val="Lijstalinea"/>
              <w:numPr>
                <w:ilvl w:val="0"/>
                <w:numId w:val="3"/>
              </w:numPr>
            </w:pPr>
          </w:p>
        </w:tc>
        <w:tc>
          <w:tcPr>
            <w:tcW w:w="2331" w:type="dxa"/>
          </w:tcPr>
          <w:p w:rsidRPr="00835743" w:rsidR="00FE00C4" w:rsidP="0029303C" w:rsidRDefault="00FE00C4" w14:paraId="1E7CDBBB" w14:textId="77777777"/>
        </w:tc>
        <w:tc>
          <w:tcPr>
            <w:tcW w:w="5386" w:type="dxa"/>
          </w:tcPr>
          <w:p w:rsidR="00FE00C4" w:rsidP="00BF39F7" w:rsidRDefault="00FE00C4" w14:paraId="370667BB" w14:textId="3F4EB2B0">
            <w:r>
              <w:t xml:space="preserve">Feitelijk effect van ongewenstverklaring: </w:t>
            </w:r>
            <w:r>
              <w:br/>
              <w:t xml:space="preserve">Er wordt geen schatting gemaakt van de mate waarin toepassing van ongewenstverklaring zal leiden tot toename van uitstroom of tot vermindering van overlast. </w:t>
            </w:r>
          </w:p>
        </w:tc>
        <w:tc>
          <w:tcPr>
            <w:tcW w:w="3686" w:type="dxa"/>
          </w:tcPr>
          <w:p w:rsidR="00FE00C4" w:rsidP="0029303C" w:rsidRDefault="00FE00C4" w14:paraId="0BC63FC3" w14:textId="77777777"/>
        </w:tc>
        <w:tc>
          <w:tcPr>
            <w:tcW w:w="3764" w:type="dxa"/>
          </w:tcPr>
          <w:p w:rsidR="00FE00C4" w:rsidP="0029303C" w:rsidRDefault="00FE00C4" w14:paraId="4F88D29D" w14:textId="77777777"/>
        </w:tc>
      </w:tr>
      <w:tr w:rsidR="00FE00C4" w:rsidTr="00A70653" w14:paraId="4F734774" w14:textId="77777777">
        <w:tc>
          <w:tcPr>
            <w:tcW w:w="534" w:type="dxa"/>
          </w:tcPr>
          <w:p w:rsidRPr="00835743" w:rsidR="00FE00C4" w:rsidP="0050149F" w:rsidRDefault="00FE00C4" w14:paraId="33C3B7B6" w14:textId="77777777">
            <w:pPr>
              <w:pStyle w:val="Lijstalinea"/>
              <w:numPr>
                <w:ilvl w:val="0"/>
                <w:numId w:val="3"/>
              </w:numPr>
            </w:pPr>
          </w:p>
        </w:tc>
        <w:tc>
          <w:tcPr>
            <w:tcW w:w="2331" w:type="dxa"/>
          </w:tcPr>
          <w:p w:rsidRPr="00835743" w:rsidR="00FE00C4" w:rsidP="0029303C" w:rsidRDefault="00FE00C4" w14:paraId="766B9542" w14:textId="77777777"/>
        </w:tc>
        <w:tc>
          <w:tcPr>
            <w:tcW w:w="5386" w:type="dxa"/>
          </w:tcPr>
          <w:p w:rsidR="00FE00C4" w:rsidP="00BF39F7" w:rsidRDefault="00FE00C4" w14:paraId="184A0482" w14:textId="1EE3BCB6">
            <w:r>
              <w:t xml:space="preserve">In de toelichting wordt voetstoots aangenomen dat een </w:t>
            </w:r>
            <w:proofErr w:type="spellStart"/>
            <w:r>
              <w:t>strassfrechtelijke</w:t>
            </w:r>
            <w:proofErr w:type="spellEnd"/>
            <w:r>
              <w:t xml:space="preserve"> vervolging wegens verblijf i.s.m. een ongewenstverklaring tot dat een vrijheidsstraf wordt opgelegd </w:t>
            </w:r>
          </w:p>
        </w:tc>
        <w:tc>
          <w:tcPr>
            <w:tcW w:w="3686" w:type="dxa"/>
          </w:tcPr>
          <w:p w:rsidR="00FE00C4" w:rsidP="0029303C" w:rsidRDefault="00FE00C4" w14:paraId="6A9BA8B2" w14:textId="77777777"/>
        </w:tc>
        <w:tc>
          <w:tcPr>
            <w:tcW w:w="3764" w:type="dxa"/>
          </w:tcPr>
          <w:p w:rsidR="00FE00C4" w:rsidP="0029303C" w:rsidRDefault="00FE00C4" w14:paraId="70A39AB7" w14:textId="77777777"/>
        </w:tc>
      </w:tr>
      <w:tr w:rsidR="00180A85" w:rsidTr="00A70653" w14:paraId="35B11505" w14:textId="77777777">
        <w:tc>
          <w:tcPr>
            <w:tcW w:w="534" w:type="dxa"/>
          </w:tcPr>
          <w:p w:rsidRPr="00835743" w:rsidR="00180A85" w:rsidP="0050149F" w:rsidRDefault="00180A85" w14:paraId="2F766C4F" w14:textId="77777777">
            <w:pPr>
              <w:pStyle w:val="Lijstalinea"/>
              <w:numPr>
                <w:ilvl w:val="0"/>
                <w:numId w:val="3"/>
              </w:numPr>
            </w:pPr>
          </w:p>
        </w:tc>
        <w:tc>
          <w:tcPr>
            <w:tcW w:w="2331" w:type="dxa"/>
          </w:tcPr>
          <w:p w:rsidRPr="00835743" w:rsidR="00180A85" w:rsidP="0029303C" w:rsidRDefault="00180A85" w14:paraId="6D25DB01" w14:textId="77777777"/>
        </w:tc>
        <w:tc>
          <w:tcPr>
            <w:tcW w:w="5386" w:type="dxa"/>
          </w:tcPr>
          <w:p w:rsidR="00180A85" w:rsidP="00BF39F7" w:rsidRDefault="00180A85" w14:paraId="3C63F4E0" w14:textId="77777777">
            <w:r>
              <w:t>Er wordt geen onderscheid gemaakt tussen zware en lichte inreisverboden.</w:t>
            </w:r>
          </w:p>
          <w:p w:rsidR="00180A85" w:rsidP="00180A85" w:rsidRDefault="00180A85" w14:paraId="59FBD996" w14:textId="3589CED3">
            <w:pPr>
              <w:pStyle w:val="Lijstalinea"/>
              <w:numPr>
                <w:ilvl w:val="0"/>
                <w:numId w:val="11"/>
              </w:numPr>
            </w:pPr>
            <w:r>
              <w:t xml:space="preserve">Voor oplegging van een licht inreisverbod geldt niet de eis dat aan het </w:t>
            </w:r>
            <w:proofErr w:type="spellStart"/>
            <w:r>
              <w:t>zweare</w:t>
            </w:r>
            <w:proofErr w:type="spellEnd"/>
            <w:r>
              <w:t xml:space="preserve"> openbare orde-criterium is voldaan; het niet voldoen aan de terugkeerverplichting kan al een reden zijn om een </w:t>
            </w:r>
            <w:proofErr w:type="spellStart"/>
            <w:r>
              <w:t>inreisverbor</w:t>
            </w:r>
            <w:proofErr w:type="spellEnd"/>
            <w:r>
              <w:t xml:space="preserve"> op te leggen (art. 11 Terugkeerrichtlijn). Zo wordt het ook </w:t>
            </w:r>
            <w:proofErr w:type="spellStart"/>
            <w:r>
              <w:t>uitgeletgd</w:t>
            </w:r>
            <w:proofErr w:type="spellEnd"/>
            <w:r>
              <w:t xml:space="preserve"> in de uitspraak in voetnoot 21.</w:t>
            </w:r>
          </w:p>
          <w:p w:rsidR="00180A85" w:rsidP="00180A85" w:rsidRDefault="00180A85" w14:paraId="153B9949" w14:textId="77777777">
            <w:pPr>
              <w:pStyle w:val="Lijstalinea"/>
              <w:numPr>
                <w:ilvl w:val="0"/>
                <w:numId w:val="11"/>
              </w:numPr>
            </w:pPr>
            <w:r>
              <w:t>Bij de schets van de ontwikkeling van het aantal inreisverboden wordt alleen de afname van het aantal zware inreisverboden beschreven maar niet het (mogelijk complementair gegroeide) aantal lichte inreisverboden.</w:t>
            </w:r>
          </w:p>
          <w:p w:rsidR="00180A85" w:rsidP="00180A85" w:rsidRDefault="00180A85" w14:paraId="604F9A11" w14:textId="4CF24EBC">
            <w:pPr>
              <w:pStyle w:val="Lijstalinea"/>
              <w:numPr>
                <w:ilvl w:val="0"/>
                <w:numId w:val="11"/>
              </w:numPr>
            </w:pPr>
            <w:r>
              <w:t xml:space="preserve">Er is niet aangegeven waarom kennelijk enkel de zware inreisverboden als voorheen effectief middel worden gezien, met het oog waarop de ongewenstverklaring nu als alternatief wordt voorgesteld.  </w:t>
            </w:r>
          </w:p>
        </w:tc>
        <w:tc>
          <w:tcPr>
            <w:tcW w:w="3686" w:type="dxa"/>
          </w:tcPr>
          <w:p w:rsidR="00180A85" w:rsidP="0029303C" w:rsidRDefault="00180A85" w14:paraId="68D65CCF" w14:textId="77777777"/>
        </w:tc>
        <w:tc>
          <w:tcPr>
            <w:tcW w:w="3764" w:type="dxa"/>
          </w:tcPr>
          <w:p w:rsidR="00180A85" w:rsidP="0029303C" w:rsidRDefault="00180A85" w14:paraId="02B35ADA" w14:textId="77777777"/>
        </w:tc>
      </w:tr>
      <w:tr w:rsidR="00180A85" w:rsidTr="00A70653" w14:paraId="5155E6DB" w14:textId="77777777">
        <w:tc>
          <w:tcPr>
            <w:tcW w:w="534" w:type="dxa"/>
          </w:tcPr>
          <w:p w:rsidRPr="00835743" w:rsidR="00180A85" w:rsidP="0050149F" w:rsidRDefault="00180A85" w14:paraId="44E1A22C" w14:textId="77777777">
            <w:pPr>
              <w:pStyle w:val="Lijstalinea"/>
              <w:numPr>
                <w:ilvl w:val="0"/>
                <w:numId w:val="3"/>
              </w:numPr>
            </w:pPr>
          </w:p>
        </w:tc>
        <w:tc>
          <w:tcPr>
            <w:tcW w:w="2331" w:type="dxa"/>
          </w:tcPr>
          <w:p w:rsidRPr="00835743" w:rsidR="00180A85" w:rsidP="0029303C" w:rsidRDefault="00180A85" w14:paraId="1F17599D" w14:textId="77777777"/>
        </w:tc>
        <w:tc>
          <w:tcPr>
            <w:tcW w:w="5386" w:type="dxa"/>
          </w:tcPr>
          <w:p w:rsidR="00180A85" w:rsidP="00BF39F7" w:rsidRDefault="00180A85" w14:paraId="5DD59787" w14:textId="5EEE91BF">
            <w:r>
              <w:t>E</w:t>
            </w:r>
            <w:r w:rsidR="00796C22">
              <w:t>r</w:t>
            </w:r>
            <w:r>
              <w:t xml:space="preserve"> is niet </w:t>
            </w:r>
            <w:r w:rsidR="00796C22">
              <w:t xml:space="preserve">beschreven </w:t>
            </w:r>
            <w:r>
              <w:t xml:space="preserve">of en in welke mate personen die zich </w:t>
            </w:r>
            <w:r w:rsidR="00796C22">
              <w:t xml:space="preserve">toch </w:t>
            </w:r>
            <w:r>
              <w:t xml:space="preserve">al schuldig maken aan strafbare feiten, afgeschrikt zullen worden wanneer hun verblijf als zodanig strafbaar zou zijn. Het lijkt er op alsof </w:t>
            </w:r>
            <w:r w:rsidR="00796C22">
              <w:t xml:space="preserve">aan </w:t>
            </w:r>
            <w:r>
              <w:t xml:space="preserve">de extra bestraffingsmogelijkheid die daarvan het gevolg is </w:t>
            </w:r>
            <w:r w:rsidR="00796C22">
              <w:t xml:space="preserve">een positief effect wordt toegedacht. </w:t>
            </w:r>
            <w:r w:rsidR="00911B89">
              <w:t xml:space="preserve">In de toelichting lijkt voetstoots te worden aangenomen dat een strafrechtelijke vervolging wegens verblijf in strijd met een ongewenstverklaring tot oplegging van een vrijheidsstraf zal gaan leiden. </w:t>
            </w:r>
            <w:r w:rsidR="00796C22">
              <w:t xml:space="preserve">Maar wat als de bestraffing in de praktijk zou bestaan uit oplegging van een niet-inbare geldboete? En omgekeerd: als verwacht wordt dat vrijheidsbeneming zal volgen, wat zijn de effecten daarvan op de detentieketen die al overbelast was? </w:t>
            </w:r>
          </w:p>
        </w:tc>
        <w:tc>
          <w:tcPr>
            <w:tcW w:w="3686" w:type="dxa"/>
          </w:tcPr>
          <w:p w:rsidR="00180A85" w:rsidP="0029303C" w:rsidRDefault="00180A85" w14:paraId="6622F86C" w14:textId="77777777"/>
        </w:tc>
        <w:tc>
          <w:tcPr>
            <w:tcW w:w="3764" w:type="dxa"/>
          </w:tcPr>
          <w:p w:rsidR="00180A85" w:rsidP="0029303C" w:rsidRDefault="00180A85" w14:paraId="66A13407" w14:textId="77777777"/>
        </w:tc>
      </w:tr>
      <w:tr w:rsidR="00796C22" w:rsidTr="00A70653" w14:paraId="012FA476" w14:textId="77777777">
        <w:tc>
          <w:tcPr>
            <w:tcW w:w="534" w:type="dxa"/>
          </w:tcPr>
          <w:p w:rsidRPr="00835743" w:rsidR="00796C22" w:rsidP="0050149F" w:rsidRDefault="00796C22" w14:paraId="5F084D84" w14:textId="77777777">
            <w:pPr>
              <w:pStyle w:val="Lijstalinea"/>
              <w:numPr>
                <w:ilvl w:val="0"/>
                <w:numId w:val="3"/>
              </w:numPr>
            </w:pPr>
          </w:p>
        </w:tc>
        <w:tc>
          <w:tcPr>
            <w:tcW w:w="2331" w:type="dxa"/>
          </w:tcPr>
          <w:p w:rsidRPr="00835743" w:rsidR="00796C22" w:rsidP="0029303C" w:rsidRDefault="00796C22" w14:paraId="5C92A67B" w14:textId="77777777"/>
        </w:tc>
        <w:tc>
          <w:tcPr>
            <w:tcW w:w="5386" w:type="dxa"/>
          </w:tcPr>
          <w:p w:rsidR="00796C22" w:rsidP="00BF39F7" w:rsidRDefault="00796C22" w14:paraId="01099B3F" w14:textId="71EA306E">
            <w:r>
              <w:t xml:space="preserve">Ook voor deze maatregel is raming van de gevolgen voor de rechterlijke macht van groot belang.  </w:t>
            </w:r>
          </w:p>
        </w:tc>
        <w:tc>
          <w:tcPr>
            <w:tcW w:w="3686" w:type="dxa"/>
          </w:tcPr>
          <w:p w:rsidR="00796C22" w:rsidP="0029303C" w:rsidRDefault="00796C22" w14:paraId="68957C34" w14:textId="77777777"/>
        </w:tc>
        <w:tc>
          <w:tcPr>
            <w:tcW w:w="3764" w:type="dxa"/>
          </w:tcPr>
          <w:p w:rsidR="00796C22" w:rsidP="0029303C" w:rsidRDefault="00796C22" w14:paraId="49CAB933" w14:textId="77777777"/>
        </w:tc>
      </w:tr>
      <w:tr w:rsidR="00E63CAA" w:rsidTr="00A70653" w14:paraId="74541255" w14:textId="77777777">
        <w:tc>
          <w:tcPr>
            <w:tcW w:w="534" w:type="dxa"/>
          </w:tcPr>
          <w:p w:rsidRPr="00835743" w:rsidR="00E63CAA" w:rsidP="0050149F" w:rsidRDefault="00E63CAA" w14:paraId="05FB333D" w14:textId="77777777">
            <w:pPr>
              <w:pStyle w:val="Lijstalinea"/>
              <w:numPr>
                <w:ilvl w:val="0"/>
                <w:numId w:val="3"/>
              </w:numPr>
            </w:pPr>
          </w:p>
        </w:tc>
        <w:tc>
          <w:tcPr>
            <w:tcW w:w="2331" w:type="dxa"/>
          </w:tcPr>
          <w:p w:rsidR="00E63CAA" w:rsidP="0029303C" w:rsidRDefault="00E63CAA" w14:paraId="10E95C51" w14:textId="0D728B0E">
            <w:r>
              <w:t>Afschaffen voornemenprocedure</w:t>
            </w:r>
          </w:p>
        </w:tc>
        <w:tc>
          <w:tcPr>
            <w:tcW w:w="5386" w:type="dxa"/>
          </w:tcPr>
          <w:p w:rsidR="00E63CAA" w:rsidP="00BF39F7" w:rsidRDefault="00E63CAA" w14:paraId="638748E5" w14:textId="5E085FDB">
            <w:r>
              <w:t xml:space="preserve">Deze procedure is ingevoerd om een efficiënter beslisproces mogelijk te maken zodat bezwaren/beroepen voorkomen kunnen worden of minder vaak gegrond verklaard zullen worden. Tegenover de versnelling van het afschaffen staat de complicatie van onvoldoende onderbouwde beslissingen. Waarom zou die complicatie nu </w:t>
            </w:r>
            <w:r>
              <w:lastRenderedPageBreak/>
              <w:t xml:space="preserve">minder zwaar wegen dan toen de procedure werd ingevoerd? </w:t>
            </w:r>
          </w:p>
        </w:tc>
        <w:tc>
          <w:tcPr>
            <w:tcW w:w="3686" w:type="dxa"/>
          </w:tcPr>
          <w:p w:rsidR="00E63CAA" w:rsidP="0029303C" w:rsidRDefault="00E63CAA" w14:paraId="58045F3E" w14:textId="77777777"/>
        </w:tc>
        <w:tc>
          <w:tcPr>
            <w:tcW w:w="3764" w:type="dxa"/>
          </w:tcPr>
          <w:p w:rsidR="00E63CAA" w:rsidP="0029303C" w:rsidRDefault="00E63CAA" w14:paraId="3AC6B680" w14:textId="77777777"/>
        </w:tc>
      </w:tr>
      <w:tr w:rsidR="008B4862" w:rsidTr="00A70653" w14:paraId="3475A77A" w14:textId="77777777">
        <w:tc>
          <w:tcPr>
            <w:tcW w:w="534" w:type="dxa"/>
          </w:tcPr>
          <w:p w:rsidRPr="00835743" w:rsidR="008B4862" w:rsidP="0050149F" w:rsidRDefault="008B4862" w14:paraId="3FCB328D" w14:textId="77777777">
            <w:pPr>
              <w:pStyle w:val="Lijstalinea"/>
              <w:numPr>
                <w:ilvl w:val="0"/>
                <w:numId w:val="3"/>
              </w:numPr>
            </w:pPr>
          </w:p>
        </w:tc>
        <w:tc>
          <w:tcPr>
            <w:tcW w:w="2331" w:type="dxa"/>
          </w:tcPr>
          <w:p w:rsidR="008B4862" w:rsidP="0029303C" w:rsidRDefault="008B4862" w14:paraId="715F2296" w14:textId="753C5B1D">
            <w:r>
              <w:t>Beperking nareismogelijkheden</w:t>
            </w:r>
          </w:p>
        </w:tc>
        <w:tc>
          <w:tcPr>
            <w:tcW w:w="5386" w:type="dxa"/>
          </w:tcPr>
          <w:p w:rsidR="008B4862" w:rsidP="00BF39F7" w:rsidRDefault="008B4862" w14:paraId="69BECCC0" w14:textId="62F7AF63">
            <w:r>
              <w:t>Dit wordt ook geregeld in het voorstel tot w</w:t>
            </w:r>
            <w:r w:rsidRPr="008B4862">
              <w:t>ijziging van de Vreemdelingenwet 2000 in verband met de introductie van een tweestatusstelsel en het aanscherpen van de vereisten bij nareis</w:t>
            </w:r>
            <w:r>
              <w:t xml:space="preserve">. Daar wordt het overigens inhoudelijk anders geregeld (meereis en nareis binnen 3 maanden wordt daarin wel toegelaten). Waarom is nog onduidelijk hoe en in </w:t>
            </w:r>
            <w:proofErr w:type="spellStart"/>
            <w:r>
              <w:t>in</w:t>
            </w:r>
            <w:proofErr w:type="spellEnd"/>
            <w:r>
              <w:t xml:space="preserve"> welk voorstel dit punt geregeld gaat worden? </w:t>
            </w:r>
          </w:p>
        </w:tc>
        <w:tc>
          <w:tcPr>
            <w:tcW w:w="3686" w:type="dxa"/>
          </w:tcPr>
          <w:p w:rsidR="008B4862" w:rsidP="0029303C" w:rsidRDefault="008B4862" w14:paraId="57C1D01E" w14:textId="77777777"/>
        </w:tc>
        <w:tc>
          <w:tcPr>
            <w:tcW w:w="3764" w:type="dxa"/>
          </w:tcPr>
          <w:p w:rsidR="008B4862" w:rsidP="0029303C" w:rsidRDefault="008B4862" w14:paraId="4159FE18" w14:textId="77777777"/>
        </w:tc>
      </w:tr>
      <w:tr w:rsidR="008B4862" w:rsidTr="00A70653" w14:paraId="66F677F6" w14:textId="77777777">
        <w:tc>
          <w:tcPr>
            <w:tcW w:w="534" w:type="dxa"/>
          </w:tcPr>
          <w:p w:rsidRPr="00835743" w:rsidR="008B4862" w:rsidP="0050149F" w:rsidRDefault="008B4862" w14:paraId="2A756424" w14:textId="77777777">
            <w:pPr>
              <w:pStyle w:val="Lijstalinea"/>
              <w:numPr>
                <w:ilvl w:val="0"/>
                <w:numId w:val="3"/>
              </w:numPr>
            </w:pPr>
          </w:p>
        </w:tc>
        <w:tc>
          <w:tcPr>
            <w:tcW w:w="2331" w:type="dxa"/>
          </w:tcPr>
          <w:p w:rsidR="008B4862" w:rsidP="0029303C" w:rsidRDefault="008B4862" w14:paraId="748F84D4" w14:textId="6AF3A728">
            <w:r>
              <w:t>Efficiëntere behandeling (herhaalde) aanvragen</w:t>
            </w:r>
          </w:p>
        </w:tc>
        <w:tc>
          <w:tcPr>
            <w:tcW w:w="5386" w:type="dxa"/>
          </w:tcPr>
          <w:p w:rsidR="008B4862" w:rsidP="00BF39F7" w:rsidRDefault="008B4862" w14:paraId="40E7AB5B" w14:textId="6A4A7DED">
            <w:r>
              <w:t>Zie de opmerkingen die eerder gemaakt zijn bij het ontwerp voor een nood-amvb (m.n. strijdigheid met EU-recht op het punt van kwalificatie ‘ongegrond’, behandelwijze van herhaalde aanvragen etc.)</w:t>
            </w:r>
          </w:p>
        </w:tc>
        <w:tc>
          <w:tcPr>
            <w:tcW w:w="3686" w:type="dxa"/>
          </w:tcPr>
          <w:p w:rsidR="008B4862" w:rsidP="0029303C" w:rsidRDefault="008B4862" w14:paraId="12A5A318" w14:textId="77777777"/>
        </w:tc>
        <w:tc>
          <w:tcPr>
            <w:tcW w:w="3764" w:type="dxa"/>
          </w:tcPr>
          <w:p w:rsidR="008B4862" w:rsidP="0029303C" w:rsidRDefault="008B4862" w14:paraId="776E8BCF" w14:textId="77777777"/>
        </w:tc>
      </w:tr>
      <w:tr w:rsidR="00E63CAA" w:rsidTr="00A70653" w14:paraId="744265A5" w14:textId="77777777">
        <w:tc>
          <w:tcPr>
            <w:tcW w:w="534" w:type="dxa"/>
          </w:tcPr>
          <w:p w:rsidRPr="00835743" w:rsidR="00E63CAA" w:rsidP="0050149F" w:rsidRDefault="00E63CAA" w14:paraId="17A512B7" w14:textId="77777777">
            <w:pPr>
              <w:pStyle w:val="Lijstalinea"/>
              <w:numPr>
                <w:ilvl w:val="0"/>
                <w:numId w:val="3"/>
              </w:numPr>
            </w:pPr>
          </w:p>
        </w:tc>
        <w:tc>
          <w:tcPr>
            <w:tcW w:w="2331" w:type="dxa"/>
          </w:tcPr>
          <w:p w:rsidRPr="00835743" w:rsidR="00E63CAA" w:rsidP="0029303C" w:rsidRDefault="00E63CAA" w14:paraId="32CBA7B6" w14:textId="318A4EB5">
            <w:r>
              <w:t>Nieuw artikel 68, eerste lid</w:t>
            </w:r>
          </w:p>
        </w:tc>
        <w:tc>
          <w:tcPr>
            <w:tcW w:w="5386" w:type="dxa"/>
          </w:tcPr>
          <w:p w:rsidR="00E63CAA" w:rsidP="00BF39F7" w:rsidRDefault="00E63CAA" w14:paraId="49EDB18E" w14:textId="6ABD4C0E">
            <w:r>
              <w:t xml:space="preserve">‘Ambtshalve of wegens gewijzigde omstandigheden dan wel op aanvraag van de vreemdeling’: dat </w:t>
            </w:r>
            <w:proofErr w:type="spellStart"/>
            <w:r>
              <w:t>lkijkt</w:t>
            </w:r>
            <w:proofErr w:type="spellEnd"/>
            <w:r>
              <w:t xml:space="preserve"> niet te kloppen. Ambtshalve is de tegenstelling van ‘op aanvraag van de vreemdeling’ maar wat de tussenvoeging ‘wegens gewijzigde omstandigheden’ daar te zoeken heeft is onduidelijk. Was soms bedoeld ‘ambtshalve wegens gewijzigde omstandigheden’? </w:t>
            </w:r>
          </w:p>
        </w:tc>
        <w:tc>
          <w:tcPr>
            <w:tcW w:w="3686" w:type="dxa"/>
          </w:tcPr>
          <w:p w:rsidR="00E63CAA" w:rsidP="0029303C" w:rsidRDefault="00E63CAA" w14:paraId="3EC17685" w14:textId="77777777"/>
        </w:tc>
        <w:tc>
          <w:tcPr>
            <w:tcW w:w="3764" w:type="dxa"/>
          </w:tcPr>
          <w:p w:rsidR="00E63CAA" w:rsidP="0029303C" w:rsidRDefault="00E63CAA" w14:paraId="1EEC8F4E" w14:textId="77777777"/>
        </w:tc>
      </w:tr>
      <w:tr w:rsidR="00082236" w:rsidTr="00A70653" w14:paraId="69F75543" w14:textId="77777777">
        <w:tc>
          <w:tcPr>
            <w:tcW w:w="534" w:type="dxa"/>
          </w:tcPr>
          <w:p w:rsidRPr="00835743" w:rsidR="00082236" w:rsidP="0050149F" w:rsidRDefault="00082236" w14:paraId="59DCED85" w14:textId="77777777">
            <w:pPr>
              <w:pStyle w:val="Lijstalinea"/>
              <w:numPr>
                <w:ilvl w:val="0"/>
                <w:numId w:val="3"/>
              </w:numPr>
            </w:pPr>
          </w:p>
        </w:tc>
        <w:tc>
          <w:tcPr>
            <w:tcW w:w="2331" w:type="dxa"/>
          </w:tcPr>
          <w:p w:rsidRPr="00835743" w:rsidR="00082236" w:rsidP="0029303C" w:rsidRDefault="00614DE2" w14:paraId="0B90EA13" w14:textId="58AEB710">
            <w:r>
              <w:t xml:space="preserve">Overgangsrecht </w:t>
            </w:r>
            <w:r>
              <w:br/>
            </w:r>
            <w:r w:rsidR="00082236">
              <w:t>Artikel V, onderdeel a</w:t>
            </w:r>
          </w:p>
        </w:tc>
        <w:tc>
          <w:tcPr>
            <w:tcW w:w="5386" w:type="dxa"/>
          </w:tcPr>
          <w:p w:rsidR="00082236" w:rsidP="00BF39F7" w:rsidRDefault="00082236" w14:paraId="51709DD0" w14:textId="11472AEF">
            <w:r w:rsidRPr="00082236">
              <w:t>Dit kan niet kloppen. In de beschreven situatie is artikel I onderdeel C al uitgewerkt (de wijzigingen zijn doorgevoerd in de doelwet) en heeft wijziging daarvan geen effect meer. Wat je moet doen is de doelwetbepalingen die door I onderdeel C zijn gewijzigd, opnieuw wijzigen om het gewenste eindresultaat te bereiken.</w:t>
            </w:r>
          </w:p>
        </w:tc>
        <w:tc>
          <w:tcPr>
            <w:tcW w:w="3686" w:type="dxa"/>
          </w:tcPr>
          <w:p w:rsidR="00082236" w:rsidP="0029303C" w:rsidRDefault="00082236" w14:paraId="68631644" w14:textId="77777777"/>
        </w:tc>
        <w:tc>
          <w:tcPr>
            <w:tcW w:w="3764" w:type="dxa"/>
          </w:tcPr>
          <w:p w:rsidR="00082236" w:rsidP="0029303C" w:rsidRDefault="00082236" w14:paraId="3C5A2983" w14:textId="77777777"/>
        </w:tc>
      </w:tr>
      <w:tr w:rsidR="00082236" w:rsidTr="00A70653" w14:paraId="0BD25A8F" w14:textId="77777777">
        <w:tc>
          <w:tcPr>
            <w:tcW w:w="534" w:type="dxa"/>
          </w:tcPr>
          <w:p w:rsidRPr="00835743" w:rsidR="00082236" w:rsidP="0050149F" w:rsidRDefault="00082236" w14:paraId="1CC73BEB" w14:textId="77777777">
            <w:pPr>
              <w:pStyle w:val="Lijstalinea"/>
              <w:numPr>
                <w:ilvl w:val="0"/>
                <w:numId w:val="3"/>
              </w:numPr>
            </w:pPr>
          </w:p>
        </w:tc>
        <w:tc>
          <w:tcPr>
            <w:tcW w:w="2331" w:type="dxa"/>
          </w:tcPr>
          <w:p w:rsidR="00082236" w:rsidP="0029303C" w:rsidRDefault="00082236" w14:paraId="22527054" w14:textId="04F3C566">
            <w:r>
              <w:t>Artikel V, onderdeel b:</w:t>
            </w:r>
          </w:p>
        </w:tc>
        <w:tc>
          <w:tcPr>
            <w:tcW w:w="5386" w:type="dxa"/>
          </w:tcPr>
          <w:p w:rsidRPr="00082236" w:rsidR="00082236" w:rsidP="00BF39F7" w:rsidRDefault="00082236" w14:paraId="4FAC04B5" w14:textId="29C4C593">
            <w:r w:rsidRPr="00082236">
              <w:t xml:space="preserve">Heel formeel: </w:t>
            </w:r>
            <w:r>
              <w:t xml:space="preserve">niet alleen artikel I onderdeel O maar </w:t>
            </w:r>
            <w:r w:rsidRPr="00082236">
              <w:t xml:space="preserve">ook artikel V van deze wet moet in werking zijn getreden vóór de inwerkingtreding van </w:t>
            </w:r>
            <w:r>
              <w:t xml:space="preserve">het aangewezen </w:t>
            </w:r>
            <w:r w:rsidRPr="00082236">
              <w:t xml:space="preserve">artikel I, onderdeel C om het beoogde effect te bereiken. Dat </w:t>
            </w:r>
            <w:r>
              <w:t xml:space="preserve">hoeft niet </w:t>
            </w:r>
            <w:r w:rsidRPr="00082236">
              <w:t xml:space="preserve">als voorwaarde </w:t>
            </w:r>
            <w:r>
              <w:t xml:space="preserve">geëxpliciteerd te worden </w:t>
            </w:r>
            <w:r w:rsidRPr="00082236">
              <w:t>in een bepaling als deze maar je moet er wel op letten dat bij de inwerkingtreding van deze wet artikel V gelijktijdig met artikel I onderdeel O in werking wordt gesteld, dus niet pas later.</w:t>
            </w:r>
          </w:p>
        </w:tc>
        <w:tc>
          <w:tcPr>
            <w:tcW w:w="3686" w:type="dxa"/>
          </w:tcPr>
          <w:p w:rsidR="00082236" w:rsidP="0029303C" w:rsidRDefault="00082236" w14:paraId="153D6474" w14:textId="77777777"/>
        </w:tc>
        <w:tc>
          <w:tcPr>
            <w:tcW w:w="3764" w:type="dxa"/>
          </w:tcPr>
          <w:p w:rsidR="00082236" w:rsidP="0029303C" w:rsidRDefault="00082236" w14:paraId="6F4381AA" w14:textId="77777777"/>
        </w:tc>
      </w:tr>
    </w:tbl>
    <w:p w:rsidR="005A7F5D" w:rsidRDefault="005A7F5D" w14:paraId="2EE67784" w14:textId="77777777">
      <w:pPr>
        <w:spacing w:after="200" w:line="276" w:lineRule="auto"/>
        <w:contextualSpacing w:val="0"/>
      </w:pPr>
    </w:p>
    <w:sectPr w:rsidR="005A7F5D" w:rsidSect="00BE7412">
      <w:footerReference w:type="default" r:id="rId8"/>
      <w:pgSz w:w="16838" w:h="11906" w:orient="landscape"/>
      <w:pgMar w:top="1418" w:right="709"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F65B5" w14:textId="77777777" w:rsidR="00F35B5E" w:rsidRDefault="00F35B5E">
      <w:r>
        <w:separator/>
      </w:r>
    </w:p>
  </w:endnote>
  <w:endnote w:type="continuationSeparator" w:id="0">
    <w:p w14:paraId="74048894" w14:textId="77777777" w:rsidR="00F35B5E" w:rsidRDefault="00F3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449907"/>
      <w:docPartObj>
        <w:docPartGallery w:val="Page Numbers (Bottom of Page)"/>
        <w:docPartUnique/>
      </w:docPartObj>
    </w:sdtPr>
    <w:sdtEndPr/>
    <w:sdtContent>
      <w:p w14:paraId="6840CBA1" w14:textId="223078FC" w:rsidR="00EC0EDA" w:rsidRDefault="00EC0EDA">
        <w:pPr>
          <w:pStyle w:val="Voettekst"/>
          <w:jc w:val="right"/>
        </w:pPr>
        <w:r>
          <w:fldChar w:fldCharType="begin"/>
        </w:r>
        <w:r>
          <w:instrText>PAGE   \* MERGEFORMAT</w:instrText>
        </w:r>
        <w:r>
          <w:fldChar w:fldCharType="separate"/>
        </w:r>
        <w:r w:rsidR="00BE5A94">
          <w:rPr>
            <w:noProof/>
          </w:rPr>
          <w:t>1</w:t>
        </w:r>
        <w:r>
          <w:fldChar w:fldCharType="end"/>
        </w:r>
      </w:p>
    </w:sdtContent>
  </w:sdt>
  <w:p w14:paraId="18D0D787" w14:textId="77777777" w:rsidR="00EC0EDA" w:rsidRDefault="00EC0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C167" w14:textId="77777777" w:rsidR="00F35B5E" w:rsidRDefault="00F35B5E">
      <w:r>
        <w:separator/>
      </w:r>
    </w:p>
  </w:footnote>
  <w:footnote w:type="continuationSeparator" w:id="0">
    <w:p w14:paraId="674373ED" w14:textId="77777777" w:rsidR="00F35B5E" w:rsidRDefault="00F3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7E23"/>
    <w:multiLevelType w:val="hybridMultilevel"/>
    <w:tmpl w:val="6890E5B4"/>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130001">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0556D"/>
    <w:multiLevelType w:val="hybridMultilevel"/>
    <w:tmpl w:val="1C5EA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EC7888"/>
    <w:multiLevelType w:val="hybridMultilevel"/>
    <w:tmpl w:val="9AE033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E711D9"/>
    <w:multiLevelType w:val="hybridMultilevel"/>
    <w:tmpl w:val="CCC8AE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854FF4"/>
    <w:multiLevelType w:val="hybridMultilevel"/>
    <w:tmpl w:val="1CD0BF02"/>
    <w:lvl w:ilvl="0" w:tplc="04130001">
      <w:start w:val="1"/>
      <w:numFmt w:val="bullet"/>
      <w:lvlText w:val=""/>
      <w:lvlJc w:val="left"/>
      <w:pPr>
        <w:ind w:left="360" w:hanging="360"/>
      </w:pPr>
      <w:rPr>
        <w:rFonts w:ascii="Symbol" w:hAnsi="Symbol" w:hint="default"/>
      </w:rPr>
    </w:lvl>
    <w:lvl w:ilvl="1" w:tplc="FFFFFFFF">
      <w:numFmt w:val="bullet"/>
      <w:lvlText w:val="-"/>
      <w:lvlJc w:val="left"/>
      <w:pPr>
        <w:ind w:left="1485" w:hanging="765"/>
      </w:pPr>
      <w:rPr>
        <w:rFonts w:ascii="Verdana" w:eastAsia="PMingLiU" w:hAnsi="Verdana"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572707E"/>
    <w:multiLevelType w:val="hybridMultilevel"/>
    <w:tmpl w:val="E1FACC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75714D4"/>
    <w:multiLevelType w:val="hybridMultilevel"/>
    <w:tmpl w:val="614C04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ED74F6"/>
    <w:multiLevelType w:val="hybridMultilevel"/>
    <w:tmpl w:val="BE7A01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0" w15:restartNumberingAfterBreak="0">
    <w:nsid w:val="595A185C"/>
    <w:multiLevelType w:val="hybridMultilevel"/>
    <w:tmpl w:val="967C8E9E"/>
    <w:lvl w:ilvl="0" w:tplc="0413000F">
      <w:start w:val="1"/>
      <w:numFmt w:val="decimal"/>
      <w:lvlText w:val="%1."/>
      <w:lvlJc w:val="left"/>
      <w:pPr>
        <w:ind w:left="360" w:hanging="360"/>
      </w:pPr>
    </w:lvl>
    <w:lvl w:ilvl="1" w:tplc="AD0ADD98">
      <w:numFmt w:val="bullet"/>
      <w:lvlText w:val="-"/>
      <w:lvlJc w:val="left"/>
      <w:pPr>
        <w:ind w:left="1485" w:hanging="765"/>
      </w:pPr>
      <w:rPr>
        <w:rFonts w:ascii="Verdana" w:eastAsia="PMingLiU"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75837675">
    <w:abstractNumId w:val="9"/>
  </w:num>
  <w:num w:numId="2" w16cid:durableId="1513033113">
    <w:abstractNumId w:val="1"/>
  </w:num>
  <w:num w:numId="3" w16cid:durableId="1001815481">
    <w:abstractNumId w:val="10"/>
  </w:num>
  <w:num w:numId="4" w16cid:durableId="287397555">
    <w:abstractNumId w:val="8"/>
  </w:num>
  <w:num w:numId="5" w16cid:durableId="769931198">
    <w:abstractNumId w:val="0"/>
  </w:num>
  <w:num w:numId="6" w16cid:durableId="1994065384">
    <w:abstractNumId w:val="7"/>
  </w:num>
  <w:num w:numId="7" w16cid:durableId="1345783132">
    <w:abstractNumId w:val="6"/>
  </w:num>
  <w:num w:numId="8" w16cid:durableId="774641355">
    <w:abstractNumId w:val="4"/>
  </w:num>
  <w:num w:numId="9" w16cid:durableId="1625649219">
    <w:abstractNumId w:val="2"/>
  </w:num>
  <w:num w:numId="10" w16cid:durableId="366225937">
    <w:abstractNumId w:val="5"/>
  </w:num>
  <w:num w:numId="11" w16cid:durableId="188452017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50"/>
    <w:rsid w:val="00002037"/>
    <w:rsid w:val="000036E2"/>
    <w:rsid w:val="00006C73"/>
    <w:rsid w:val="0000782E"/>
    <w:rsid w:val="000129D5"/>
    <w:rsid w:val="00022DF5"/>
    <w:rsid w:val="000236E6"/>
    <w:rsid w:val="00032413"/>
    <w:rsid w:val="00032C05"/>
    <w:rsid w:val="000370E1"/>
    <w:rsid w:val="000403E6"/>
    <w:rsid w:val="0004221E"/>
    <w:rsid w:val="0004312F"/>
    <w:rsid w:val="00053F23"/>
    <w:rsid w:val="00063146"/>
    <w:rsid w:val="00064E3D"/>
    <w:rsid w:val="00066E36"/>
    <w:rsid w:val="00067B10"/>
    <w:rsid w:val="00071E26"/>
    <w:rsid w:val="00082236"/>
    <w:rsid w:val="000864B6"/>
    <w:rsid w:val="00096AF5"/>
    <w:rsid w:val="00097AE4"/>
    <w:rsid w:val="000A2361"/>
    <w:rsid w:val="000A4000"/>
    <w:rsid w:val="000B2300"/>
    <w:rsid w:val="000B2863"/>
    <w:rsid w:val="000B4E79"/>
    <w:rsid w:val="000B6A88"/>
    <w:rsid w:val="000C18AF"/>
    <w:rsid w:val="000C3A71"/>
    <w:rsid w:val="000D438C"/>
    <w:rsid w:val="000E09D2"/>
    <w:rsid w:val="000E3C0F"/>
    <w:rsid w:val="000E447E"/>
    <w:rsid w:val="000F70D6"/>
    <w:rsid w:val="0010182D"/>
    <w:rsid w:val="00104CBF"/>
    <w:rsid w:val="0010599C"/>
    <w:rsid w:val="00105A93"/>
    <w:rsid w:val="00107ECC"/>
    <w:rsid w:val="00114978"/>
    <w:rsid w:val="00114E0A"/>
    <w:rsid w:val="001162D4"/>
    <w:rsid w:val="001222EC"/>
    <w:rsid w:val="00127454"/>
    <w:rsid w:val="00130A4D"/>
    <w:rsid w:val="00134A5D"/>
    <w:rsid w:val="00141479"/>
    <w:rsid w:val="0014671B"/>
    <w:rsid w:val="001718E6"/>
    <w:rsid w:val="00173554"/>
    <w:rsid w:val="00176E47"/>
    <w:rsid w:val="00180A85"/>
    <w:rsid w:val="00184A38"/>
    <w:rsid w:val="0019022E"/>
    <w:rsid w:val="00196AD5"/>
    <w:rsid w:val="001A608A"/>
    <w:rsid w:val="001B0E56"/>
    <w:rsid w:val="001B2468"/>
    <w:rsid w:val="001B5205"/>
    <w:rsid w:val="001C014B"/>
    <w:rsid w:val="001D1BAE"/>
    <w:rsid w:val="001D31F3"/>
    <w:rsid w:val="001D39C0"/>
    <w:rsid w:val="001D6D29"/>
    <w:rsid w:val="001D7AE7"/>
    <w:rsid w:val="001E0B1F"/>
    <w:rsid w:val="001E4AE4"/>
    <w:rsid w:val="001E6002"/>
    <w:rsid w:val="001F053C"/>
    <w:rsid w:val="001F40A6"/>
    <w:rsid w:val="002056DA"/>
    <w:rsid w:val="00205BA6"/>
    <w:rsid w:val="00205E01"/>
    <w:rsid w:val="00213808"/>
    <w:rsid w:val="00216344"/>
    <w:rsid w:val="00217C99"/>
    <w:rsid w:val="00220B0E"/>
    <w:rsid w:val="00220E1D"/>
    <w:rsid w:val="00222142"/>
    <w:rsid w:val="00224D34"/>
    <w:rsid w:val="00230104"/>
    <w:rsid w:val="002322DB"/>
    <w:rsid w:val="00241C95"/>
    <w:rsid w:val="0025270A"/>
    <w:rsid w:val="00253E75"/>
    <w:rsid w:val="00262545"/>
    <w:rsid w:val="00262B83"/>
    <w:rsid w:val="00263385"/>
    <w:rsid w:val="00263E32"/>
    <w:rsid w:val="00272D06"/>
    <w:rsid w:val="00274783"/>
    <w:rsid w:val="00275D61"/>
    <w:rsid w:val="0029303C"/>
    <w:rsid w:val="002939F8"/>
    <w:rsid w:val="00293AC7"/>
    <w:rsid w:val="00296E47"/>
    <w:rsid w:val="002C342F"/>
    <w:rsid w:val="002C47EE"/>
    <w:rsid w:val="002D0A90"/>
    <w:rsid w:val="002D25C4"/>
    <w:rsid w:val="002D5BED"/>
    <w:rsid w:val="002D6B05"/>
    <w:rsid w:val="002E31C0"/>
    <w:rsid w:val="002F68C4"/>
    <w:rsid w:val="0030614B"/>
    <w:rsid w:val="003064C1"/>
    <w:rsid w:val="00316856"/>
    <w:rsid w:val="0032027B"/>
    <w:rsid w:val="0032210D"/>
    <w:rsid w:val="003312F4"/>
    <w:rsid w:val="00334C82"/>
    <w:rsid w:val="00335222"/>
    <w:rsid w:val="00342EF2"/>
    <w:rsid w:val="003439B6"/>
    <w:rsid w:val="00344027"/>
    <w:rsid w:val="0034534E"/>
    <w:rsid w:val="00352C78"/>
    <w:rsid w:val="00355DB4"/>
    <w:rsid w:val="00356C71"/>
    <w:rsid w:val="00357F08"/>
    <w:rsid w:val="00363F58"/>
    <w:rsid w:val="00377D63"/>
    <w:rsid w:val="0038325A"/>
    <w:rsid w:val="003877A3"/>
    <w:rsid w:val="00387F7D"/>
    <w:rsid w:val="003914B3"/>
    <w:rsid w:val="003924B3"/>
    <w:rsid w:val="00393FEA"/>
    <w:rsid w:val="003A43A9"/>
    <w:rsid w:val="003A50CF"/>
    <w:rsid w:val="003B2F80"/>
    <w:rsid w:val="003B7A28"/>
    <w:rsid w:val="003C30D2"/>
    <w:rsid w:val="003D09BF"/>
    <w:rsid w:val="003D6019"/>
    <w:rsid w:val="003D76C6"/>
    <w:rsid w:val="003F1B60"/>
    <w:rsid w:val="00400069"/>
    <w:rsid w:val="004003A2"/>
    <w:rsid w:val="0042186B"/>
    <w:rsid w:val="00422341"/>
    <w:rsid w:val="0042637F"/>
    <w:rsid w:val="00427249"/>
    <w:rsid w:val="004307E6"/>
    <w:rsid w:val="004379B4"/>
    <w:rsid w:val="004515ED"/>
    <w:rsid w:val="00456220"/>
    <w:rsid w:val="0045714D"/>
    <w:rsid w:val="00462EE6"/>
    <w:rsid w:val="00463263"/>
    <w:rsid w:val="004662DD"/>
    <w:rsid w:val="00467AE6"/>
    <w:rsid w:val="004700A4"/>
    <w:rsid w:val="0047757D"/>
    <w:rsid w:val="004841D5"/>
    <w:rsid w:val="00490C83"/>
    <w:rsid w:val="004915D8"/>
    <w:rsid w:val="004A6CCE"/>
    <w:rsid w:val="004B4DEC"/>
    <w:rsid w:val="004C1077"/>
    <w:rsid w:val="004C12A8"/>
    <w:rsid w:val="004C4F14"/>
    <w:rsid w:val="004D351A"/>
    <w:rsid w:val="004D50DB"/>
    <w:rsid w:val="004E1CB2"/>
    <w:rsid w:val="004F1D26"/>
    <w:rsid w:val="00500645"/>
    <w:rsid w:val="0050149F"/>
    <w:rsid w:val="00502270"/>
    <w:rsid w:val="005049C9"/>
    <w:rsid w:val="00506C5F"/>
    <w:rsid w:val="0051040F"/>
    <w:rsid w:val="005108E8"/>
    <w:rsid w:val="00514AE3"/>
    <w:rsid w:val="00516F2F"/>
    <w:rsid w:val="00517CBF"/>
    <w:rsid w:val="00523169"/>
    <w:rsid w:val="0052483A"/>
    <w:rsid w:val="00525F62"/>
    <w:rsid w:val="00526F75"/>
    <w:rsid w:val="005337D8"/>
    <w:rsid w:val="005367B9"/>
    <w:rsid w:val="00537FAD"/>
    <w:rsid w:val="005427E4"/>
    <w:rsid w:val="005457B8"/>
    <w:rsid w:val="00564B7B"/>
    <w:rsid w:val="0057061E"/>
    <w:rsid w:val="005752C9"/>
    <w:rsid w:val="00584F78"/>
    <w:rsid w:val="005916A9"/>
    <w:rsid w:val="00591D81"/>
    <w:rsid w:val="005A403D"/>
    <w:rsid w:val="005A5FC0"/>
    <w:rsid w:val="005A7F5D"/>
    <w:rsid w:val="005B4D4D"/>
    <w:rsid w:val="005B7673"/>
    <w:rsid w:val="005C13A9"/>
    <w:rsid w:val="005C238D"/>
    <w:rsid w:val="005C5DC0"/>
    <w:rsid w:val="005C7562"/>
    <w:rsid w:val="005D2429"/>
    <w:rsid w:val="005D2587"/>
    <w:rsid w:val="005E6493"/>
    <w:rsid w:val="005F07E5"/>
    <w:rsid w:val="006024F7"/>
    <w:rsid w:val="00614DE2"/>
    <w:rsid w:val="00616291"/>
    <w:rsid w:val="00616FDF"/>
    <w:rsid w:val="0062069A"/>
    <w:rsid w:val="006217EF"/>
    <w:rsid w:val="0062366E"/>
    <w:rsid w:val="00636BB7"/>
    <w:rsid w:val="0063759D"/>
    <w:rsid w:val="006458D3"/>
    <w:rsid w:val="00645F0A"/>
    <w:rsid w:val="00646126"/>
    <w:rsid w:val="00663517"/>
    <w:rsid w:val="00664549"/>
    <w:rsid w:val="00665F7F"/>
    <w:rsid w:val="006756F1"/>
    <w:rsid w:val="00685E70"/>
    <w:rsid w:val="0069053E"/>
    <w:rsid w:val="006A07F3"/>
    <w:rsid w:val="006C4230"/>
    <w:rsid w:val="006C4AF1"/>
    <w:rsid w:val="006C7D1D"/>
    <w:rsid w:val="006D1123"/>
    <w:rsid w:val="006D1BA1"/>
    <w:rsid w:val="006D2E2F"/>
    <w:rsid w:val="006D2E52"/>
    <w:rsid w:val="006E7B11"/>
    <w:rsid w:val="006F5A34"/>
    <w:rsid w:val="007168FE"/>
    <w:rsid w:val="0074148C"/>
    <w:rsid w:val="00746078"/>
    <w:rsid w:val="007532D5"/>
    <w:rsid w:val="007541C1"/>
    <w:rsid w:val="007566C8"/>
    <w:rsid w:val="00761AB4"/>
    <w:rsid w:val="00763928"/>
    <w:rsid w:val="00767C6B"/>
    <w:rsid w:val="00771885"/>
    <w:rsid w:val="00787B4F"/>
    <w:rsid w:val="00792DD2"/>
    <w:rsid w:val="00796C22"/>
    <w:rsid w:val="007A13F3"/>
    <w:rsid w:val="007A3B7D"/>
    <w:rsid w:val="007B3214"/>
    <w:rsid w:val="007B3859"/>
    <w:rsid w:val="007C0930"/>
    <w:rsid w:val="007C0CFB"/>
    <w:rsid w:val="007C615D"/>
    <w:rsid w:val="007D05BD"/>
    <w:rsid w:val="007D18CE"/>
    <w:rsid w:val="007D33D9"/>
    <w:rsid w:val="007D6EF6"/>
    <w:rsid w:val="007D71AD"/>
    <w:rsid w:val="007E0623"/>
    <w:rsid w:val="007F7A9D"/>
    <w:rsid w:val="008056CA"/>
    <w:rsid w:val="008116DD"/>
    <w:rsid w:val="008141D7"/>
    <w:rsid w:val="008174D8"/>
    <w:rsid w:val="00832816"/>
    <w:rsid w:val="00834CF2"/>
    <w:rsid w:val="00835743"/>
    <w:rsid w:val="00846FD9"/>
    <w:rsid w:val="00854D58"/>
    <w:rsid w:val="00857D41"/>
    <w:rsid w:val="00860AD9"/>
    <w:rsid w:val="0087147D"/>
    <w:rsid w:val="008751CA"/>
    <w:rsid w:val="00875396"/>
    <w:rsid w:val="0088052B"/>
    <w:rsid w:val="00890854"/>
    <w:rsid w:val="00897391"/>
    <w:rsid w:val="008B4862"/>
    <w:rsid w:val="008D4AF3"/>
    <w:rsid w:val="008D67A5"/>
    <w:rsid w:val="008E1241"/>
    <w:rsid w:val="008E20B8"/>
    <w:rsid w:val="008E7BC8"/>
    <w:rsid w:val="008F020A"/>
    <w:rsid w:val="008F22D1"/>
    <w:rsid w:val="008F4F08"/>
    <w:rsid w:val="008F618D"/>
    <w:rsid w:val="008F6BFF"/>
    <w:rsid w:val="00900A8F"/>
    <w:rsid w:val="00903F11"/>
    <w:rsid w:val="00911B89"/>
    <w:rsid w:val="00911C60"/>
    <w:rsid w:val="00913C72"/>
    <w:rsid w:val="00920267"/>
    <w:rsid w:val="0092269B"/>
    <w:rsid w:val="00927AEA"/>
    <w:rsid w:val="00947CFE"/>
    <w:rsid w:val="00957E03"/>
    <w:rsid w:val="00974970"/>
    <w:rsid w:val="00981867"/>
    <w:rsid w:val="00987442"/>
    <w:rsid w:val="009906E4"/>
    <w:rsid w:val="00997BA0"/>
    <w:rsid w:val="009A0907"/>
    <w:rsid w:val="009A3505"/>
    <w:rsid w:val="009A647A"/>
    <w:rsid w:val="009A7394"/>
    <w:rsid w:val="009B5CBF"/>
    <w:rsid w:val="009B772D"/>
    <w:rsid w:val="009C02AC"/>
    <w:rsid w:val="009E7EC1"/>
    <w:rsid w:val="009F2E91"/>
    <w:rsid w:val="009F67FB"/>
    <w:rsid w:val="00A00524"/>
    <w:rsid w:val="00A101C1"/>
    <w:rsid w:val="00A30258"/>
    <w:rsid w:val="00A31F6B"/>
    <w:rsid w:val="00A408DA"/>
    <w:rsid w:val="00A46023"/>
    <w:rsid w:val="00A53D52"/>
    <w:rsid w:val="00A60DDD"/>
    <w:rsid w:val="00A6267F"/>
    <w:rsid w:val="00A70653"/>
    <w:rsid w:val="00A70977"/>
    <w:rsid w:val="00A736B7"/>
    <w:rsid w:val="00A803CB"/>
    <w:rsid w:val="00A818AE"/>
    <w:rsid w:val="00A831EC"/>
    <w:rsid w:val="00A841FB"/>
    <w:rsid w:val="00AA48BA"/>
    <w:rsid w:val="00AA5A2A"/>
    <w:rsid w:val="00AB2FDD"/>
    <w:rsid w:val="00AB3A44"/>
    <w:rsid w:val="00AC203A"/>
    <w:rsid w:val="00AE0980"/>
    <w:rsid w:val="00AE0EDB"/>
    <w:rsid w:val="00AE5062"/>
    <w:rsid w:val="00AE53A5"/>
    <w:rsid w:val="00AF3425"/>
    <w:rsid w:val="00AF4B85"/>
    <w:rsid w:val="00B01EDC"/>
    <w:rsid w:val="00B101C7"/>
    <w:rsid w:val="00B11C24"/>
    <w:rsid w:val="00B137FC"/>
    <w:rsid w:val="00B23D28"/>
    <w:rsid w:val="00B240AD"/>
    <w:rsid w:val="00B3515D"/>
    <w:rsid w:val="00B368D4"/>
    <w:rsid w:val="00B418EF"/>
    <w:rsid w:val="00B43C3A"/>
    <w:rsid w:val="00B449AC"/>
    <w:rsid w:val="00B628C6"/>
    <w:rsid w:val="00B62DD8"/>
    <w:rsid w:val="00B675C1"/>
    <w:rsid w:val="00B70059"/>
    <w:rsid w:val="00B720EF"/>
    <w:rsid w:val="00B77C16"/>
    <w:rsid w:val="00B84229"/>
    <w:rsid w:val="00B92611"/>
    <w:rsid w:val="00BB7535"/>
    <w:rsid w:val="00BB7FD1"/>
    <w:rsid w:val="00BC4B1C"/>
    <w:rsid w:val="00BC5592"/>
    <w:rsid w:val="00BC64C7"/>
    <w:rsid w:val="00BD6FF4"/>
    <w:rsid w:val="00BE3789"/>
    <w:rsid w:val="00BE50B7"/>
    <w:rsid w:val="00BE5A94"/>
    <w:rsid w:val="00BE7178"/>
    <w:rsid w:val="00BE7412"/>
    <w:rsid w:val="00BF39F7"/>
    <w:rsid w:val="00C01E5E"/>
    <w:rsid w:val="00C02433"/>
    <w:rsid w:val="00C07085"/>
    <w:rsid w:val="00C075D7"/>
    <w:rsid w:val="00C100BE"/>
    <w:rsid w:val="00C171C8"/>
    <w:rsid w:val="00C173B6"/>
    <w:rsid w:val="00C21DAD"/>
    <w:rsid w:val="00C25EC8"/>
    <w:rsid w:val="00C261DA"/>
    <w:rsid w:val="00C33CE5"/>
    <w:rsid w:val="00C42F30"/>
    <w:rsid w:val="00C4378F"/>
    <w:rsid w:val="00C53DD5"/>
    <w:rsid w:val="00C6667B"/>
    <w:rsid w:val="00C73FB1"/>
    <w:rsid w:val="00C76A8F"/>
    <w:rsid w:val="00C77101"/>
    <w:rsid w:val="00C824E6"/>
    <w:rsid w:val="00CA11C9"/>
    <w:rsid w:val="00CA4A67"/>
    <w:rsid w:val="00CA5272"/>
    <w:rsid w:val="00CB6C62"/>
    <w:rsid w:val="00CB7C91"/>
    <w:rsid w:val="00CC0D94"/>
    <w:rsid w:val="00CC337F"/>
    <w:rsid w:val="00CE2A94"/>
    <w:rsid w:val="00D01914"/>
    <w:rsid w:val="00D049FA"/>
    <w:rsid w:val="00D17E1A"/>
    <w:rsid w:val="00D246EF"/>
    <w:rsid w:val="00D24B09"/>
    <w:rsid w:val="00D2635B"/>
    <w:rsid w:val="00D26F38"/>
    <w:rsid w:val="00D32996"/>
    <w:rsid w:val="00D40776"/>
    <w:rsid w:val="00D41633"/>
    <w:rsid w:val="00D42C50"/>
    <w:rsid w:val="00D4588F"/>
    <w:rsid w:val="00D45EC0"/>
    <w:rsid w:val="00D625AE"/>
    <w:rsid w:val="00D71C42"/>
    <w:rsid w:val="00D72CD9"/>
    <w:rsid w:val="00D74E16"/>
    <w:rsid w:val="00D901FD"/>
    <w:rsid w:val="00D92BDC"/>
    <w:rsid w:val="00D9649C"/>
    <w:rsid w:val="00DA0A74"/>
    <w:rsid w:val="00DA76AE"/>
    <w:rsid w:val="00DA794E"/>
    <w:rsid w:val="00DB24A0"/>
    <w:rsid w:val="00DC3FA6"/>
    <w:rsid w:val="00DC6FF3"/>
    <w:rsid w:val="00DC7AB1"/>
    <w:rsid w:val="00DD17FF"/>
    <w:rsid w:val="00DD19EF"/>
    <w:rsid w:val="00DD2FA7"/>
    <w:rsid w:val="00DD4AB5"/>
    <w:rsid w:val="00DE0E6F"/>
    <w:rsid w:val="00DF3253"/>
    <w:rsid w:val="00DF3974"/>
    <w:rsid w:val="00DF6FBF"/>
    <w:rsid w:val="00E0186F"/>
    <w:rsid w:val="00E01BBC"/>
    <w:rsid w:val="00E131AA"/>
    <w:rsid w:val="00E22262"/>
    <w:rsid w:val="00E32063"/>
    <w:rsid w:val="00E37FA9"/>
    <w:rsid w:val="00E41BCC"/>
    <w:rsid w:val="00E502AA"/>
    <w:rsid w:val="00E559AE"/>
    <w:rsid w:val="00E574C5"/>
    <w:rsid w:val="00E63CAA"/>
    <w:rsid w:val="00E712FD"/>
    <w:rsid w:val="00E72AF7"/>
    <w:rsid w:val="00E7465B"/>
    <w:rsid w:val="00E84007"/>
    <w:rsid w:val="00E84826"/>
    <w:rsid w:val="00E84D9C"/>
    <w:rsid w:val="00E86D09"/>
    <w:rsid w:val="00E87ABE"/>
    <w:rsid w:val="00E9018E"/>
    <w:rsid w:val="00E922A0"/>
    <w:rsid w:val="00E95715"/>
    <w:rsid w:val="00E97B6A"/>
    <w:rsid w:val="00EA70A9"/>
    <w:rsid w:val="00EA7374"/>
    <w:rsid w:val="00EC0DAA"/>
    <w:rsid w:val="00EC0EDA"/>
    <w:rsid w:val="00EC31EC"/>
    <w:rsid w:val="00EC435D"/>
    <w:rsid w:val="00EC49DD"/>
    <w:rsid w:val="00EC7115"/>
    <w:rsid w:val="00EE1E46"/>
    <w:rsid w:val="00F006CD"/>
    <w:rsid w:val="00F01615"/>
    <w:rsid w:val="00F0275D"/>
    <w:rsid w:val="00F043CF"/>
    <w:rsid w:val="00F11E59"/>
    <w:rsid w:val="00F1200C"/>
    <w:rsid w:val="00F12122"/>
    <w:rsid w:val="00F133FA"/>
    <w:rsid w:val="00F220F8"/>
    <w:rsid w:val="00F2231E"/>
    <w:rsid w:val="00F32493"/>
    <w:rsid w:val="00F3335B"/>
    <w:rsid w:val="00F35B5E"/>
    <w:rsid w:val="00F41F21"/>
    <w:rsid w:val="00F46024"/>
    <w:rsid w:val="00F55D9E"/>
    <w:rsid w:val="00F61478"/>
    <w:rsid w:val="00F64142"/>
    <w:rsid w:val="00F70FB4"/>
    <w:rsid w:val="00F7142F"/>
    <w:rsid w:val="00F720A2"/>
    <w:rsid w:val="00F74B63"/>
    <w:rsid w:val="00F76A25"/>
    <w:rsid w:val="00F77EE8"/>
    <w:rsid w:val="00F814D7"/>
    <w:rsid w:val="00F826AB"/>
    <w:rsid w:val="00F9382F"/>
    <w:rsid w:val="00F96B6E"/>
    <w:rsid w:val="00FA2C26"/>
    <w:rsid w:val="00FA54AF"/>
    <w:rsid w:val="00FA64D5"/>
    <w:rsid w:val="00FC5717"/>
    <w:rsid w:val="00FD1B76"/>
    <w:rsid w:val="00FE00C4"/>
    <w:rsid w:val="00FE40D5"/>
    <w:rsid w:val="00FF286C"/>
    <w:rsid w:val="00FF766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9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0A90"/>
    <w:pPr>
      <w:spacing w:after="0" w:line="240" w:lineRule="auto"/>
      <w:contextualSpacing/>
    </w:pPr>
    <w:rPr>
      <w:rFonts w:ascii="Verdana" w:eastAsia="PMingLiU" w:hAnsi="Verdana" w:cs="Times New Roman"/>
      <w:sz w:val="18"/>
      <w:szCs w:val="24"/>
      <w:lang w:eastAsia="zh-T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927AEA"/>
    <w:pPr>
      <w:tabs>
        <w:tab w:val="center" w:pos="4536"/>
        <w:tab w:val="right" w:pos="9072"/>
      </w:tabs>
    </w:pPr>
    <w:rPr>
      <w:rFonts w:ascii="Arial" w:eastAsia="Times New Roman" w:hAnsi="Arial"/>
      <w:sz w:val="20"/>
      <w:szCs w:val="20"/>
      <w:lang w:eastAsia="nl-NL"/>
    </w:rPr>
  </w:style>
  <w:style w:type="character" w:customStyle="1" w:styleId="VoettekstChar">
    <w:name w:val="Voettekst Char"/>
    <w:basedOn w:val="Standaardalinea-lettertype"/>
    <w:link w:val="Voettekst"/>
    <w:uiPriority w:val="99"/>
    <w:rsid w:val="00927AEA"/>
    <w:rPr>
      <w:rFonts w:ascii="Arial" w:eastAsia="Times New Roman" w:hAnsi="Arial" w:cs="Times New Roman"/>
      <w:sz w:val="20"/>
      <w:szCs w:val="20"/>
      <w:lang w:eastAsia="nl-NL"/>
    </w:rPr>
  </w:style>
  <w:style w:type="paragraph" w:styleId="Lijstalinea">
    <w:name w:val="List Paragraph"/>
    <w:basedOn w:val="Standaard"/>
    <w:uiPriority w:val="34"/>
    <w:qFormat/>
    <w:rsid w:val="009A647A"/>
    <w:pPr>
      <w:ind w:left="720"/>
    </w:pPr>
  </w:style>
  <w:style w:type="paragraph" w:styleId="Normaalweb">
    <w:name w:val="Normal (Web)"/>
    <w:basedOn w:val="Standaard"/>
    <w:uiPriority w:val="99"/>
    <w:semiHidden/>
    <w:unhideWhenUsed/>
    <w:rsid w:val="0074148C"/>
    <w:pPr>
      <w:spacing w:before="100" w:beforeAutospacing="1" w:after="100" w:afterAutospacing="1" w:line="336" w:lineRule="atLeast"/>
    </w:pPr>
    <w:rPr>
      <w:rFonts w:eastAsia="Times New Roman"/>
      <w:lang w:eastAsia="nl-NL"/>
    </w:rPr>
  </w:style>
  <w:style w:type="character" w:styleId="Nadruk">
    <w:name w:val="Emphasis"/>
    <w:basedOn w:val="Standaardalinea-lettertype"/>
    <w:uiPriority w:val="20"/>
    <w:qFormat/>
    <w:rsid w:val="0074148C"/>
    <w:rPr>
      <w:i/>
      <w:iCs/>
    </w:rPr>
  </w:style>
  <w:style w:type="character" w:styleId="Hyperlink">
    <w:name w:val="Hyperlink"/>
    <w:basedOn w:val="Standaardalinea-lettertype"/>
    <w:uiPriority w:val="99"/>
    <w:unhideWhenUsed/>
    <w:rsid w:val="008E20B8"/>
    <w:rPr>
      <w:color w:val="0000FF" w:themeColor="hyperlink"/>
      <w:u w:val="single"/>
    </w:rPr>
  </w:style>
  <w:style w:type="paragraph" w:customStyle="1" w:styleId="broodtekst">
    <w:name w:val="broodtekst"/>
    <w:basedOn w:val="Standaard"/>
    <w:rsid w:val="00032413"/>
    <w:pPr>
      <w:autoSpaceDE w:val="0"/>
      <w:autoSpaceDN w:val="0"/>
      <w:spacing w:line="240" w:lineRule="atLeast"/>
    </w:pPr>
    <w:rPr>
      <w:rFonts w:eastAsiaTheme="minorHAnsi"/>
      <w:szCs w:val="18"/>
      <w:lang w:eastAsia="nl-NL"/>
    </w:rPr>
  </w:style>
  <w:style w:type="paragraph" w:styleId="Voetnoottekst">
    <w:name w:val="footnote text"/>
    <w:basedOn w:val="Standaard"/>
    <w:link w:val="VoetnoottekstChar"/>
    <w:semiHidden/>
    <w:unhideWhenUsed/>
    <w:rsid w:val="00B3515D"/>
    <w:pPr>
      <w:tabs>
        <w:tab w:val="left" w:pos="227"/>
      </w:tabs>
    </w:pPr>
    <w:rPr>
      <w:rFonts w:ascii="Univers" w:eastAsia="Times New Roman" w:hAnsi="Univers"/>
      <w:szCs w:val="20"/>
      <w:lang w:eastAsia="nl-NL"/>
    </w:rPr>
  </w:style>
  <w:style w:type="character" w:customStyle="1" w:styleId="VoetnoottekstChar">
    <w:name w:val="Voetnoottekst Char"/>
    <w:basedOn w:val="Standaardalinea-lettertype"/>
    <w:link w:val="Voetnoottekst"/>
    <w:semiHidden/>
    <w:rsid w:val="00B3515D"/>
    <w:rPr>
      <w:rFonts w:ascii="Univers" w:eastAsia="Times New Roman" w:hAnsi="Univers" w:cs="Times New Roman"/>
      <w:sz w:val="18"/>
      <w:szCs w:val="20"/>
      <w:lang w:eastAsia="nl-NL"/>
    </w:rPr>
  </w:style>
  <w:style w:type="character" w:styleId="Voetnootmarkering">
    <w:name w:val="footnote reference"/>
    <w:basedOn w:val="Standaardalinea-lettertype"/>
    <w:semiHidden/>
    <w:unhideWhenUsed/>
    <w:rsid w:val="00B3515D"/>
    <w:rPr>
      <w:vertAlign w:val="superscript"/>
    </w:rPr>
  </w:style>
  <w:style w:type="paragraph" w:customStyle="1" w:styleId="opsomming-bolletjesjustitie">
    <w:name w:val="opsomming-bolletjes_justitie"/>
    <w:basedOn w:val="Standaard"/>
    <w:uiPriority w:val="3"/>
    <w:rsid w:val="00AE5062"/>
    <w:pPr>
      <w:numPr>
        <w:numId w:val="1"/>
      </w:numPr>
      <w:autoSpaceDE w:val="0"/>
      <w:autoSpaceDN w:val="0"/>
      <w:spacing w:line="240" w:lineRule="atLeast"/>
    </w:pPr>
    <w:rPr>
      <w:rFonts w:eastAsiaTheme="minorHAnsi"/>
      <w:szCs w:val="18"/>
      <w:lang w:eastAsia="nl-NL"/>
    </w:rPr>
  </w:style>
  <w:style w:type="numbering" w:customStyle="1" w:styleId="list-bolletjes">
    <w:name w:val="list-bolletjes"/>
    <w:uiPriority w:val="99"/>
    <w:rsid w:val="00AE5062"/>
    <w:pPr>
      <w:numPr>
        <w:numId w:val="1"/>
      </w:numPr>
    </w:pPr>
  </w:style>
  <w:style w:type="paragraph" w:styleId="Lijstopsomteken">
    <w:name w:val="List Bullet"/>
    <w:basedOn w:val="broodtekst"/>
    <w:uiPriority w:val="99"/>
    <w:rsid w:val="00363F58"/>
    <w:pPr>
      <w:numPr>
        <w:numId w:val="2"/>
      </w:numPr>
      <w:tabs>
        <w:tab w:val="left" w:pos="454"/>
        <w:tab w:val="left" w:pos="680"/>
      </w:tabs>
      <w:adjustRightInd w:val="0"/>
    </w:pPr>
    <w:rPr>
      <w:rFonts w:eastAsia="Times New Roman"/>
      <w:noProof/>
    </w:rPr>
  </w:style>
  <w:style w:type="paragraph" w:styleId="Ballontekst">
    <w:name w:val="Balloon Text"/>
    <w:basedOn w:val="Standaard"/>
    <w:link w:val="BallontekstChar"/>
    <w:uiPriority w:val="99"/>
    <w:semiHidden/>
    <w:unhideWhenUsed/>
    <w:rsid w:val="00363F58"/>
    <w:rPr>
      <w:rFonts w:ascii="Tahoma" w:hAnsi="Tahoma" w:cs="Tahoma"/>
      <w:sz w:val="16"/>
      <w:szCs w:val="16"/>
    </w:rPr>
  </w:style>
  <w:style w:type="character" w:customStyle="1" w:styleId="BallontekstChar">
    <w:name w:val="Ballontekst Char"/>
    <w:basedOn w:val="Standaardalinea-lettertype"/>
    <w:link w:val="Ballontekst"/>
    <w:uiPriority w:val="99"/>
    <w:semiHidden/>
    <w:rsid w:val="00363F58"/>
    <w:rPr>
      <w:rFonts w:ascii="Tahoma" w:eastAsia="PMingLiU" w:hAnsi="Tahoma" w:cs="Tahoma"/>
      <w:sz w:val="16"/>
      <w:szCs w:val="16"/>
      <w:lang w:eastAsia="zh-TW"/>
    </w:rPr>
  </w:style>
  <w:style w:type="character" w:styleId="Verwijzingopmerking">
    <w:name w:val="annotation reference"/>
    <w:basedOn w:val="Standaardalinea-lettertype"/>
    <w:uiPriority w:val="99"/>
    <w:semiHidden/>
    <w:unhideWhenUsed/>
    <w:rsid w:val="00A00524"/>
    <w:rPr>
      <w:sz w:val="16"/>
      <w:szCs w:val="16"/>
    </w:rPr>
  </w:style>
  <w:style w:type="paragraph" w:styleId="Tekstopmerking">
    <w:name w:val="annotation text"/>
    <w:basedOn w:val="Standaard"/>
    <w:link w:val="TekstopmerkingChar"/>
    <w:uiPriority w:val="99"/>
    <w:unhideWhenUsed/>
    <w:rsid w:val="00A00524"/>
    <w:rPr>
      <w:sz w:val="20"/>
      <w:szCs w:val="20"/>
    </w:rPr>
  </w:style>
  <w:style w:type="character" w:customStyle="1" w:styleId="TekstopmerkingChar">
    <w:name w:val="Tekst opmerking Char"/>
    <w:basedOn w:val="Standaardalinea-lettertype"/>
    <w:link w:val="Tekstopmerking"/>
    <w:uiPriority w:val="99"/>
    <w:rsid w:val="00A00524"/>
    <w:rPr>
      <w:rFonts w:ascii="Times New Roman" w:eastAsia="PMingLiU" w:hAnsi="Times New Roman" w:cs="Times New Roman"/>
      <w:sz w:val="20"/>
      <w:szCs w:val="20"/>
      <w:lang w:eastAsia="zh-TW"/>
    </w:rPr>
  </w:style>
  <w:style w:type="paragraph" w:styleId="Onderwerpvanopmerking">
    <w:name w:val="annotation subject"/>
    <w:basedOn w:val="Tekstopmerking"/>
    <w:next w:val="Tekstopmerking"/>
    <w:link w:val="OnderwerpvanopmerkingChar"/>
    <w:uiPriority w:val="99"/>
    <w:semiHidden/>
    <w:unhideWhenUsed/>
    <w:rsid w:val="00A00524"/>
    <w:rPr>
      <w:b/>
      <w:bCs/>
    </w:rPr>
  </w:style>
  <w:style w:type="character" w:customStyle="1" w:styleId="OnderwerpvanopmerkingChar">
    <w:name w:val="Onderwerp van opmerking Char"/>
    <w:basedOn w:val="TekstopmerkingChar"/>
    <w:link w:val="Onderwerpvanopmerking"/>
    <w:uiPriority w:val="99"/>
    <w:semiHidden/>
    <w:rsid w:val="00A00524"/>
    <w:rPr>
      <w:rFonts w:ascii="Times New Roman" w:eastAsia="PMingLiU" w:hAnsi="Times New Roman" w:cs="Times New Roman"/>
      <w:b/>
      <w:bCs/>
      <w:sz w:val="20"/>
      <w:szCs w:val="20"/>
      <w:lang w:eastAsia="zh-TW"/>
    </w:rPr>
  </w:style>
  <w:style w:type="paragraph" w:styleId="Koptekst">
    <w:name w:val="header"/>
    <w:basedOn w:val="Standaard"/>
    <w:link w:val="KoptekstChar"/>
    <w:uiPriority w:val="99"/>
    <w:unhideWhenUsed/>
    <w:rsid w:val="002D0A90"/>
    <w:pPr>
      <w:tabs>
        <w:tab w:val="center" w:pos="4513"/>
        <w:tab w:val="right" w:pos="9026"/>
      </w:tabs>
    </w:pPr>
  </w:style>
  <w:style w:type="character" w:customStyle="1" w:styleId="KoptekstChar">
    <w:name w:val="Koptekst Char"/>
    <w:basedOn w:val="Standaardalinea-lettertype"/>
    <w:link w:val="Koptekst"/>
    <w:uiPriority w:val="99"/>
    <w:rsid w:val="002D0A90"/>
    <w:rPr>
      <w:rFonts w:ascii="Verdana" w:eastAsia="PMingLiU" w:hAnsi="Verdana" w:cs="Times New Roman"/>
      <w:sz w:val="18"/>
      <w:szCs w:val="24"/>
      <w:lang w:eastAsia="zh-TW"/>
    </w:rPr>
  </w:style>
  <w:style w:type="table" w:styleId="Tabelraster">
    <w:name w:val="Table Grid"/>
    <w:basedOn w:val="Standaardtabel"/>
    <w:uiPriority w:val="59"/>
    <w:rsid w:val="002D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B84229"/>
    <w:rPr>
      <w:color w:val="605E5C"/>
      <w:shd w:val="clear" w:color="auto" w:fill="E1DFDD"/>
    </w:rPr>
  </w:style>
  <w:style w:type="paragraph" w:styleId="Geenafstand">
    <w:name w:val="No Spacing"/>
    <w:uiPriority w:val="1"/>
    <w:qFormat/>
    <w:rsid w:val="00665F7F"/>
    <w:pPr>
      <w:suppressAutoHyphens/>
      <w:autoSpaceDN w:val="0"/>
      <w:spacing w:after="0" w:line="240"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8426">
      <w:bodyDiv w:val="1"/>
      <w:marLeft w:val="0"/>
      <w:marRight w:val="0"/>
      <w:marTop w:val="0"/>
      <w:marBottom w:val="0"/>
      <w:divBdr>
        <w:top w:val="none" w:sz="0" w:space="0" w:color="auto"/>
        <w:left w:val="none" w:sz="0" w:space="0" w:color="auto"/>
        <w:bottom w:val="none" w:sz="0" w:space="0" w:color="auto"/>
        <w:right w:val="none" w:sz="0" w:space="0" w:color="auto"/>
      </w:divBdr>
      <w:divsChild>
        <w:div w:id="1441411145">
          <w:marLeft w:val="0"/>
          <w:marRight w:val="0"/>
          <w:marTop w:val="0"/>
          <w:marBottom w:val="0"/>
          <w:divBdr>
            <w:top w:val="none" w:sz="0" w:space="0" w:color="auto"/>
            <w:left w:val="none" w:sz="0" w:space="0" w:color="auto"/>
            <w:bottom w:val="none" w:sz="0" w:space="0" w:color="auto"/>
            <w:right w:val="none" w:sz="0" w:space="0" w:color="auto"/>
          </w:divBdr>
          <w:divsChild>
            <w:div w:id="849569127">
              <w:marLeft w:val="0"/>
              <w:marRight w:val="0"/>
              <w:marTop w:val="0"/>
              <w:marBottom w:val="0"/>
              <w:divBdr>
                <w:top w:val="none" w:sz="0" w:space="0" w:color="auto"/>
                <w:left w:val="none" w:sz="0" w:space="0" w:color="auto"/>
                <w:bottom w:val="none" w:sz="0" w:space="0" w:color="auto"/>
                <w:right w:val="none" w:sz="0" w:space="0" w:color="auto"/>
              </w:divBdr>
              <w:divsChild>
                <w:div w:id="854615829">
                  <w:marLeft w:val="0"/>
                  <w:marRight w:val="0"/>
                  <w:marTop w:val="0"/>
                  <w:marBottom w:val="0"/>
                  <w:divBdr>
                    <w:top w:val="none" w:sz="0" w:space="0" w:color="auto"/>
                    <w:left w:val="none" w:sz="0" w:space="0" w:color="auto"/>
                    <w:bottom w:val="none" w:sz="0" w:space="0" w:color="auto"/>
                    <w:right w:val="none" w:sz="0" w:space="0" w:color="auto"/>
                  </w:divBdr>
                  <w:divsChild>
                    <w:div w:id="1701130515">
                      <w:marLeft w:val="0"/>
                      <w:marRight w:val="0"/>
                      <w:marTop w:val="0"/>
                      <w:marBottom w:val="0"/>
                      <w:divBdr>
                        <w:top w:val="none" w:sz="0" w:space="0" w:color="auto"/>
                        <w:left w:val="none" w:sz="0" w:space="0" w:color="auto"/>
                        <w:bottom w:val="none" w:sz="0" w:space="0" w:color="auto"/>
                        <w:right w:val="none" w:sz="0" w:space="0" w:color="auto"/>
                      </w:divBdr>
                      <w:divsChild>
                        <w:div w:id="1111584758">
                          <w:marLeft w:val="0"/>
                          <w:marRight w:val="0"/>
                          <w:marTop w:val="0"/>
                          <w:marBottom w:val="0"/>
                          <w:divBdr>
                            <w:top w:val="none" w:sz="0" w:space="0" w:color="auto"/>
                            <w:left w:val="none" w:sz="0" w:space="0" w:color="auto"/>
                            <w:bottom w:val="none" w:sz="0" w:space="0" w:color="auto"/>
                            <w:right w:val="none" w:sz="0" w:space="0" w:color="auto"/>
                          </w:divBdr>
                          <w:divsChild>
                            <w:div w:id="468324682">
                              <w:marLeft w:val="0"/>
                              <w:marRight w:val="0"/>
                              <w:marTop w:val="0"/>
                              <w:marBottom w:val="0"/>
                              <w:divBdr>
                                <w:top w:val="none" w:sz="0" w:space="0" w:color="auto"/>
                                <w:left w:val="none" w:sz="0" w:space="0" w:color="auto"/>
                                <w:bottom w:val="none" w:sz="0" w:space="0" w:color="auto"/>
                                <w:right w:val="none" w:sz="0" w:space="0" w:color="auto"/>
                              </w:divBdr>
                              <w:divsChild>
                                <w:div w:id="10924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11217">
      <w:bodyDiv w:val="1"/>
      <w:marLeft w:val="0"/>
      <w:marRight w:val="0"/>
      <w:marTop w:val="0"/>
      <w:marBottom w:val="0"/>
      <w:divBdr>
        <w:top w:val="none" w:sz="0" w:space="0" w:color="auto"/>
        <w:left w:val="none" w:sz="0" w:space="0" w:color="auto"/>
        <w:bottom w:val="none" w:sz="0" w:space="0" w:color="auto"/>
        <w:right w:val="none" w:sz="0" w:space="0" w:color="auto"/>
      </w:divBdr>
    </w:div>
    <w:div w:id="86076738">
      <w:bodyDiv w:val="1"/>
      <w:marLeft w:val="0"/>
      <w:marRight w:val="0"/>
      <w:marTop w:val="0"/>
      <w:marBottom w:val="0"/>
      <w:divBdr>
        <w:top w:val="none" w:sz="0" w:space="0" w:color="auto"/>
        <w:left w:val="none" w:sz="0" w:space="0" w:color="auto"/>
        <w:bottom w:val="none" w:sz="0" w:space="0" w:color="auto"/>
        <w:right w:val="none" w:sz="0" w:space="0" w:color="auto"/>
      </w:divBdr>
    </w:div>
    <w:div w:id="162358668">
      <w:bodyDiv w:val="1"/>
      <w:marLeft w:val="0"/>
      <w:marRight w:val="0"/>
      <w:marTop w:val="0"/>
      <w:marBottom w:val="0"/>
      <w:divBdr>
        <w:top w:val="none" w:sz="0" w:space="0" w:color="auto"/>
        <w:left w:val="none" w:sz="0" w:space="0" w:color="auto"/>
        <w:bottom w:val="none" w:sz="0" w:space="0" w:color="auto"/>
        <w:right w:val="none" w:sz="0" w:space="0" w:color="auto"/>
      </w:divBdr>
    </w:div>
    <w:div w:id="323820542">
      <w:bodyDiv w:val="1"/>
      <w:marLeft w:val="0"/>
      <w:marRight w:val="0"/>
      <w:marTop w:val="0"/>
      <w:marBottom w:val="0"/>
      <w:divBdr>
        <w:top w:val="none" w:sz="0" w:space="0" w:color="auto"/>
        <w:left w:val="none" w:sz="0" w:space="0" w:color="auto"/>
        <w:bottom w:val="none" w:sz="0" w:space="0" w:color="auto"/>
        <w:right w:val="none" w:sz="0" w:space="0" w:color="auto"/>
      </w:divBdr>
    </w:div>
    <w:div w:id="567763868">
      <w:bodyDiv w:val="1"/>
      <w:marLeft w:val="0"/>
      <w:marRight w:val="0"/>
      <w:marTop w:val="0"/>
      <w:marBottom w:val="0"/>
      <w:divBdr>
        <w:top w:val="none" w:sz="0" w:space="0" w:color="auto"/>
        <w:left w:val="none" w:sz="0" w:space="0" w:color="auto"/>
        <w:bottom w:val="none" w:sz="0" w:space="0" w:color="auto"/>
        <w:right w:val="none" w:sz="0" w:space="0" w:color="auto"/>
      </w:divBdr>
      <w:divsChild>
        <w:div w:id="1303148661">
          <w:marLeft w:val="0"/>
          <w:marRight w:val="0"/>
          <w:marTop w:val="0"/>
          <w:marBottom w:val="0"/>
          <w:divBdr>
            <w:top w:val="none" w:sz="0" w:space="0" w:color="auto"/>
            <w:left w:val="none" w:sz="0" w:space="0" w:color="auto"/>
            <w:bottom w:val="none" w:sz="0" w:space="0" w:color="auto"/>
            <w:right w:val="none" w:sz="0" w:space="0" w:color="auto"/>
          </w:divBdr>
        </w:div>
        <w:div w:id="1126850481">
          <w:marLeft w:val="0"/>
          <w:marRight w:val="0"/>
          <w:marTop w:val="0"/>
          <w:marBottom w:val="0"/>
          <w:divBdr>
            <w:top w:val="none" w:sz="0" w:space="0" w:color="auto"/>
            <w:left w:val="none" w:sz="0" w:space="0" w:color="auto"/>
            <w:bottom w:val="none" w:sz="0" w:space="0" w:color="auto"/>
            <w:right w:val="none" w:sz="0" w:space="0" w:color="auto"/>
          </w:divBdr>
        </w:div>
        <w:div w:id="739905978">
          <w:marLeft w:val="0"/>
          <w:marRight w:val="0"/>
          <w:marTop w:val="0"/>
          <w:marBottom w:val="0"/>
          <w:divBdr>
            <w:top w:val="none" w:sz="0" w:space="0" w:color="auto"/>
            <w:left w:val="none" w:sz="0" w:space="0" w:color="auto"/>
            <w:bottom w:val="none" w:sz="0" w:space="0" w:color="auto"/>
            <w:right w:val="none" w:sz="0" w:space="0" w:color="auto"/>
          </w:divBdr>
        </w:div>
        <w:div w:id="283738084">
          <w:marLeft w:val="0"/>
          <w:marRight w:val="0"/>
          <w:marTop w:val="0"/>
          <w:marBottom w:val="0"/>
          <w:divBdr>
            <w:top w:val="none" w:sz="0" w:space="0" w:color="auto"/>
            <w:left w:val="none" w:sz="0" w:space="0" w:color="auto"/>
            <w:bottom w:val="none" w:sz="0" w:space="0" w:color="auto"/>
            <w:right w:val="none" w:sz="0" w:space="0" w:color="auto"/>
          </w:divBdr>
        </w:div>
        <w:div w:id="2098167084">
          <w:marLeft w:val="0"/>
          <w:marRight w:val="0"/>
          <w:marTop w:val="0"/>
          <w:marBottom w:val="0"/>
          <w:divBdr>
            <w:top w:val="none" w:sz="0" w:space="0" w:color="auto"/>
            <w:left w:val="none" w:sz="0" w:space="0" w:color="auto"/>
            <w:bottom w:val="none" w:sz="0" w:space="0" w:color="auto"/>
            <w:right w:val="none" w:sz="0" w:space="0" w:color="auto"/>
          </w:divBdr>
        </w:div>
      </w:divsChild>
    </w:div>
    <w:div w:id="588348206">
      <w:bodyDiv w:val="1"/>
      <w:marLeft w:val="0"/>
      <w:marRight w:val="0"/>
      <w:marTop w:val="0"/>
      <w:marBottom w:val="0"/>
      <w:divBdr>
        <w:top w:val="none" w:sz="0" w:space="0" w:color="auto"/>
        <w:left w:val="none" w:sz="0" w:space="0" w:color="auto"/>
        <w:bottom w:val="none" w:sz="0" w:space="0" w:color="auto"/>
        <w:right w:val="none" w:sz="0" w:space="0" w:color="auto"/>
      </w:divBdr>
      <w:divsChild>
        <w:div w:id="1528829413">
          <w:marLeft w:val="0"/>
          <w:marRight w:val="0"/>
          <w:marTop w:val="0"/>
          <w:marBottom w:val="0"/>
          <w:divBdr>
            <w:top w:val="none" w:sz="0" w:space="0" w:color="auto"/>
            <w:left w:val="none" w:sz="0" w:space="0" w:color="auto"/>
            <w:bottom w:val="none" w:sz="0" w:space="0" w:color="auto"/>
            <w:right w:val="none" w:sz="0" w:space="0" w:color="auto"/>
          </w:divBdr>
        </w:div>
        <w:div w:id="250938838">
          <w:marLeft w:val="0"/>
          <w:marRight w:val="0"/>
          <w:marTop w:val="0"/>
          <w:marBottom w:val="0"/>
          <w:divBdr>
            <w:top w:val="none" w:sz="0" w:space="0" w:color="auto"/>
            <w:left w:val="none" w:sz="0" w:space="0" w:color="auto"/>
            <w:bottom w:val="none" w:sz="0" w:space="0" w:color="auto"/>
            <w:right w:val="none" w:sz="0" w:space="0" w:color="auto"/>
          </w:divBdr>
        </w:div>
        <w:div w:id="1747459809">
          <w:marLeft w:val="0"/>
          <w:marRight w:val="0"/>
          <w:marTop w:val="0"/>
          <w:marBottom w:val="0"/>
          <w:divBdr>
            <w:top w:val="none" w:sz="0" w:space="0" w:color="auto"/>
            <w:left w:val="none" w:sz="0" w:space="0" w:color="auto"/>
            <w:bottom w:val="none" w:sz="0" w:space="0" w:color="auto"/>
            <w:right w:val="none" w:sz="0" w:space="0" w:color="auto"/>
          </w:divBdr>
        </w:div>
        <w:div w:id="803541068">
          <w:marLeft w:val="0"/>
          <w:marRight w:val="0"/>
          <w:marTop w:val="0"/>
          <w:marBottom w:val="0"/>
          <w:divBdr>
            <w:top w:val="none" w:sz="0" w:space="0" w:color="auto"/>
            <w:left w:val="none" w:sz="0" w:space="0" w:color="auto"/>
            <w:bottom w:val="none" w:sz="0" w:space="0" w:color="auto"/>
            <w:right w:val="none" w:sz="0" w:space="0" w:color="auto"/>
          </w:divBdr>
        </w:div>
        <w:div w:id="876889844">
          <w:marLeft w:val="0"/>
          <w:marRight w:val="0"/>
          <w:marTop w:val="0"/>
          <w:marBottom w:val="0"/>
          <w:divBdr>
            <w:top w:val="none" w:sz="0" w:space="0" w:color="auto"/>
            <w:left w:val="none" w:sz="0" w:space="0" w:color="auto"/>
            <w:bottom w:val="none" w:sz="0" w:space="0" w:color="auto"/>
            <w:right w:val="none" w:sz="0" w:space="0" w:color="auto"/>
          </w:divBdr>
        </w:div>
      </w:divsChild>
    </w:div>
    <w:div w:id="595476462">
      <w:bodyDiv w:val="1"/>
      <w:marLeft w:val="0"/>
      <w:marRight w:val="0"/>
      <w:marTop w:val="0"/>
      <w:marBottom w:val="0"/>
      <w:divBdr>
        <w:top w:val="none" w:sz="0" w:space="0" w:color="auto"/>
        <w:left w:val="none" w:sz="0" w:space="0" w:color="auto"/>
        <w:bottom w:val="none" w:sz="0" w:space="0" w:color="auto"/>
        <w:right w:val="none" w:sz="0" w:space="0" w:color="auto"/>
      </w:divBdr>
    </w:div>
    <w:div w:id="787895263">
      <w:bodyDiv w:val="1"/>
      <w:marLeft w:val="0"/>
      <w:marRight w:val="0"/>
      <w:marTop w:val="0"/>
      <w:marBottom w:val="0"/>
      <w:divBdr>
        <w:top w:val="none" w:sz="0" w:space="0" w:color="auto"/>
        <w:left w:val="none" w:sz="0" w:space="0" w:color="auto"/>
        <w:bottom w:val="none" w:sz="0" w:space="0" w:color="auto"/>
        <w:right w:val="none" w:sz="0" w:space="0" w:color="auto"/>
      </w:divBdr>
    </w:div>
    <w:div w:id="858855035">
      <w:bodyDiv w:val="1"/>
      <w:marLeft w:val="0"/>
      <w:marRight w:val="0"/>
      <w:marTop w:val="0"/>
      <w:marBottom w:val="0"/>
      <w:divBdr>
        <w:top w:val="none" w:sz="0" w:space="0" w:color="auto"/>
        <w:left w:val="none" w:sz="0" w:space="0" w:color="auto"/>
        <w:bottom w:val="none" w:sz="0" w:space="0" w:color="auto"/>
        <w:right w:val="none" w:sz="0" w:space="0" w:color="auto"/>
      </w:divBdr>
    </w:div>
    <w:div w:id="1122336178">
      <w:bodyDiv w:val="1"/>
      <w:marLeft w:val="0"/>
      <w:marRight w:val="0"/>
      <w:marTop w:val="0"/>
      <w:marBottom w:val="0"/>
      <w:divBdr>
        <w:top w:val="none" w:sz="0" w:space="0" w:color="auto"/>
        <w:left w:val="none" w:sz="0" w:space="0" w:color="auto"/>
        <w:bottom w:val="none" w:sz="0" w:space="0" w:color="auto"/>
        <w:right w:val="none" w:sz="0" w:space="0" w:color="auto"/>
      </w:divBdr>
    </w:div>
    <w:div w:id="1173379322">
      <w:bodyDiv w:val="1"/>
      <w:marLeft w:val="0"/>
      <w:marRight w:val="0"/>
      <w:marTop w:val="0"/>
      <w:marBottom w:val="0"/>
      <w:divBdr>
        <w:top w:val="none" w:sz="0" w:space="0" w:color="auto"/>
        <w:left w:val="none" w:sz="0" w:space="0" w:color="auto"/>
        <w:bottom w:val="none" w:sz="0" w:space="0" w:color="auto"/>
        <w:right w:val="none" w:sz="0" w:space="0" w:color="auto"/>
      </w:divBdr>
    </w:div>
    <w:div w:id="1279066464">
      <w:bodyDiv w:val="1"/>
      <w:marLeft w:val="0"/>
      <w:marRight w:val="0"/>
      <w:marTop w:val="0"/>
      <w:marBottom w:val="0"/>
      <w:divBdr>
        <w:top w:val="none" w:sz="0" w:space="0" w:color="auto"/>
        <w:left w:val="none" w:sz="0" w:space="0" w:color="auto"/>
        <w:bottom w:val="none" w:sz="0" w:space="0" w:color="auto"/>
        <w:right w:val="none" w:sz="0" w:space="0" w:color="auto"/>
      </w:divBdr>
      <w:divsChild>
        <w:div w:id="1880244370">
          <w:marLeft w:val="0"/>
          <w:marRight w:val="0"/>
          <w:marTop w:val="0"/>
          <w:marBottom w:val="0"/>
          <w:divBdr>
            <w:top w:val="none" w:sz="0" w:space="0" w:color="auto"/>
            <w:left w:val="none" w:sz="0" w:space="0" w:color="auto"/>
            <w:bottom w:val="none" w:sz="0" w:space="0" w:color="auto"/>
            <w:right w:val="none" w:sz="0" w:space="0" w:color="auto"/>
          </w:divBdr>
        </w:div>
      </w:divsChild>
    </w:div>
    <w:div w:id="1340812538">
      <w:bodyDiv w:val="1"/>
      <w:marLeft w:val="0"/>
      <w:marRight w:val="0"/>
      <w:marTop w:val="0"/>
      <w:marBottom w:val="0"/>
      <w:divBdr>
        <w:top w:val="none" w:sz="0" w:space="0" w:color="auto"/>
        <w:left w:val="none" w:sz="0" w:space="0" w:color="auto"/>
        <w:bottom w:val="none" w:sz="0" w:space="0" w:color="auto"/>
        <w:right w:val="none" w:sz="0" w:space="0" w:color="auto"/>
      </w:divBdr>
    </w:div>
    <w:div w:id="1705213363">
      <w:bodyDiv w:val="1"/>
      <w:marLeft w:val="0"/>
      <w:marRight w:val="0"/>
      <w:marTop w:val="0"/>
      <w:marBottom w:val="0"/>
      <w:divBdr>
        <w:top w:val="none" w:sz="0" w:space="0" w:color="auto"/>
        <w:left w:val="none" w:sz="0" w:space="0" w:color="auto"/>
        <w:bottom w:val="none" w:sz="0" w:space="0" w:color="auto"/>
        <w:right w:val="none" w:sz="0" w:space="0" w:color="auto"/>
      </w:divBdr>
      <w:divsChild>
        <w:div w:id="1738939907">
          <w:marLeft w:val="0"/>
          <w:marRight w:val="0"/>
          <w:marTop w:val="0"/>
          <w:marBottom w:val="0"/>
          <w:divBdr>
            <w:top w:val="none" w:sz="0" w:space="0" w:color="auto"/>
            <w:left w:val="none" w:sz="0" w:space="0" w:color="auto"/>
            <w:bottom w:val="none" w:sz="0" w:space="0" w:color="auto"/>
            <w:right w:val="none" w:sz="0" w:space="0" w:color="auto"/>
          </w:divBdr>
          <w:divsChild>
            <w:div w:id="1304576995">
              <w:marLeft w:val="0"/>
              <w:marRight w:val="0"/>
              <w:marTop w:val="0"/>
              <w:marBottom w:val="0"/>
              <w:divBdr>
                <w:top w:val="none" w:sz="0" w:space="0" w:color="auto"/>
                <w:left w:val="none" w:sz="0" w:space="0" w:color="auto"/>
                <w:bottom w:val="none" w:sz="0" w:space="0" w:color="auto"/>
                <w:right w:val="none" w:sz="0" w:space="0" w:color="auto"/>
              </w:divBdr>
              <w:divsChild>
                <w:div w:id="1535382731">
                  <w:marLeft w:val="0"/>
                  <w:marRight w:val="0"/>
                  <w:marTop w:val="0"/>
                  <w:marBottom w:val="0"/>
                  <w:divBdr>
                    <w:top w:val="none" w:sz="0" w:space="0" w:color="auto"/>
                    <w:left w:val="none" w:sz="0" w:space="0" w:color="auto"/>
                    <w:bottom w:val="none" w:sz="0" w:space="0" w:color="auto"/>
                    <w:right w:val="none" w:sz="0" w:space="0" w:color="auto"/>
                  </w:divBdr>
                  <w:divsChild>
                    <w:div w:id="1153569992">
                      <w:marLeft w:val="0"/>
                      <w:marRight w:val="0"/>
                      <w:marTop w:val="0"/>
                      <w:marBottom w:val="0"/>
                      <w:divBdr>
                        <w:top w:val="none" w:sz="0" w:space="0" w:color="auto"/>
                        <w:left w:val="none" w:sz="0" w:space="0" w:color="auto"/>
                        <w:bottom w:val="none" w:sz="0" w:space="0" w:color="auto"/>
                        <w:right w:val="none" w:sz="0" w:space="0" w:color="auto"/>
                      </w:divBdr>
                      <w:divsChild>
                        <w:div w:id="717362683">
                          <w:marLeft w:val="0"/>
                          <w:marRight w:val="0"/>
                          <w:marTop w:val="0"/>
                          <w:marBottom w:val="0"/>
                          <w:divBdr>
                            <w:top w:val="none" w:sz="0" w:space="0" w:color="auto"/>
                            <w:left w:val="none" w:sz="0" w:space="0" w:color="auto"/>
                            <w:bottom w:val="none" w:sz="0" w:space="0" w:color="auto"/>
                            <w:right w:val="none" w:sz="0" w:space="0" w:color="auto"/>
                          </w:divBdr>
                          <w:divsChild>
                            <w:div w:id="2034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8564">
      <w:bodyDiv w:val="1"/>
      <w:marLeft w:val="0"/>
      <w:marRight w:val="0"/>
      <w:marTop w:val="0"/>
      <w:marBottom w:val="0"/>
      <w:divBdr>
        <w:top w:val="none" w:sz="0" w:space="0" w:color="auto"/>
        <w:left w:val="none" w:sz="0" w:space="0" w:color="auto"/>
        <w:bottom w:val="none" w:sz="0" w:space="0" w:color="auto"/>
        <w:right w:val="none" w:sz="0" w:space="0" w:color="auto"/>
      </w:divBdr>
      <w:divsChild>
        <w:div w:id="1292904373">
          <w:marLeft w:val="0"/>
          <w:marRight w:val="0"/>
          <w:marTop w:val="0"/>
          <w:marBottom w:val="0"/>
          <w:divBdr>
            <w:top w:val="none" w:sz="0" w:space="0" w:color="auto"/>
            <w:left w:val="none" w:sz="0" w:space="0" w:color="auto"/>
            <w:bottom w:val="none" w:sz="0" w:space="0" w:color="auto"/>
            <w:right w:val="none" w:sz="0" w:space="0" w:color="auto"/>
          </w:divBdr>
          <w:divsChild>
            <w:div w:id="19074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4972">
      <w:bodyDiv w:val="1"/>
      <w:marLeft w:val="0"/>
      <w:marRight w:val="0"/>
      <w:marTop w:val="0"/>
      <w:marBottom w:val="0"/>
      <w:divBdr>
        <w:top w:val="none" w:sz="0" w:space="0" w:color="auto"/>
        <w:left w:val="none" w:sz="0" w:space="0" w:color="auto"/>
        <w:bottom w:val="none" w:sz="0" w:space="0" w:color="auto"/>
        <w:right w:val="none" w:sz="0" w:space="0" w:color="auto"/>
      </w:divBdr>
      <w:divsChild>
        <w:div w:id="1365248788">
          <w:marLeft w:val="0"/>
          <w:marRight w:val="0"/>
          <w:marTop w:val="0"/>
          <w:marBottom w:val="0"/>
          <w:divBdr>
            <w:top w:val="none" w:sz="0" w:space="0" w:color="auto"/>
            <w:left w:val="none" w:sz="0" w:space="0" w:color="auto"/>
            <w:bottom w:val="none" w:sz="0" w:space="0" w:color="auto"/>
            <w:right w:val="none" w:sz="0" w:space="0" w:color="auto"/>
          </w:divBdr>
          <w:divsChild>
            <w:div w:id="1519538234">
              <w:marLeft w:val="0"/>
              <w:marRight w:val="0"/>
              <w:marTop w:val="0"/>
              <w:marBottom w:val="0"/>
              <w:divBdr>
                <w:top w:val="none" w:sz="0" w:space="0" w:color="auto"/>
                <w:left w:val="none" w:sz="0" w:space="0" w:color="auto"/>
                <w:bottom w:val="none" w:sz="0" w:space="0" w:color="auto"/>
                <w:right w:val="none" w:sz="0" w:space="0" w:color="auto"/>
              </w:divBdr>
              <w:divsChild>
                <w:div w:id="219218393">
                  <w:marLeft w:val="0"/>
                  <w:marRight w:val="0"/>
                  <w:marTop w:val="0"/>
                  <w:marBottom w:val="0"/>
                  <w:divBdr>
                    <w:top w:val="none" w:sz="0" w:space="0" w:color="auto"/>
                    <w:left w:val="none" w:sz="0" w:space="0" w:color="auto"/>
                    <w:bottom w:val="none" w:sz="0" w:space="0" w:color="auto"/>
                    <w:right w:val="none" w:sz="0" w:space="0" w:color="auto"/>
                  </w:divBdr>
                  <w:divsChild>
                    <w:div w:id="179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1500</ap:Words>
  <ap:Characters>8252</ap:Characters>
  <ap:DocSecurity>0</ap:DocSecurity>
  <ap:Lines>68</ap:Lines>
  <ap:Paragraphs>19</ap:Paragraphs>
  <ap:ScaleCrop>false</ap:ScaleCrop>
  <ap:LinksUpToDate>false</ap:LinksUpToDate>
  <ap:CharactersWithSpaces>9733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2025-05-27T20:37:00.0000000Z</dcterms:created>
  <dcterms:modified xsi:type="dcterms:W3CDTF">2025-05-27T20:37:00.0000000Z</dcterms:modified>
  <dc:description>------------------------</dc:description>
  <dc:subject/>
  <dc:title/>
  <keywords/>
  <version/>
  <category/>
</coreProperties>
</file>