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63116B" w:rsidR="008D4AF3" w:rsidP="00173554" w:rsidRDefault="00900A8F" w14:paraId="6B19DE45" w14:textId="42EC8B0E">
      <w:pPr>
        <w:ind w:left="-993"/>
        <w:rPr>
          <w:b/>
          <w:bCs/>
          <w:szCs w:val="18"/>
        </w:rPr>
      </w:pPr>
      <w:r w:rsidRPr="0063116B">
        <w:rPr>
          <w:b/>
          <w:bCs/>
          <w:szCs w:val="18"/>
        </w:rPr>
        <w:t xml:space="preserve">Toetsingsformat </w:t>
      </w:r>
      <w:r w:rsidRPr="0063116B" w:rsidR="00766BEA">
        <w:rPr>
          <w:b/>
          <w:bCs/>
          <w:szCs w:val="18"/>
        </w:rPr>
        <w:t xml:space="preserve">NADER RAPPORT </w:t>
      </w:r>
      <w:r w:rsidRPr="0063116B" w:rsidR="00D30D2F">
        <w:rPr>
          <w:b/>
          <w:bCs/>
          <w:szCs w:val="18"/>
        </w:rPr>
        <w:t xml:space="preserve">Asielnoodmaatregelenwet </w:t>
      </w:r>
      <w:r w:rsidRPr="0063116B" w:rsidR="008D4AF3">
        <w:rPr>
          <w:b/>
          <w:bCs/>
          <w:szCs w:val="18"/>
        </w:rPr>
        <w:t xml:space="preserve">(versie </w:t>
      </w:r>
      <w:r w:rsidRPr="0063116B" w:rsidR="00766BEA">
        <w:rPr>
          <w:b/>
          <w:bCs/>
          <w:szCs w:val="18"/>
        </w:rPr>
        <w:t>2</w:t>
      </w:r>
      <w:r w:rsidRPr="0063116B" w:rsidR="00D30D2F">
        <w:rPr>
          <w:b/>
          <w:bCs/>
          <w:szCs w:val="18"/>
        </w:rPr>
        <w:t>6</w:t>
      </w:r>
      <w:r w:rsidRPr="0063116B" w:rsidR="00766BEA">
        <w:rPr>
          <w:b/>
          <w:bCs/>
          <w:szCs w:val="18"/>
        </w:rPr>
        <w:t xml:space="preserve"> FEBRUARI 2025</w:t>
      </w:r>
      <w:r w:rsidRPr="0063116B" w:rsidR="008D4AF3">
        <w:rPr>
          <w:b/>
          <w:bCs/>
          <w:szCs w:val="18"/>
        </w:rPr>
        <w:t>)</w:t>
      </w:r>
      <w:r w:rsidRPr="0063116B">
        <w:rPr>
          <w:b/>
          <w:bCs/>
          <w:szCs w:val="18"/>
        </w:rPr>
        <w:t xml:space="preserve"> </w:t>
      </w:r>
      <w:r w:rsidRPr="0063116B" w:rsidR="008D4AF3">
        <w:rPr>
          <w:b/>
          <w:bCs/>
          <w:szCs w:val="18"/>
        </w:rPr>
        <w:t xml:space="preserve"> </w:t>
      </w:r>
    </w:p>
    <w:p w:rsidRPr="0063116B" w:rsidR="00335222" w:rsidP="00BE4961" w:rsidRDefault="008D4AF3" w14:paraId="197D0CB2" w14:textId="17BFA9EC">
      <w:pPr>
        <w:ind w:left="-993"/>
        <w:rPr>
          <w:b/>
          <w:bCs/>
          <w:szCs w:val="18"/>
        </w:rPr>
      </w:pPr>
      <w:proofErr w:type="spellStart"/>
      <w:r w:rsidRPr="0063116B">
        <w:rPr>
          <w:b/>
          <w:bCs/>
          <w:szCs w:val="18"/>
        </w:rPr>
        <w:t>KetenID</w:t>
      </w:r>
      <w:proofErr w:type="spellEnd"/>
      <w:r w:rsidRPr="0063116B">
        <w:rPr>
          <w:b/>
          <w:bCs/>
          <w:szCs w:val="18"/>
        </w:rPr>
        <w:t xml:space="preserve">: </w:t>
      </w:r>
      <w:r w:rsidRPr="0063116B" w:rsidR="00BE4961">
        <w:rPr>
          <w:b/>
          <w:bCs/>
          <w:szCs w:val="18"/>
        </w:rPr>
        <w:t>WGK</w:t>
      </w:r>
      <w:r w:rsidRPr="0063116B" w:rsidR="00D30D2F">
        <w:rPr>
          <w:b/>
          <w:bCs/>
          <w:szCs w:val="18"/>
        </w:rPr>
        <w:t>27350</w:t>
      </w:r>
    </w:p>
    <w:p w:rsidRPr="0063116B" w:rsidR="000E3C0F" w:rsidP="00F12122" w:rsidRDefault="000E3C0F" w14:paraId="6D5CD7A3" w14:textId="77777777">
      <w:pPr>
        <w:ind w:left="-993"/>
        <w:rPr>
          <w:b/>
          <w:bCs/>
          <w:szCs w:val="18"/>
        </w:rPr>
      </w:pPr>
    </w:p>
    <w:p w:rsidRPr="0063116B" w:rsidR="00D901FD" w:rsidP="00F12122" w:rsidRDefault="00D901FD" w14:paraId="1DC9734A" w14:textId="77777777">
      <w:pPr>
        <w:ind w:left="-993"/>
        <w:rPr>
          <w:b/>
          <w:bCs/>
          <w:szCs w:val="18"/>
        </w:rPr>
      </w:pPr>
    </w:p>
    <w:tbl>
      <w:tblPr>
        <w:tblStyle w:val="Tabelraster"/>
        <w:tblW w:w="0" w:type="auto"/>
        <w:tblInd w:w="-9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68"/>
        <w:gridCol w:w="284"/>
        <w:gridCol w:w="4819"/>
      </w:tblGrid>
      <w:tr w:rsidRPr="0063116B" w:rsidR="00A841FB" w:rsidTr="00D901FD" w14:paraId="08BECD34" w14:textId="77777777">
        <w:tc>
          <w:tcPr>
            <w:tcW w:w="1668" w:type="dxa"/>
          </w:tcPr>
          <w:p w:rsidRPr="0063116B" w:rsidR="00A841FB" w:rsidP="00A841FB" w:rsidRDefault="00A841FB" w14:paraId="5458A716" w14:textId="232E2D80">
            <w:pPr>
              <w:rPr>
                <w:szCs w:val="18"/>
              </w:rPr>
            </w:pPr>
            <w:r w:rsidRPr="0063116B">
              <w:rPr>
                <w:szCs w:val="18"/>
              </w:rPr>
              <w:t>Toetser:</w:t>
            </w:r>
          </w:p>
        </w:tc>
        <w:tc>
          <w:tcPr>
            <w:tcW w:w="5103" w:type="dxa"/>
            <w:gridSpan w:val="2"/>
          </w:tcPr>
          <w:p w:rsidRPr="0063116B" w:rsidR="00A841FB" w:rsidP="00A841FB" w:rsidRDefault="00900A8F" w14:paraId="1E178E67" w14:textId="036CE2A3">
            <w:pPr>
              <w:rPr>
                <w:b/>
                <w:bCs/>
                <w:szCs w:val="18"/>
              </w:rPr>
            </w:pPr>
            <w:r w:rsidRPr="0063116B">
              <w:rPr>
                <w:szCs w:val="18"/>
              </w:rPr>
              <w:t xml:space="preserve"> </w:t>
            </w:r>
            <w:r w:rsidRPr="0063116B" w:rsidR="00A841FB">
              <w:rPr>
                <w:szCs w:val="18"/>
              </w:rPr>
              <w:t>(JenV/JZW)</w:t>
            </w:r>
          </w:p>
        </w:tc>
      </w:tr>
      <w:tr w:rsidRPr="0063116B" w:rsidR="00A841FB" w:rsidTr="00D901FD" w14:paraId="26F287A8" w14:textId="77777777">
        <w:tc>
          <w:tcPr>
            <w:tcW w:w="1668" w:type="dxa"/>
          </w:tcPr>
          <w:p w:rsidRPr="0063116B" w:rsidR="00A841FB" w:rsidP="00A841FB" w:rsidRDefault="00A841FB" w14:paraId="1AD2F7D2" w14:textId="15928063">
            <w:pPr>
              <w:rPr>
                <w:szCs w:val="18"/>
              </w:rPr>
            </w:pPr>
            <w:r w:rsidRPr="0063116B">
              <w:rPr>
                <w:szCs w:val="18"/>
              </w:rPr>
              <w:t>Co-toetsers</w:t>
            </w:r>
          </w:p>
        </w:tc>
        <w:tc>
          <w:tcPr>
            <w:tcW w:w="5103" w:type="dxa"/>
            <w:gridSpan w:val="2"/>
          </w:tcPr>
          <w:p w:rsidRPr="0063116B" w:rsidR="00A841FB" w:rsidP="00A841FB" w:rsidRDefault="00900A8F" w14:paraId="01BC115B" w14:textId="033F4556">
            <w:pPr>
              <w:rPr>
                <w:szCs w:val="18"/>
              </w:rPr>
            </w:pPr>
            <w:r w:rsidRPr="0063116B">
              <w:rPr>
                <w:szCs w:val="18"/>
              </w:rPr>
              <w:t xml:space="preserve"> </w:t>
            </w:r>
            <w:r w:rsidRPr="0063116B" w:rsidR="00A841FB">
              <w:rPr>
                <w:szCs w:val="18"/>
              </w:rPr>
              <w:t>(JenV/JZW)</w:t>
            </w:r>
          </w:p>
        </w:tc>
      </w:tr>
      <w:tr w:rsidRPr="0063116B" w:rsidR="00A841FB" w:rsidTr="00D901FD" w14:paraId="1E6F88BA" w14:textId="77777777">
        <w:tc>
          <w:tcPr>
            <w:tcW w:w="1668" w:type="dxa"/>
          </w:tcPr>
          <w:p w:rsidRPr="0063116B" w:rsidR="00A841FB" w:rsidP="00A841FB" w:rsidRDefault="00A841FB" w14:paraId="414B0955" w14:textId="26B7DDC6">
            <w:pPr>
              <w:rPr>
                <w:szCs w:val="18"/>
              </w:rPr>
            </w:pPr>
            <w:r w:rsidRPr="0063116B">
              <w:rPr>
                <w:szCs w:val="18"/>
              </w:rPr>
              <w:t>Dossierhouder:</w:t>
            </w:r>
          </w:p>
        </w:tc>
        <w:tc>
          <w:tcPr>
            <w:tcW w:w="5103" w:type="dxa"/>
            <w:gridSpan w:val="2"/>
          </w:tcPr>
          <w:p w:rsidRPr="0063116B" w:rsidR="00A841FB" w:rsidP="00A841FB" w:rsidRDefault="00BE4961" w14:paraId="76B1CF6D" w14:textId="2D53979C">
            <w:pPr>
              <w:rPr>
                <w:szCs w:val="18"/>
              </w:rPr>
            </w:pPr>
            <w:r w:rsidRPr="0063116B">
              <w:rPr>
                <w:szCs w:val="18"/>
              </w:rPr>
              <w:t xml:space="preserve"> (</w:t>
            </w:r>
            <w:proofErr w:type="spellStart"/>
            <w:r w:rsidRPr="0063116B" w:rsidR="00900A8F">
              <w:rPr>
                <w:szCs w:val="18"/>
              </w:rPr>
              <w:t>Min</w:t>
            </w:r>
            <w:r w:rsidRPr="0063116B">
              <w:rPr>
                <w:szCs w:val="18"/>
              </w:rPr>
              <w:t>AenM</w:t>
            </w:r>
            <w:proofErr w:type="spellEnd"/>
            <w:r w:rsidRPr="0063116B" w:rsidR="00900A8F">
              <w:rPr>
                <w:szCs w:val="18"/>
              </w:rPr>
              <w:t>)</w:t>
            </w:r>
          </w:p>
        </w:tc>
      </w:tr>
      <w:tr w:rsidRPr="0063116B" w:rsidR="00A841FB" w:rsidTr="000E3C0F" w14:paraId="4772932F" w14:textId="77777777">
        <w:trPr>
          <w:gridAfter w:val="1"/>
          <w:wAfter w:w="4819" w:type="dxa"/>
        </w:trPr>
        <w:tc>
          <w:tcPr>
            <w:tcW w:w="1952" w:type="dxa"/>
            <w:gridSpan w:val="2"/>
          </w:tcPr>
          <w:p w:rsidRPr="0063116B" w:rsidR="00A841FB" w:rsidP="00A841FB" w:rsidRDefault="00A841FB" w14:paraId="37DD126D" w14:textId="26252370">
            <w:pPr>
              <w:rPr>
                <w:szCs w:val="18"/>
              </w:rPr>
            </w:pPr>
          </w:p>
        </w:tc>
      </w:tr>
      <w:tr w:rsidRPr="0063116B" w:rsidR="00A841FB" w:rsidTr="000E3C0F" w14:paraId="74097A2D" w14:textId="77777777">
        <w:trPr>
          <w:gridAfter w:val="1"/>
          <w:wAfter w:w="4819" w:type="dxa"/>
        </w:trPr>
        <w:tc>
          <w:tcPr>
            <w:tcW w:w="1952" w:type="dxa"/>
            <w:gridSpan w:val="2"/>
          </w:tcPr>
          <w:p w:rsidRPr="0063116B" w:rsidR="00A841FB" w:rsidP="00A841FB" w:rsidRDefault="00A841FB" w14:paraId="3A0F324D" w14:textId="77777777">
            <w:pPr>
              <w:rPr>
                <w:szCs w:val="18"/>
              </w:rPr>
            </w:pPr>
          </w:p>
        </w:tc>
      </w:tr>
      <w:tr w:rsidRPr="0063116B" w:rsidR="00A841FB" w:rsidTr="000E3C0F" w14:paraId="537D6B89" w14:textId="77777777">
        <w:trPr>
          <w:gridAfter w:val="1"/>
          <w:wAfter w:w="4819" w:type="dxa"/>
        </w:trPr>
        <w:tc>
          <w:tcPr>
            <w:tcW w:w="1952" w:type="dxa"/>
            <w:gridSpan w:val="2"/>
          </w:tcPr>
          <w:p w:rsidRPr="0063116B" w:rsidR="00A841FB" w:rsidP="00A841FB" w:rsidRDefault="00A841FB" w14:paraId="012715D6" w14:textId="77777777">
            <w:pPr>
              <w:rPr>
                <w:szCs w:val="18"/>
              </w:rPr>
            </w:pPr>
          </w:p>
        </w:tc>
      </w:tr>
    </w:tbl>
    <w:p w:rsidRPr="0063116B" w:rsidR="005A7F5D" w:rsidP="00CE2A94" w:rsidRDefault="005A7F5D" w14:paraId="1185421A" w14:textId="77777777">
      <w:pPr>
        <w:ind w:left="-993"/>
        <w:rPr>
          <w:szCs w:val="18"/>
        </w:rPr>
      </w:pPr>
    </w:p>
    <w:tbl>
      <w:tblPr>
        <w:tblStyle w:val="Tabelraster"/>
        <w:tblW w:w="15701" w:type="dxa"/>
        <w:tblInd w:w="-885"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ayout w:type="fixed"/>
        <w:tblLook w:val="04A0" w:firstRow="1" w:lastRow="0" w:firstColumn="1" w:lastColumn="0" w:noHBand="0" w:noVBand="1"/>
      </w:tblPr>
      <w:tblGrid>
        <w:gridCol w:w="534"/>
        <w:gridCol w:w="2331"/>
        <w:gridCol w:w="5386"/>
        <w:gridCol w:w="3686"/>
        <w:gridCol w:w="3764"/>
      </w:tblGrid>
      <w:tr w:rsidRPr="0063116B" w:rsidR="005A7F5D" w:rsidTr="00A70653" w14:paraId="703AD7E4" w14:textId="77777777">
        <w:tc>
          <w:tcPr>
            <w:tcW w:w="2865" w:type="dxa"/>
            <w:gridSpan w:val="2"/>
          </w:tcPr>
          <w:p w:rsidRPr="0063116B" w:rsidR="005A7F5D" w:rsidP="005C238D" w:rsidRDefault="005A7F5D" w14:paraId="4045929F" w14:textId="77777777">
            <w:pPr>
              <w:rPr>
                <w:szCs w:val="18"/>
              </w:rPr>
            </w:pPr>
          </w:p>
        </w:tc>
        <w:tc>
          <w:tcPr>
            <w:tcW w:w="5386" w:type="dxa"/>
          </w:tcPr>
          <w:p w:rsidRPr="0063116B" w:rsidR="005A7F5D" w:rsidP="00196AD5" w:rsidRDefault="005A7F5D" w14:paraId="4816B9EC" w14:textId="591E9C49">
            <w:pPr>
              <w:rPr>
                <w:b/>
                <w:szCs w:val="18"/>
              </w:rPr>
            </w:pPr>
            <w:r w:rsidRPr="0063116B">
              <w:rPr>
                <w:b/>
                <w:szCs w:val="18"/>
              </w:rPr>
              <w:t>Opmerkingen</w:t>
            </w:r>
            <w:r w:rsidRPr="0063116B" w:rsidR="00D901FD">
              <w:rPr>
                <w:b/>
                <w:szCs w:val="18"/>
              </w:rPr>
              <w:t xml:space="preserve"> </w:t>
            </w:r>
          </w:p>
        </w:tc>
        <w:tc>
          <w:tcPr>
            <w:tcW w:w="3686" w:type="dxa"/>
          </w:tcPr>
          <w:p w:rsidRPr="0063116B" w:rsidR="005A7F5D" w:rsidP="00173554" w:rsidRDefault="005A7F5D" w14:paraId="2AE77C9C" w14:textId="0D73EE54">
            <w:pPr>
              <w:rPr>
                <w:b/>
                <w:szCs w:val="18"/>
              </w:rPr>
            </w:pPr>
            <w:r w:rsidRPr="0063116B">
              <w:rPr>
                <w:b/>
                <w:szCs w:val="18"/>
              </w:rPr>
              <w:t>Reacties</w:t>
            </w:r>
            <w:r w:rsidRPr="0063116B" w:rsidR="00D901FD">
              <w:rPr>
                <w:b/>
                <w:szCs w:val="18"/>
              </w:rPr>
              <w:t xml:space="preserve"> dossierhouder </w:t>
            </w:r>
            <w:r w:rsidRPr="0063116B">
              <w:rPr>
                <w:b/>
                <w:szCs w:val="18"/>
              </w:rPr>
              <w:t>()</w:t>
            </w:r>
          </w:p>
        </w:tc>
        <w:tc>
          <w:tcPr>
            <w:tcW w:w="3764" w:type="dxa"/>
          </w:tcPr>
          <w:p w:rsidRPr="0063116B" w:rsidR="005A7F5D" w:rsidP="00F12122" w:rsidRDefault="00D901FD" w14:paraId="0DA43967" w14:textId="77777777">
            <w:pPr>
              <w:rPr>
                <w:b/>
                <w:szCs w:val="18"/>
              </w:rPr>
            </w:pPr>
            <w:r w:rsidRPr="0063116B">
              <w:rPr>
                <w:b/>
                <w:szCs w:val="18"/>
              </w:rPr>
              <w:t xml:space="preserve">Reacties toetser </w:t>
            </w:r>
            <w:r w:rsidRPr="0063116B" w:rsidR="005A7F5D">
              <w:rPr>
                <w:b/>
                <w:szCs w:val="18"/>
              </w:rPr>
              <w:t>(</w:t>
            </w:r>
            <w:proofErr w:type="spellStart"/>
            <w:r w:rsidRPr="0063116B" w:rsidR="005A7F5D">
              <w:rPr>
                <w:b/>
                <w:szCs w:val="18"/>
              </w:rPr>
              <w:t>dd</w:t>
            </w:r>
            <w:proofErr w:type="spellEnd"/>
            <w:r w:rsidRPr="0063116B" w:rsidR="005A7F5D">
              <w:rPr>
                <w:b/>
                <w:szCs w:val="18"/>
              </w:rPr>
              <w:t>-mm-</w:t>
            </w:r>
            <w:proofErr w:type="spellStart"/>
            <w:r w:rsidRPr="0063116B" w:rsidR="005A7F5D">
              <w:rPr>
                <w:b/>
                <w:szCs w:val="18"/>
              </w:rPr>
              <w:t>jjjj</w:t>
            </w:r>
            <w:proofErr w:type="spellEnd"/>
            <w:r w:rsidRPr="0063116B" w:rsidR="005A7F5D">
              <w:rPr>
                <w:b/>
                <w:szCs w:val="18"/>
              </w:rPr>
              <w:t>)</w:t>
            </w:r>
          </w:p>
        </w:tc>
      </w:tr>
      <w:tr w:rsidRPr="0063116B" w:rsidR="0029303C" w:rsidTr="00A70653" w14:paraId="6BD92B3B" w14:textId="77777777">
        <w:tc>
          <w:tcPr>
            <w:tcW w:w="534" w:type="dxa"/>
          </w:tcPr>
          <w:p w:rsidRPr="0063116B" w:rsidR="0029303C" w:rsidP="0050149F" w:rsidRDefault="0029303C" w14:paraId="6639A62B" w14:textId="77777777">
            <w:pPr>
              <w:pStyle w:val="Lijstalinea"/>
              <w:numPr>
                <w:ilvl w:val="0"/>
                <w:numId w:val="3"/>
              </w:numPr>
              <w:rPr>
                <w:szCs w:val="18"/>
              </w:rPr>
            </w:pPr>
          </w:p>
        </w:tc>
        <w:tc>
          <w:tcPr>
            <w:tcW w:w="2331" w:type="dxa"/>
          </w:tcPr>
          <w:p w:rsidRPr="0063116B" w:rsidR="0029303C" w:rsidP="0029303C" w:rsidRDefault="00F133FA" w14:paraId="4CA8A1DA" w14:textId="552741AA">
            <w:pPr>
              <w:rPr>
                <w:szCs w:val="18"/>
              </w:rPr>
            </w:pPr>
            <w:r w:rsidRPr="0063116B">
              <w:rPr>
                <w:szCs w:val="18"/>
              </w:rPr>
              <w:t>Algemeen</w:t>
            </w:r>
          </w:p>
        </w:tc>
        <w:tc>
          <w:tcPr>
            <w:tcW w:w="5386" w:type="dxa"/>
          </w:tcPr>
          <w:p w:rsidRPr="0063116B" w:rsidR="0029303C" w:rsidP="00BF39F7" w:rsidRDefault="00766BEA" w14:paraId="48B2CE04" w14:textId="5D2B523E">
            <w:pPr>
              <w:rPr>
                <w:szCs w:val="18"/>
              </w:rPr>
            </w:pPr>
            <w:r w:rsidRPr="0063116B">
              <w:rPr>
                <w:szCs w:val="18"/>
              </w:rPr>
              <w:t xml:space="preserve">Een groot deel van de opmerkingen van de Afdeling </w:t>
            </w:r>
            <w:r w:rsidRPr="0063116B" w:rsidR="00F158E8">
              <w:rPr>
                <w:szCs w:val="18"/>
              </w:rPr>
              <w:t xml:space="preserve">hebben we </w:t>
            </w:r>
            <w:r w:rsidRPr="0063116B">
              <w:rPr>
                <w:szCs w:val="18"/>
              </w:rPr>
              <w:t>ook opgebracht bij de wetgevingstoets va</w:t>
            </w:r>
            <w:r w:rsidRPr="0063116B" w:rsidR="00353649">
              <w:rPr>
                <w:szCs w:val="18"/>
              </w:rPr>
              <w:t>n</w:t>
            </w:r>
            <w:r w:rsidRPr="0063116B">
              <w:rPr>
                <w:szCs w:val="18"/>
              </w:rPr>
              <w:t xml:space="preserve"> het ontwerp voordat het naar de </w:t>
            </w:r>
            <w:proofErr w:type="spellStart"/>
            <w:r w:rsidRPr="0063116B">
              <w:rPr>
                <w:szCs w:val="18"/>
              </w:rPr>
              <w:t>RvSt</w:t>
            </w:r>
            <w:proofErr w:type="spellEnd"/>
            <w:r w:rsidRPr="0063116B">
              <w:rPr>
                <w:szCs w:val="18"/>
              </w:rPr>
              <w:t xml:space="preserve"> is gezonden. Daarbij wijzen we met name op</w:t>
            </w:r>
            <w:r w:rsidR="00872A7A">
              <w:rPr>
                <w:szCs w:val="18"/>
              </w:rPr>
              <w:t xml:space="preserve"> dit punt</w:t>
            </w:r>
            <w:r w:rsidRPr="0063116B">
              <w:rPr>
                <w:szCs w:val="18"/>
              </w:rPr>
              <w:t>:</w:t>
            </w:r>
          </w:p>
          <w:p w:rsidR="00C244B3" w:rsidP="00872A7A" w:rsidRDefault="00374A18" w14:paraId="40592D1C" w14:textId="77777777">
            <w:pPr>
              <w:rPr>
                <w:szCs w:val="18"/>
              </w:rPr>
            </w:pPr>
            <w:r w:rsidRPr="0063116B">
              <w:rPr>
                <w:szCs w:val="18"/>
              </w:rPr>
              <w:t xml:space="preserve">“De noodzaak van het wetsvoorstel wordt onderbouwd door naast de specifiek aan asielverlening gerelateerde problemen ook een aantal maatschappelijke problemen van algemener aard te noemen (woongelegenheid, zorg, onderwijs) zonder te beschrijven wat de relatieve bijdrage van de asielinstroom bij die problemen is. Dat wekt de indruk dat de argumenten bij elkaar geveegd zijn in plaats van een grondige en </w:t>
            </w:r>
            <w:proofErr w:type="spellStart"/>
            <w:r w:rsidRPr="0063116B">
              <w:rPr>
                <w:szCs w:val="18"/>
              </w:rPr>
              <w:t>welonderbouwde</w:t>
            </w:r>
            <w:proofErr w:type="spellEnd"/>
            <w:r w:rsidRPr="0063116B">
              <w:rPr>
                <w:szCs w:val="18"/>
              </w:rPr>
              <w:t xml:space="preserve"> analyse van de problemen die met dit voorstel aangepakt moeten worden.”</w:t>
            </w:r>
          </w:p>
          <w:p w:rsidRPr="0063116B" w:rsidR="00872A7A" w:rsidP="00872A7A" w:rsidRDefault="00872A7A" w14:paraId="7C56070D" w14:textId="32063689">
            <w:pPr>
              <w:rPr>
                <w:szCs w:val="18"/>
              </w:rPr>
            </w:pPr>
            <w:r>
              <w:rPr>
                <w:szCs w:val="18"/>
              </w:rPr>
              <w:t>Ook in de fase van het nader rapport wordt dit niet gedaan.</w:t>
            </w:r>
          </w:p>
        </w:tc>
        <w:tc>
          <w:tcPr>
            <w:tcW w:w="3686" w:type="dxa"/>
          </w:tcPr>
          <w:p w:rsidRPr="0063116B" w:rsidR="0029303C" w:rsidP="0029303C" w:rsidRDefault="0029303C" w14:paraId="0B597C48" w14:textId="19805A29">
            <w:pPr>
              <w:rPr>
                <w:szCs w:val="18"/>
              </w:rPr>
            </w:pPr>
          </w:p>
        </w:tc>
        <w:tc>
          <w:tcPr>
            <w:tcW w:w="3764" w:type="dxa"/>
          </w:tcPr>
          <w:p w:rsidRPr="0063116B" w:rsidR="0029303C" w:rsidP="0029303C" w:rsidRDefault="0029303C" w14:paraId="030181B2" w14:textId="77777777">
            <w:pPr>
              <w:rPr>
                <w:szCs w:val="18"/>
              </w:rPr>
            </w:pPr>
          </w:p>
        </w:tc>
      </w:tr>
      <w:tr w:rsidRPr="0063116B" w:rsidR="00374A18" w:rsidTr="00A70653" w14:paraId="3415DB3A" w14:textId="77777777">
        <w:tc>
          <w:tcPr>
            <w:tcW w:w="534" w:type="dxa"/>
          </w:tcPr>
          <w:p w:rsidRPr="0063116B" w:rsidR="00374A18" w:rsidP="0050149F" w:rsidRDefault="00374A18" w14:paraId="3B060135" w14:textId="77777777">
            <w:pPr>
              <w:pStyle w:val="Lijstalinea"/>
              <w:numPr>
                <w:ilvl w:val="0"/>
                <w:numId w:val="3"/>
              </w:numPr>
              <w:rPr>
                <w:szCs w:val="18"/>
              </w:rPr>
            </w:pPr>
          </w:p>
        </w:tc>
        <w:tc>
          <w:tcPr>
            <w:tcW w:w="2331" w:type="dxa"/>
          </w:tcPr>
          <w:p w:rsidRPr="0063116B" w:rsidR="00374A18" w:rsidP="0029303C" w:rsidRDefault="00374A18" w14:paraId="706921CC" w14:textId="77777777">
            <w:pPr>
              <w:rPr>
                <w:szCs w:val="18"/>
              </w:rPr>
            </w:pPr>
          </w:p>
        </w:tc>
        <w:tc>
          <w:tcPr>
            <w:tcW w:w="5386" w:type="dxa"/>
          </w:tcPr>
          <w:p w:rsidRPr="0063116B" w:rsidR="00597DC4" w:rsidP="00030C2C" w:rsidRDefault="00597DC4" w14:paraId="2D22BC55" w14:textId="257759A3">
            <w:pPr>
              <w:rPr>
                <w:szCs w:val="18"/>
              </w:rPr>
            </w:pPr>
            <w:r w:rsidRPr="0063116B">
              <w:rPr>
                <w:szCs w:val="18"/>
              </w:rPr>
              <w:t xml:space="preserve">De advisering van de Raad van State heeft tot doel de kwaliteit van wetgeving te verbeteren. In het ergste geval door af te zien van die wetgeving maar bij minder verregaande kritiek door de aanbevelingen van de Raad serieus te nemen. Dat kan zijn door de maatregelen aan te passen, door de toelichting te verbeteren zodat het debat met het parlement op een betere grondslag kan plaatsvinden. </w:t>
            </w:r>
            <w:r w:rsidRPr="0063116B" w:rsidR="00030C2C">
              <w:rPr>
                <w:szCs w:val="18"/>
              </w:rPr>
              <w:t xml:space="preserve">In dat licht valt op dat uit het </w:t>
            </w:r>
            <w:r w:rsidRPr="0063116B" w:rsidR="00F34225">
              <w:rPr>
                <w:szCs w:val="18"/>
              </w:rPr>
              <w:t xml:space="preserve">nader rapport </w:t>
            </w:r>
            <w:r w:rsidRPr="0063116B" w:rsidR="00030C2C">
              <w:rPr>
                <w:szCs w:val="18"/>
              </w:rPr>
              <w:t xml:space="preserve">(een bij een C-advies ongebruikelijke) </w:t>
            </w:r>
            <w:r w:rsidRPr="0063116B" w:rsidR="00F34225">
              <w:rPr>
                <w:szCs w:val="18"/>
              </w:rPr>
              <w:t xml:space="preserve">onwil </w:t>
            </w:r>
            <w:r w:rsidRPr="0063116B" w:rsidR="00030C2C">
              <w:rPr>
                <w:szCs w:val="18"/>
              </w:rPr>
              <w:t xml:space="preserve">blijkt </w:t>
            </w:r>
            <w:r w:rsidRPr="0063116B" w:rsidR="00F34225">
              <w:rPr>
                <w:szCs w:val="18"/>
              </w:rPr>
              <w:t>om de aanbevelingen van de Afdeling op te volgen</w:t>
            </w:r>
            <w:r w:rsidRPr="0063116B" w:rsidR="00030C2C">
              <w:rPr>
                <w:szCs w:val="18"/>
              </w:rPr>
              <w:t xml:space="preserve">. Dat ligt ook </w:t>
            </w:r>
            <w:r w:rsidRPr="0063116B">
              <w:rPr>
                <w:szCs w:val="18"/>
              </w:rPr>
              <w:t xml:space="preserve">in lijn met </w:t>
            </w:r>
            <w:r w:rsidRPr="0063116B" w:rsidR="00F34225">
              <w:rPr>
                <w:szCs w:val="18"/>
              </w:rPr>
              <w:t xml:space="preserve">de eerste reactie van de Minister van </w:t>
            </w:r>
            <w:proofErr w:type="spellStart"/>
            <w:r w:rsidRPr="0063116B" w:rsidR="00F34225">
              <w:rPr>
                <w:szCs w:val="18"/>
              </w:rPr>
              <w:t>AenM</w:t>
            </w:r>
            <w:proofErr w:type="spellEnd"/>
            <w:r w:rsidRPr="0063116B" w:rsidR="00F34225">
              <w:rPr>
                <w:szCs w:val="18"/>
              </w:rPr>
              <w:t xml:space="preserve"> </w:t>
            </w:r>
            <w:r w:rsidRPr="0063116B" w:rsidR="00030C2C">
              <w:rPr>
                <w:szCs w:val="18"/>
              </w:rPr>
              <w:t xml:space="preserve">nadat bekend was dat de Afdeling negatief had </w:t>
            </w:r>
            <w:r w:rsidRPr="0063116B" w:rsidR="00030C2C">
              <w:rPr>
                <w:szCs w:val="18"/>
              </w:rPr>
              <w:lastRenderedPageBreak/>
              <w:t xml:space="preserve">geadviseerd, </w:t>
            </w:r>
            <w:r w:rsidRPr="0063116B" w:rsidR="00F34225">
              <w:rPr>
                <w:szCs w:val="18"/>
              </w:rPr>
              <w:t xml:space="preserve">dat de adviezen hoogstens aanleiding zouden geven tot het wijzigen van enkele punten en komma’s. </w:t>
            </w:r>
          </w:p>
          <w:p w:rsidRPr="0063116B" w:rsidR="00597DC4" w:rsidP="00DE3FA7" w:rsidRDefault="00030C2C" w14:paraId="0C427D42" w14:textId="3FE26DE3">
            <w:pPr>
              <w:rPr>
                <w:szCs w:val="18"/>
              </w:rPr>
            </w:pPr>
            <w:r w:rsidRPr="0063116B">
              <w:rPr>
                <w:szCs w:val="18"/>
              </w:rPr>
              <w:t xml:space="preserve">Dat roept het beeld op </w:t>
            </w:r>
            <w:r w:rsidRPr="0063116B" w:rsidR="00F34225">
              <w:rPr>
                <w:szCs w:val="18"/>
              </w:rPr>
              <w:t xml:space="preserve">dat de regering het verwerken van het advies van de Raad van State ziet als een zero </w:t>
            </w:r>
            <w:proofErr w:type="spellStart"/>
            <w:r w:rsidRPr="0063116B" w:rsidR="00F34225">
              <w:rPr>
                <w:szCs w:val="18"/>
              </w:rPr>
              <w:t>sum</w:t>
            </w:r>
            <w:proofErr w:type="spellEnd"/>
            <w:r w:rsidRPr="0063116B" w:rsidR="00F34225">
              <w:rPr>
                <w:szCs w:val="18"/>
              </w:rPr>
              <w:t xml:space="preserve"> game: </w:t>
            </w:r>
            <w:r w:rsidRPr="0063116B" w:rsidR="00597DC4">
              <w:rPr>
                <w:szCs w:val="18"/>
              </w:rPr>
              <w:t>ofwel de Afdeling, ofwel de regering heeft gelijk.</w:t>
            </w:r>
            <w:r w:rsidRPr="0063116B" w:rsidR="00DE3FA7">
              <w:rPr>
                <w:szCs w:val="18"/>
              </w:rPr>
              <w:t xml:space="preserve"> </w:t>
            </w:r>
            <w:r w:rsidRPr="0063116B">
              <w:rPr>
                <w:szCs w:val="18"/>
              </w:rPr>
              <w:t xml:space="preserve">Daarmee </w:t>
            </w:r>
            <w:r w:rsidRPr="0063116B" w:rsidR="00597DC4">
              <w:rPr>
                <w:szCs w:val="18"/>
              </w:rPr>
              <w:t xml:space="preserve">wordt miskend dat dat advies niet alleen </w:t>
            </w:r>
            <w:r w:rsidRPr="0063116B" w:rsidR="00032592">
              <w:rPr>
                <w:szCs w:val="18"/>
              </w:rPr>
              <w:t xml:space="preserve">de functie heeft om de </w:t>
            </w:r>
            <w:r w:rsidRPr="0063116B" w:rsidR="00597DC4">
              <w:rPr>
                <w:szCs w:val="18"/>
              </w:rPr>
              <w:t xml:space="preserve">regering </w:t>
            </w:r>
            <w:r w:rsidRPr="0063116B" w:rsidR="00DE3FA7">
              <w:rPr>
                <w:szCs w:val="18"/>
              </w:rPr>
              <w:t xml:space="preserve">te bewegen </w:t>
            </w:r>
            <w:r w:rsidRPr="0063116B" w:rsidR="00032592">
              <w:rPr>
                <w:szCs w:val="18"/>
              </w:rPr>
              <w:t xml:space="preserve">tot heroverweging op het voorstel en de toelichting daarop, </w:t>
            </w:r>
            <w:r w:rsidRPr="0063116B" w:rsidR="00597DC4">
              <w:rPr>
                <w:szCs w:val="18"/>
              </w:rPr>
              <w:t xml:space="preserve">maar ook om </w:t>
            </w:r>
            <w:r w:rsidRPr="0063116B" w:rsidR="00EF10EA">
              <w:rPr>
                <w:szCs w:val="18"/>
              </w:rPr>
              <w:t xml:space="preserve">het </w:t>
            </w:r>
            <w:r w:rsidRPr="0063116B" w:rsidR="00032592">
              <w:rPr>
                <w:szCs w:val="18"/>
              </w:rPr>
              <w:t xml:space="preserve">voorstel en toelichting </w:t>
            </w:r>
            <w:r w:rsidRPr="0063116B">
              <w:rPr>
                <w:szCs w:val="18"/>
              </w:rPr>
              <w:t xml:space="preserve">waar nodig kwalitatief </w:t>
            </w:r>
            <w:r w:rsidRPr="0063116B" w:rsidR="00032592">
              <w:rPr>
                <w:szCs w:val="18"/>
              </w:rPr>
              <w:t>te verbeteren</w:t>
            </w:r>
            <w:r w:rsidRPr="0063116B">
              <w:rPr>
                <w:szCs w:val="18"/>
              </w:rPr>
              <w:t xml:space="preserve">. De regering kan wel overtuigd zijn van de feitelijke positieve effecten en geen behoefte hebben aan een diepgaande nadere bezinning en onderbouwing, maar daardoor is </w:t>
            </w:r>
            <w:r w:rsidRPr="0063116B" w:rsidR="00597DC4">
              <w:rPr>
                <w:szCs w:val="18"/>
              </w:rPr>
              <w:t xml:space="preserve">de medewetgever, het parlement, </w:t>
            </w:r>
            <w:r w:rsidRPr="0063116B">
              <w:rPr>
                <w:szCs w:val="18"/>
              </w:rPr>
              <w:t xml:space="preserve">minder goed in staat </w:t>
            </w:r>
            <w:r w:rsidRPr="0063116B" w:rsidR="00EF10EA">
              <w:rPr>
                <w:szCs w:val="18"/>
              </w:rPr>
              <w:t xml:space="preserve">daarover een </w:t>
            </w:r>
            <w:r w:rsidRPr="0063116B">
              <w:rPr>
                <w:szCs w:val="18"/>
              </w:rPr>
              <w:t xml:space="preserve">onderbouwd </w:t>
            </w:r>
            <w:r w:rsidRPr="0063116B" w:rsidR="00EF10EA">
              <w:rPr>
                <w:szCs w:val="18"/>
              </w:rPr>
              <w:t>oordeel te vellen</w:t>
            </w:r>
            <w:r w:rsidRPr="0063116B">
              <w:rPr>
                <w:szCs w:val="18"/>
              </w:rPr>
              <w:t xml:space="preserve"> en dat kan ook </w:t>
            </w:r>
            <w:r w:rsidRPr="0063116B" w:rsidR="00597DC4">
              <w:rPr>
                <w:szCs w:val="18"/>
              </w:rPr>
              <w:t>de steun bij het parlement</w:t>
            </w:r>
            <w:r w:rsidRPr="0063116B" w:rsidR="00EF10EA">
              <w:rPr>
                <w:szCs w:val="18"/>
              </w:rPr>
              <w:t xml:space="preserve"> ondergraven</w:t>
            </w:r>
            <w:r w:rsidRPr="0063116B" w:rsidR="00597DC4">
              <w:rPr>
                <w:szCs w:val="18"/>
              </w:rPr>
              <w:t xml:space="preserve">. </w:t>
            </w:r>
          </w:p>
        </w:tc>
        <w:tc>
          <w:tcPr>
            <w:tcW w:w="3686" w:type="dxa"/>
          </w:tcPr>
          <w:p w:rsidRPr="0063116B" w:rsidR="00374A18" w:rsidP="0029303C" w:rsidRDefault="00374A18" w14:paraId="6DCC010D" w14:textId="77777777">
            <w:pPr>
              <w:rPr>
                <w:szCs w:val="18"/>
              </w:rPr>
            </w:pPr>
          </w:p>
        </w:tc>
        <w:tc>
          <w:tcPr>
            <w:tcW w:w="3764" w:type="dxa"/>
          </w:tcPr>
          <w:p w:rsidRPr="0063116B" w:rsidR="00374A18" w:rsidP="0029303C" w:rsidRDefault="00374A18" w14:paraId="465132C7" w14:textId="77777777">
            <w:pPr>
              <w:rPr>
                <w:szCs w:val="18"/>
              </w:rPr>
            </w:pPr>
          </w:p>
        </w:tc>
      </w:tr>
      <w:tr w:rsidRPr="0063116B" w:rsidR="00872A7A" w:rsidTr="00A70653" w14:paraId="05822B6F" w14:textId="77777777">
        <w:tc>
          <w:tcPr>
            <w:tcW w:w="534" w:type="dxa"/>
          </w:tcPr>
          <w:p w:rsidRPr="0063116B" w:rsidR="00872A7A" w:rsidP="00872A7A" w:rsidRDefault="00872A7A" w14:paraId="0D8B96D1" w14:textId="77777777">
            <w:pPr>
              <w:pStyle w:val="Lijstalinea"/>
              <w:numPr>
                <w:ilvl w:val="0"/>
                <w:numId w:val="3"/>
              </w:numPr>
              <w:rPr>
                <w:szCs w:val="18"/>
              </w:rPr>
            </w:pPr>
          </w:p>
        </w:tc>
        <w:tc>
          <w:tcPr>
            <w:tcW w:w="2331" w:type="dxa"/>
          </w:tcPr>
          <w:p w:rsidR="00872A7A" w:rsidP="00872A7A" w:rsidRDefault="00872A7A" w14:paraId="3F2584C0" w14:textId="0F5546A5">
            <w:pPr>
              <w:rPr>
                <w:szCs w:val="18"/>
              </w:rPr>
            </w:pPr>
            <w:r>
              <w:rPr>
                <w:szCs w:val="18"/>
              </w:rPr>
              <w:t>Punt 4</w:t>
            </w:r>
          </w:p>
        </w:tc>
        <w:tc>
          <w:tcPr>
            <w:tcW w:w="5386" w:type="dxa"/>
          </w:tcPr>
          <w:p w:rsidRPr="009D29A1" w:rsidR="00872A7A" w:rsidP="00872A7A" w:rsidRDefault="00872A7A" w14:paraId="5583D87E" w14:textId="77777777">
            <w:pPr>
              <w:rPr>
                <w:szCs w:val="18"/>
              </w:rPr>
            </w:pPr>
            <w:r w:rsidRPr="009D29A1">
              <w:rPr>
                <w:szCs w:val="18"/>
              </w:rPr>
              <w:t xml:space="preserve">De kritiek van de Afdeling op de wijze van voorbereiden en consulteren wordt gepareerd met een beroep op het belang om met spoed te komen tot een breed pakket aan maatregelen om de asielketen te ontlasten en de instroom van asielzoekers te verminderen. Daarbij wordt volstaan met een herhaling van wat al in de toelichting van het aan de Afdeling toegezonden ontwerp was opgevoerd, maar wat de Afdeling niet heeft overtuigd (getuige de overweging “dit wijst niet op het bestaan van bijzondere omstandigheden die afwijkingen van de normale wetgevingsprocedure rechtvaardigen”. </w:t>
            </w:r>
          </w:p>
          <w:p w:rsidRPr="0063116B" w:rsidR="00872A7A" w:rsidP="00872A7A" w:rsidRDefault="00872A7A" w14:paraId="1D6295C4" w14:textId="3E154E96">
            <w:pPr>
              <w:rPr>
                <w:szCs w:val="18"/>
              </w:rPr>
            </w:pPr>
            <w:r w:rsidRPr="009D29A1">
              <w:rPr>
                <w:szCs w:val="18"/>
              </w:rPr>
              <w:t xml:space="preserve">Er wordt geen inspanning gedaan om die door de regering veronderstelde bijzondere omstandigheden beter over het voetlicht te brengen. Wel wordt aangegeven dat de nagekomen reacties zijn meegenomen bij de besluitvorming over het ontwerp in de nader rapport-fase, maar daarbij wordt volstaan met de mededeling dat die niet tot andere inzichten hebben geleid bij de regering. In die reacties wordt in overwegende mate aanbevolen over te gaan tot implementatie van het Asiel- en migratiepact en niet eerst nog deze spoedmaatregelen te treffen. Daarbij wordt gewezen op de lasten en kosten van deze tussenstap. Er wordt niet gemotiveerd waarom dat </w:t>
            </w:r>
            <w:r w:rsidRPr="009D29A1">
              <w:rPr>
                <w:szCs w:val="18"/>
              </w:rPr>
              <w:lastRenderedPageBreak/>
              <w:t xml:space="preserve">de regering niet tot enig ander inzicht heeft weten te brengen.   </w:t>
            </w:r>
          </w:p>
        </w:tc>
        <w:tc>
          <w:tcPr>
            <w:tcW w:w="3686" w:type="dxa"/>
          </w:tcPr>
          <w:p w:rsidRPr="0063116B" w:rsidR="00872A7A" w:rsidP="00872A7A" w:rsidRDefault="00872A7A" w14:paraId="6A1835C6" w14:textId="77777777">
            <w:pPr>
              <w:rPr>
                <w:szCs w:val="18"/>
              </w:rPr>
            </w:pPr>
          </w:p>
        </w:tc>
        <w:tc>
          <w:tcPr>
            <w:tcW w:w="3764" w:type="dxa"/>
          </w:tcPr>
          <w:p w:rsidRPr="0063116B" w:rsidR="00872A7A" w:rsidP="00872A7A" w:rsidRDefault="00872A7A" w14:paraId="3DD3E843" w14:textId="77777777">
            <w:pPr>
              <w:rPr>
                <w:szCs w:val="18"/>
              </w:rPr>
            </w:pPr>
          </w:p>
        </w:tc>
      </w:tr>
      <w:tr w:rsidRPr="0063116B" w:rsidR="00872A7A" w:rsidTr="00A70653" w14:paraId="2BE408A5" w14:textId="77777777">
        <w:tc>
          <w:tcPr>
            <w:tcW w:w="534" w:type="dxa"/>
          </w:tcPr>
          <w:p w:rsidRPr="0063116B" w:rsidR="00872A7A" w:rsidP="00872A7A" w:rsidRDefault="00872A7A" w14:paraId="4EBA83E5" w14:textId="77777777">
            <w:pPr>
              <w:pStyle w:val="Lijstalinea"/>
              <w:numPr>
                <w:ilvl w:val="0"/>
                <w:numId w:val="3"/>
              </w:numPr>
              <w:rPr>
                <w:szCs w:val="18"/>
              </w:rPr>
            </w:pPr>
          </w:p>
        </w:tc>
        <w:tc>
          <w:tcPr>
            <w:tcW w:w="2331" w:type="dxa"/>
          </w:tcPr>
          <w:p w:rsidRPr="0063116B" w:rsidR="00872A7A" w:rsidP="00872A7A" w:rsidRDefault="00872A7A" w14:paraId="6462D5CF" w14:textId="03EC0B19">
            <w:pPr>
              <w:rPr>
                <w:szCs w:val="18"/>
              </w:rPr>
            </w:pPr>
            <w:r>
              <w:rPr>
                <w:szCs w:val="18"/>
              </w:rPr>
              <w:t>Punt 8b</w:t>
            </w:r>
          </w:p>
        </w:tc>
        <w:tc>
          <w:tcPr>
            <w:tcW w:w="5386" w:type="dxa"/>
          </w:tcPr>
          <w:p w:rsidRPr="0063116B" w:rsidR="00872A7A" w:rsidP="00872A7A" w:rsidRDefault="00872A7A" w14:paraId="24A7CD0F" w14:textId="34B409A4">
            <w:pPr>
              <w:rPr>
                <w:szCs w:val="18"/>
              </w:rPr>
            </w:pPr>
            <w:r w:rsidRPr="0063116B">
              <w:rPr>
                <w:szCs w:val="18"/>
              </w:rPr>
              <w:t xml:space="preserve">(N.a.v. noot 99 in het nader rapport:) in de </w:t>
            </w:r>
            <w:proofErr w:type="spellStart"/>
            <w:r w:rsidRPr="0063116B">
              <w:rPr>
                <w:szCs w:val="18"/>
              </w:rPr>
              <w:t>MvT</w:t>
            </w:r>
            <w:proofErr w:type="spellEnd"/>
            <w:r w:rsidRPr="0063116B">
              <w:rPr>
                <w:szCs w:val="18"/>
              </w:rPr>
              <w:t xml:space="preserve"> is gezegd dat dit wetsvoorstel de voornemenprocedure enkel in stand wil laten voor de procedures tot intrekking van internationale bescherming en voor de afwijzing van een status als langdurig verblijvende derdelander. De </w:t>
            </w:r>
            <w:proofErr w:type="spellStart"/>
            <w:r w:rsidRPr="0063116B">
              <w:rPr>
                <w:szCs w:val="18"/>
              </w:rPr>
              <w:t>RvSt</w:t>
            </w:r>
            <w:proofErr w:type="spellEnd"/>
            <w:r w:rsidRPr="0063116B">
              <w:rPr>
                <w:szCs w:val="18"/>
              </w:rPr>
              <w:t xml:space="preserve"> wijst er terecht op dat die procedure bovendien ook blijft gelden in de situatie dat de minister de aanvraag wil afwijzen op grond van gegevens die afwijken van de gegevens die de vreemdeling zelf heeft verstrekt. De minister moet dan namelijk op grond van artikel 4:7 </w:t>
            </w:r>
            <w:proofErr w:type="spellStart"/>
            <w:r w:rsidRPr="0063116B">
              <w:rPr>
                <w:szCs w:val="18"/>
              </w:rPr>
              <w:t>Awb</w:t>
            </w:r>
            <w:proofErr w:type="spellEnd"/>
            <w:r w:rsidRPr="0063116B">
              <w:rPr>
                <w:szCs w:val="18"/>
              </w:rPr>
              <w:t xml:space="preserve"> een voornemen uitbrengen. Intrekking van art. 39 </w:t>
            </w:r>
            <w:proofErr w:type="spellStart"/>
            <w:r w:rsidRPr="0063116B">
              <w:rPr>
                <w:szCs w:val="18"/>
              </w:rPr>
              <w:t>Vw</w:t>
            </w:r>
            <w:proofErr w:type="spellEnd"/>
            <w:r w:rsidRPr="0063116B">
              <w:rPr>
                <w:szCs w:val="18"/>
              </w:rPr>
              <w:t xml:space="preserve"> 2000 brengt daar dus geen verandering in.</w:t>
            </w:r>
          </w:p>
          <w:p w:rsidRPr="0063116B" w:rsidR="00872A7A" w:rsidP="00872A7A" w:rsidRDefault="00872A7A" w14:paraId="3EB15C70" w14:textId="208A27F3">
            <w:pPr>
              <w:rPr>
                <w:szCs w:val="18"/>
              </w:rPr>
            </w:pPr>
            <w:r w:rsidRPr="0063116B">
              <w:rPr>
                <w:szCs w:val="18"/>
              </w:rPr>
              <w:t xml:space="preserve">In de UW wordt wél ook die </w:t>
            </w:r>
            <w:proofErr w:type="spellStart"/>
            <w:r w:rsidRPr="0063116B">
              <w:rPr>
                <w:szCs w:val="18"/>
              </w:rPr>
              <w:t>Awb</w:t>
            </w:r>
            <w:proofErr w:type="spellEnd"/>
            <w:r w:rsidRPr="0063116B">
              <w:rPr>
                <w:szCs w:val="18"/>
              </w:rPr>
              <w:t xml:space="preserve">-voornemenprocedure buiten toepassing geplaatst. In de nieuwe bijlage wordt dit verschil weliswaar beschreven maar niet toegelicht waarom dat verschil bestaat. Het lijkt dus gewoon een omissie in het onderhavige wetsvoorstel. </w:t>
            </w:r>
            <w:r>
              <w:rPr>
                <w:szCs w:val="18"/>
              </w:rPr>
              <w:t>Waarom wordt die niet weggenomen zoals n</w:t>
            </w:r>
            <w:r w:rsidRPr="0063116B">
              <w:rPr>
                <w:szCs w:val="18"/>
              </w:rPr>
              <w:t>ormaliter in de fase van het nader rapport</w:t>
            </w:r>
            <w:r>
              <w:rPr>
                <w:szCs w:val="18"/>
              </w:rPr>
              <w:t xml:space="preserve"> alsnog zou gebeuren? </w:t>
            </w:r>
          </w:p>
        </w:tc>
        <w:tc>
          <w:tcPr>
            <w:tcW w:w="3686" w:type="dxa"/>
          </w:tcPr>
          <w:p w:rsidRPr="0063116B" w:rsidR="00872A7A" w:rsidP="00872A7A" w:rsidRDefault="00872A7A" w14:paraId="3534004B" w14:textId="77777777">
            <w:pPr>
              <w:rPr>
                <w:szCs w:val="18"/>
              </w:rPr>
            </w:pPr>
          </w:p>
        </w:tc>
        <w:tc>
          <w:tcPr>
            <w:tcW w:w="3764" w:type="dxa"/>
          </w:tcPr>
          <w:p w:rsidRPr="0063116B" w:rsidR="00872A7A" w:rsidP="00872A7A" w:rsidRDefault="00872A7A" w14:paraId="26FBFB4A" w14:textId="77777777">
            <w:pPr>
              <w:rPr>
                <w:szCs w:val="18"/>
              </w:rPr>
            </w:pPr>
          </w:p>
        </w:tc>
      </w:tr>
      <w:tr w:rsidRPr="0063116B" w:rsidR="00872A7A" w:rsidTr="00A70653" w14:paraId="2D88CE87" w14:textId="77777777">
        <w:tc>
          <w:tcPr>
            <w:tcW w:w="534" w:type="dxa"/>
          </w:tcPr>
          <w:p w:rsidRPr="0063116B" w:rsidR="00872A7A" w:rsidP="00872A7A" w:rsidRDefault="00872A7A" w14:paraId="4C5F203F" w14:textId="77777777">
            <w:pPr>
              <w:pStyle w:val="Lijstalinea"/>
              <w:numPr>
                <w:ilvl w:val="0"/>
                <w:numId w:val="3"/>
              </w:numPr>
              <w:rPr>
                <w:szCs w:val="18"/>
              </w:rPr>
            </w:pPr>
          </w:p>
        </w:tc>
        <w:tc>
          <w:tcPr>
            <w:tcW w:w="2331" w:type="dxa"/>
          </w:tcPr>
          <w:p w:rsidRPr="0063116B" w:rsidR="00872A7A" w:rsidP="00872A7A" w:rsidRDefault="00872A7A" w14:paraId="7864E7E0" w14:textId="77777777">
            <w:pPr>
              <w:rPr>
                <w:szCs w:val="18"/>
              </w:rPr>
            </w:pPr>
          </w:p>
        </w:tc>
        <w:tc>
          <w:tcPr>
            <w:tcW w:w="5386" w:type="dxa"/>
          </w:tcPr>
          <w:p w:rsidRPr="0063116B" w:rsidR="00872A7A" w:rsidP="00872A7A" w:rsidRDefault="00872A7A" w14:paraId="52207828" w14:textId="083BA16C">
            <w:pPr>
              <w:rPr>
                <w:szCs w:val="18"/>
              </w:rPr>
            </w:pPr>
            <w:r>
              <w:rPr>
                <w:szCs w:val="18"/>
              </w:rPr>
              <w:t>I</w:t>
            </w:r>
            <w:r w:rsidRPr="0063116B">
              <w:rPr>
                <w:szCs w:val="18"/>
              </w:rPr>
              <w:t xml:space="preserve">ets wat we bij de eerste wetgevingstoets al hadden moeten opmerken: dit wetsvoorstel </w:t>
            </w:r>
            <w:r>
              <w:rPr>
                <w:szCs w:val="18"/>
              </w:rPr>
              <w:t xml:space="preserve">beoogt </w:t>
            </w:r>
            <w:r w:rsidRPr="0063116B">
              <w:rPr>
                <w:szCs w:val="18"/>
              </w:rPr>
              <w:t xml:space="preserve">de voornemenprocedure in stand te laten voor de procedures rond tot intrekking van internationale bescherming en voor de afwijzing van een status als langdurig verblijvende derdelander, zoals </w:t>
            </w:r>
            <w:r>
              <w:rPr>
                <w:szCs w:val="18"/>
              </w:rPr>
              <w:t xml:space="preserve">nu al is geregeld </w:t>
            </w:r>
            <w:r w:rsidRPr="0063116B">
              <w:rPr>
                <w:szCs w:val="18"/>
              </w:rPr>
              <w:t xml:space="preserve">in Art. 45f </w:t>
            </w:r>
            <w:proofErr w:type="spellStart"/>
            <w:r w:rsidRPr="0063116B">
              <w:rPr>
                <w:szCs w:val="18"/>
              </w:rPr>
              <w:t>Vw</w:t>
            </w:r>
            <w:proofErr w:type="spellEnd"/>
            <w:r w:rsidRPr="0063116B">
              <w:rPr>
                <w:szCs w:val="18"/>
              </w:rPr>
              <w:t xml:space="preserve"> 2000. </w:t>
            </w:r>
            <w:r>
              <w:rPr>
                <w:szCs w:val="18"/>
              </w:rPr>
              <w:t>D</w:t>
            </w:r>
            <w:r w:rsidRPr="0063116B">
              <w:rPr>
                <w:szCs w:val="18"/>
              </w:rPr>
              <w:t xml:space="preserve">ie voornemenprocedure geldt doordat art. 39 van overeenkomstige toepassing </w:t>
            </w:r>
            <w:r>
              <w:rPr>
                <w:szCs w:val="18"/>
              </w:rPr>
              <w:t>wordt verklaard in de situaties van art. 45f. Echter, a</w:t>
            </w:r>
            <w:r w:rsidRPr="0063116B">
              <w:rPr>
                <w:szCs w:val="18"/>
              </w:rPr>
              <w:t xml:space="preserve">rtikel 39 wordt geschrapt in dit voorstel. Er moet dus sowieso iets gewijzigd worden dit wetsvoorstel om die voornemenprocedure te laten voortbestaan.  </w:t>
            </w:r>
          </w:p>
        </w:tc>
        <w:tc>
          <w:tcPr>
            <w:tcW w:w="3686" w:type="dxa"/>
          </w:tcPr>
          <w:p w:rsidRPr="0063116B" w:rsidR="00872A7A" w:rsidP="00872A7A" w:rsidRDefault="00872A7A" w14:paraId="42AE7311" w14:textId="77777777">
            <w:pPr>
              <w:rPr>
                <w:szCs w:val="18"/>
              </w:rPr>
            </w:pPr>
          </w:p>
        </w:tc>
        <w:tc>
          <w:tcPr>
            <w:tcW w:w="3764" w:type="dxa"/>
          </w:tcPr>
          <w:p w:rsidRPr="0063116B" w:rsidR="00872A7A" w:rsidP="00872A7A" w:rsidRDefault="00872A7A" w14:paraId="39813987" w14:textId="77777777">
            <w:pPr>
              <w:rPr>
                <w:szCs w:val="18"/>
              </w:rPr>
            </w:pPr>
          </w:p>
        </w:tc>
      </w:tr>
      <w:tr w:rsidRPr="0063116B" w:rsidR="00872A7A" w:rsidTr="00A70653" w14:paraId="0ED1D78B" w14:textId="77777777">
        <w:tc>
          <w:tcPr>
            <w:tcW w:w="534" w:type="dxa"/>
          </w:tcPr>
          <w:p w:rsidRPr="0063116B" w:rsidR="00872A7A" w:rsidP="00872A7A" w:rsidRDefault="00872A7A" w14:paraId="128D2E9F" w14:textId="77777777">
            <w:pPr>
              <w:pStyle w:val="Lijstalinea"/>
              <w:numPr>
                <w:ilvl w:val="0"/>
                <w:numId w:val="3"/>
              </w:numPr>
              <w:rPr>
                <w:szCs w:val="18"/>
              </w:rPr>
            </w:pPr>
          </w:p>
        </w:tc>
        <w:tc>
          <w:tcPr>
            <w:tcW w:w="2331" w:type="dxa"/>
          </w:tcPr>
          <w:p w:rsidRPr="0063116B" w:rsidR="00872A7A" w:rsidP="00872A7A" w:rsidRDefault="00872A7A" w14:paraId="4D423811" w14:textId="6435BB42">
            <w:pPr>
              <w:rPr>
                <w:szCs w:val="18"/>
              </w:rPr>
            </w:pPr>
            <w:r>
              <w:rPr>
                <w:szCs w:val="18"/>
              </w:rPr>
              <w:t>Punt 5a</w:t>
            </w:r>
          </w:p>
        </w:tc>
        <w:tc>
          <w:tcPr>
            <w:tcW w:w="5386" w:type="dxa"/>
          </w:tcPr>
          <w:p w:rsidRPr="0063116B" w:rsidR="00872A7A" w:rsidP="00872A7A" w:rsidRDefault="00872A7A" w14:paraId="006DC7C2" w14:textId="49DE4BE2">
            <w:pPr>
              <w:rPr>
                <w:szCs w:val="18"/>
              </w:rPr>
            </w:pPr>
            <w:r w:rsidRPr="0063116B">
              <w:rPr>
                <w:szCs w:val="18"/>
              </w:rPr>
              <w:t xml:space="preserve">In het nader rapport wordt gesteld dat de regering de wens heeft “waterbedeffecten binnen de EU te voorkomen”. Dat is simpelweg onverenigbaar met de voorafgaande zin waarin het doel is geformuleerd “de strengste toelatingsregels van de EU” te realiseren. Als je waterbedeffecten wil voorkomen, moet je streven naar zoveel mogelijk uniforme normen en procedures binnen de EU. Het unilateraal aanscherpen van de toelatingsregels </w:t>
            </w:r>
            <w:r w:rsidRPr="0063116B">
              <w:rPr>
                <w:szCs w:val="18"/>
              </w:rPr>
              <w:lastRenderedPageBreak/>
              <w:t xml:space="preserve">is alleen maar rationeel wanneer je juist wél mikt op dat waterbedeffect (namelijk: dat voor asielzoekers NLD minder, en andere EU-landen juist meer aantrekkelijk worden). </w:t>
            </w:r>
          </w:p>
        </w:tc>
        <w:tc>
          <w:tcPr>
            <w:tcW w:w="3686" w:type="dxa"/>
          </w:tcPr>
          <w:p w:rsidRPr="0063116B" w:rsidR="00872A7A" w:rsidP="00872A7A" w:rsidRDefault="00872A7A" w14:paraId="0E952051" w14:textId="77777777">
            <w:pPr>
              <w:rPr>
                <w:szCs w:val="18"/>
              </w:rPr>
            </w:pPr>
          </w:p>
        </w:tc>
        <w:tc>
          <w:tcPr>
            <w:tcW w:w="3764" w:type="dxa"/>
          </w:tcPr>
          <w:p w:rsidRPr="0063116B" w:rsidR="00872A7A" w:rsidP="00872A7A" w:rsidRDefault="00872A7A" w14:paraId="0A0577CE" w14:textId="77777777">
            <w:pPr>
              <w:rPr>
                <w:szCs w:val="18"/>
              </w:rPr>
            </w:pPr>
          </w:p>
        </w:tc>
      </w:tr>
      <w:tr w:rsidRPr="0063116B" w:rsidR="00872A7A" w:rsidTr="00A70653" w14:paraId="2F39B4DB" w14:textId="77777777">
        <w:tc>
          <w:tcPr>
            <w:tcW w:w="534" w:type="dxa"/>
          </w:tcPr>
          <w:p w:rsidRPr="0063116B" w:rsidR="00872A7A" w:rsidP="00872A7A" w:rsidRDefault="00872A7A" w14:paraId="0E84DC4D" w14:textId="77777777">
            <w:pPr>
              <w:pStyle w:val="Lijstalinea"/>
              <w:numPr>
                <w:ilvl w:val="0"/>
                <w:numId w:val="3"/>
              </w:numPr>
              <w:rPr>
                <w:szCs w:val="18"/>
              </w:rPr>
            </w:pPr>
          </w:p>
        </w:tc>
        <w:tc>
          <w:tcPr>
            <w:tcW w:w="2331" w:type="dxa"/>
          </w:tcPr>
          <w:p w:rsidRPr="0063116B" w:rsidR="00872A7A" w:rsidP="00872A7A" w:rsidRDefault="00872A7A" w14:paraId="1A043F08" w14:textId="2C10CB97">
            <w:pPr>
              <w:rPr>
                <w:szCs w:val="18"/>
              </w:rPr>
            </w:pPr>
          </w:p>
        </w:tc>
        <w:tc>
          <w:tcPr>
            <w:tcW w:w="5386" w:type="dxa"/>
          </w:tcPr>
          <w:p w:rsidRPr="0063116B" w:rsidR="00872A7A" w:rsidP="00872A7A" w:rsidRDefault="00872A7A" w14:paraId="33BEBBB5" w14:textId="77777777">
            <w:pPr>
              <w:rPr>
                <w:szCs w:val="18"/>
              </w:rPr>
            </w:pPr>
            <w:r w:rsidRPr="0063116B">
              <w:rPr>
                <w:szCs w:val="18"/>
              </w:rPr>
              <w:t>De vergelijking met Zweden is niet overtuigend:</w:t>
            </w:r>
          </w:p>
          <w:p w:rsidRPr="0063116B" w:rsidR="00872A7A" w:rsidP="00872A7A" w:rsidRDefault="00872A7A" w14:paraId="28EB3451" w14:textId="24955DDC">
            <w:pPr>
              <w:pStyle w:val="Lijstalinea"/>
              <w:numPr>
                <w:ilvl w:val="0"/>
                <w:numId w:val="15"/>
              </w:numPr>
              <w:rPr>
                <w:szCs w:val="18"/>
              </w:rPr>
            </w:pPr>
            <w:r w:rsidRPr="0063116B">
              <w:rPr>
                <w:szCs w:val="18"/>
              </w:rPr>
              <w:t xml:space="preserve">Zweden kende voorheen een veel ruimer toelatingsbeleid dan Nederland. In 2015 werden volgens </w:t>
            </w:r>
            <w:proofErr w:type="spellStart"/>
            <w:r w:rsidRPr="0063116B">
              <w:rPr>
                <w:szCs w:val="18"/>
              </w:rPr>
              <w:t>Eurostat</w:t>
            </w:r>
            <w:proofErr w:type="spellEnd"/>
            <w:r w:rsidRPr="0063116B">
              <w:rPr>
                <w:szCs w:val="18"/>
              </w:rPr>
              <w:t xml:space="preserve"> in Zweden meer dan 6x zoveel asielaanvragen gedaan als in Nederland. De uitgangssituatie is daarom </w:t>
            </w:r>
            <w:proofErr w:type="spellStart"/>
            <w:r w:rsidRPr="0063116B">
              <w:rPr>
                <w:szCs w:val="18"/>
              </w:rPr>
              <w:t>nauwelijk</w:t>
            </w:r>
            <w:proofErr w:type="spellEnd"/>
            <w:r w:rsidRPr="0063116B">
              <w:rPr>
                <w:szCs w:val="18"/>
              </w:rPr>
              <w:t xml:space="preserve"> vergelijkbaar. </w:t>
            </w:r>
          </w:p>
          <w:p w:rsidRPr="0063116B" w:rsidR="00872A7A" w:rsidP="00872A7A" w:rsidRDefault="00872A7A" w14:paraId="7D19DADD" w14:textId="57695B37">
            <w:pPr>
              <w:pStyle w:val="Lijstalinea"/>
              <w:numPr>
                <w:ilvl w:val="0"/>
                <w:numId w:val="15"/>
              </w:numPr>
              <w:rPr>
                <w:szCs w:val="18"/>
              </w:rPr>
            </w:pPr>
            <w:r w:rsidRPr="0063116B">
              <w:rPr>
                <w:szCs w:val="18"/>
              </w:rPr>
              <w:t>Er wordt enkel gezegd dat Zweden ‘een serie samenhangende maatregelen’ heeft getroffen, maar niet welke maatregelen dat zijn en of die overeenkwamen met wat met deze wetswijziging wordt voorgesteld.</w:t>
            </w:r>
          </w:p>
          <w:p w:rsidRPr="0063116B" w:rsidR="00872A7A" w:rsidP="00872A7A" w:rsidRDefault="00872A7A" w14:paraId="2FF2CD34" w14:textId="2FB12442">
            <w:pPr>
              <w:rPr>
                <w:szCs w:val="18"/>
              </w:rPr>
            </w:pPr>
            <w:r w:rsidRPr="0063116B">
              <w:rPr>
                <w:szCs w:val="18"/>
              </w:rPr>
              <w:t xml:space="preserve">Uit dit voorbeeld valt dus eigenlijk niets concreets af te leiden over de te verwachten effecten van de in deze wet voorgestelde maatregelen. </w:t>
            </w:r>
          </w:p>
        </w:tc>
        <w:tc>
          <w:tcPr>
            <w:tcW w:w="3686" w:type="dxa"/>
          </w:tcPr>
          <w:p w:rsidRPr="0063116B" w:rsidR="00872A7A" w:rsidP="00872A7A" w:rsidRDefault="00872A7A" w14:paraId="10B71FAE" w14:textId="77777777">
            <w:pPr>
              <w:rPr>
                <w:szCs w:val="18"/>
              </w:rPr>
            </w:pPr>
          </w:p>
        </w:tc>
        <w:tc>
          <w:tcPr>
            <w:tcW w:w="3764" w:type="dxa"/>
          </w:tcPr>
          <w:p w:rsidRPr="0063116B" w:rsidR="00872A7A" w:rsidP="00872A7A" w:rsidRDefault="00872A7A" w14:paraId="5C471D3E" w14:textId="77777777">
            <w:pPr>
              <w:rPr>
                <w:szCs w:val="18"/>
              </w:rPr>
            </w:pPr>
          </w:p>
        </w:tc>
      </w:tr>
      <w:tr w:rsidRPr="0063116B" w:rsidR="00872A7A" w:rsidTr="00A70653" w14:paraId="4B79A429" w14:textId="77777777">
        <w:tc>
          <w:tcPr>
            <w:tcW w:w="534" w:type="dxa"/>
          </w:tcPr>
          <w:p w:rsidRPr="0063116B" w:rsidR="00872A7A" w:rsidP="00872A7A" w:rsidRDefault="00872A7A" w14:paraId="573558D5" w14:textId="77777777">
            <w:pPr>
              <w:pStyle w:val="Lijstalinea"/>
              <w:numPr>
                <w:ilvl w:val="0"/>
                <w:numId w:val="3"/>
              </w:numPr>
              <w:rPr>
                <w:szCs w:val="18"/>
              </w:rPr>
            </w:pPr>
          </w:p>
        </w:tc>
        <w:tc>
          <w:tcPr>
            <w:tcW w:w="2331" w:type="dxa"/>
          </w:tcPr>
          <w:p w:rsidR="00872A7A" w:rsidP="00872A7A" w:rsidRDefault="00872A7A" w14:paraId="349DD964" w14:textId="544EB0AB">
            <w:pPr>
              <w:rPr>
                <w:szCs w:val="18"/>
              </w:rPr>
            </w:pPr>
            <w:r>
              <w:rPr>
                <w:szCs w:val="18"/>
              </w:rPr>
              <w:t>Punt 5b</w:t>
            </w:r>
          </w:p>
        </w:tc>
        <w:tc>
          <w:tcPr>
            <w:tcW w:w="5386" w:type="dxa"/>
          </w:tcPr>
          <w:p w:rsidRPr="0063116B" w:rsidR="00872A7A" w:rsidP="00872A7A" w:rsidRDefault="00872A7A" w14:paraId="26A9AE64" w14:textId="69DC79C5">
            <w:pPr>
              <w:rPr>
                <w:szCs w:val="18"/>
              </w:rPr>
            </w:pPr>
            <w:r w:rsidRPr="0063116B">
              <w:rPr>
                <w:rFonts w:cs="Arial"/>
                <w:szCs w:val="18"/>
              </w:rPr>
              <w:t>Er moet voorzien worden in een adequaat (lees: ruimer) budget en andere faciliterende maatregelen om uitvoeringsinstanties en rechterlijke macht in staat te stellen de (tijdelijke) verzwaring van de lasten op te kunnen vangen.</w:t>
            </w:r>
            <w:r>
              <w:rPr>
                <w:rFonts w:cs="Arial"/>
                <w:szCs w:val="18"/>
              </w:rPr>
              <w:t xml:space="preserve"> In de gewijzigde </w:t>
            </w:r>
            <w:proofErr w:type="spellStart"/>
            <w:r>
              <w:rPr>
                <w:rFonts w:cs="Arial"/>
                <w:szCs w:val="18"/>
              </w:rPr>
              <w:t>MvT</w:t>
            </w:r>
            <w:proofErr w:type="spellEnd"/>
            <w:r>
              <w:rPr>
                <w:rFonts w:cs="Arial"/>
                <w:szCs w:val="18"/>
              </w:rPr>
              <w:t xml:space="preserve"> is aandacht gegeven aan de</w:t>
            </w:r>
            <w:r w:rsidRPr="0063116B">
              <w:rPr>
                <w:rFonts w:cs="Arial"/>
                <w:szCs w:val="18"/>
              </w:rPr>
              <w:t xml:space="preserve"> (nagekomen) ramingen daarvan door IND en Raad voor de Rechtspraak</w:t>
            </w:r>
            <w:r>
              <w:rPr>
                <w:rFonts w:cs="Arial"/>
                <w:szCs w:val="18"/>
              </w:rPr>
              <w:t xml:space="preserve">, maar er </w:t>
            </w:r>
            <w:r w:rsidRPr="0063116B">
              <w:rPr>
                <w:rFonts w:cs="Arial"/>
                <w:szCs w:val="18"/>
              </w:rPr>
              <w:t>is nog geen reklening gehouden met de extra kosten voor rechtsbijstand. Een opgave van de Raad voor rechtsbijstand stelt dat de Asielnoodmaatregelenwet en de Wet invoering tweestatusstelsel tot een toename in de kosten van rechtsbijstand zal leiden van € 26,6</w:t>
            </w:r>
            <w:r>
              <w:rPr>
                <w:rFonts w:cs="Arial"/>
                <w:szCs w:val="18"/>
              </w:rPr>
              <w:t xml:space="preserve"> </w:t>
            </w:r>
            <w:r w:rsidRPr="0063116B">
              <w:rPr>
                <w:rFonts w:cs="Arial"/>
                <w:szCs w:val="18"/>
              </w:rPr>
              <w:t>miljoen + X bedrag vanwege verzwaring werkzaamheden.</w:t>
            </w:r>
            <w:r>
              <w:rPr>
                <w:rFonts w:cs="Arial"/>
                <w:szCs w:val="18"/>
              </w:rPr>
              <w:t xml:space="preserve"> Dat zou ook nog moeten worden verwerkt.</w:t>
            </w:r>
          </w:p>
        </w:tc>
        <w:tc>
          <w:tcPr>
            <w:tcW w:w="3686" w:type="dxa"/>
          </w:tcPr>
          <w:p w:rsidRPr="0063116B" w:rsidR="00872A7A" w:rsidP="00872A7A" w:rsidRDefault="00872A7A" w14:paraId="5693FCBB" w14:textId="77777777">
            <w:pPr>
              <w:rPr>
                <w:szCs w:val="18"/>
              </w:rPr>
            </w:pPr>
          </w:p>
        </w:tc>
        <w:tc>
          <w:tcPr>
            <w:tcW w:w="3764" w:type="dxa"/>
          </w:tcPr>
          <w:p w:rsidRPr="0063116B" w:rsidR="00872A7A" w:rsidP="00872A7A" w:rsidRDefault="00872A7A" w14:paraId="065379F0" w14:textId="77777777">
            <w:pPr>
              <w:rPr>
                <w:szCs w:val="18"/>
              </w:rPr>
            </w:pPr>
          </w:p>
        </w:tc>
      </w:tr>
      <w:tr w:rsidRPr="0063116B" w:rsidR="00872A7A" w:rsidTr="00A70653" w14:paraId="3A9B5044" w14:textId="77777777">
        <w:tc>
          <w:tcPr>
            <w:tcW w:w="534" w:type="dxa"/>
          </w:tcPr>
          <w:p w:rsidRPr="0063116B" w:rsidR="00872A7A" w:rsidP="00872A7A" w:rsidRDefault="00872A7A" w14:paraId="538C7485" w14:textId="77777777">
            <w:pPr>
              <w:pStyle w:val="Lijstalinea"/>
              <w:numPr>
                <w:ilvl w:val="0"/>
                <w:numId w:val="3"/>
              </w:numPr>
              <w:rPr>
                <w:szCs w:val="18"/>
              </w:rPr>
            </w:pPr>
          </w:p>
        </w:tc>
        <w:tc>
          <w:tcPr>
            <w:tcW w:w="2331" w:type="dxa"/>
          </w:tcPr>
          <w:p w:rsidRPr="0063116B" w:rsidR="00872A7A" w:rsidP="00872A7A" w:rsidRDefault="00872A7A" w14:paraId="4E5EF512" w14:textId="3071493F">
            <w:pPr>
              <w:rPr>
                <w:szCs w:val="18"/>
              </w:rPr>
            </w:pPr>
          </w:p>
        </w:tc>
        <w:tc>
          <w:tcPr>
            <w:tcW w:w="5386" w:type="dxa"/>
          </w:tcPr>
          <w:p w:rsidRPr="0063116B" w:rsidR="00872A7A" w:rsidP="00872A7A" w:rsidRDefault="00872A7A" w14:paraId="2BEC9CD1" w14:textId="0CD2E376">
            <w:pPr>
              <w:rPr>
                <w:szCs w:val="18"/>
              </w:rPr>
            </w:pPr>
            <w:r w:rsidRPr="0063116B">
              <w:rPr>
                <w:szCs w:val="18"/>
              </w:rPr>
              <w:t xml:space="preserve">Om snel concrete problemen op het spoor te komen bij de toepassing van de nieuwe regels lijkt het ons wenselijk dat een invoeringstoets wordt uitgevoerd bijvoorbeeld een half jaar na inwerkingtreding van de nieuwe regels. Dat zou ook een reactie kunnen zijn op de vraagtekens die de Afdeling stelt bij het feitelijk gevolg van deze maatregelen.  </w:t>
            </w:r>
          </w:p>
        </w:tc>
        <w:tc>
          <w:tcPr>
            <w:tcW w:w="3686" w:type="dxa"/>
          </w:tcPr>
          <w:p w:rsidRPr="0063116B" w:rsidR="00872A7A" w:rsidP="00872A7A" w:rsidRDefault="00872A7A" w14:paraId="2F48B945" w14:textId="77777777">
            <w:pPr>
              <w:rPr>
                <w:szCs w:val="18"/>
              </w:rPr>
            </w:pPr>
          </w:p>
        </w:tc>
        <w:tc>
          <w:tcPr>
            <w:tcW w:w="3764" w:type="dxa"/>
          </w:tcPr>
          <w:p w:rsidRPr="0063116B" w:rsidR="00872A7A" w:rsidP="00872A7A" w:rsidRDefault="00872A7A" w14:paraId="13F86083" w14:textId="77777777">
            <w:pPr>
              <w:rPr>
                <w:szCs w:val="18"/>
              </w:rPr>
            </w:pPr>
          </w:p>
        </w:tc>
      </w:tr>
      <w:tr w:rsidRPr="0063116B" w:rsidR="00872A7A" w:rsidTr="00A70653" w14:paraId="5908A492" w14:textId="77777777">
        <w:tc>
          <w:tcPr>
            <w:tcW w:w="534" w:type="dxa"/>
          </w:tcPr>
          <w:p w:rsidRPr="0063116B" w:rsidR="00872A7A" w:rsidP="00872A7A" w:rsidRDefault="00872A7A" w14:paraId="38AA6E2E" w14:textId="77777777">
            <w:pPr>
              <w:pStyle w:val="Lijstalinea"/>
              <w:numPr>
                <w:ilvl w:val="0"/>
                <w:numId w:val="3"/>
              </w:numPr>
              <w:rPr>
                <w:szCs w:val="18"/>
              </w:rPr>
            </w:pPr>
          </w:p>
        </w:tc>
        <w:tc>
          <w:tcPr>
            <w:tcW w:w="2331" w:type="dxa"/>
          </w:tcPr>
          <w:p w:rsidR="00872A7A" w:rsidP="00872A7A" w:rsidRDefault="00872A7A" w14:paraId="7D519D52" w14:textId="3537958E">
            <w:pPr>
              <w:rPr>
                <w:szCs w:val="18"/>
              </w:rPr>
            </w:pPr>
          </w:p>
        </w:tc>
        <w:tc>
          <w:tcPr>
            <w:tcW w:w="5386" w:type="dxa"/>
          </w:tcPr>
          <w:p w:rsidRPr="0063116B" w:rsidR="00872A7A" w:rsidP="00872A7A" w:rsidRDefault="00872A7A" w14:paraId="4E3BE813" w14:textId="77777777">
            <w:pPr>
              <w:rPr>
                <w:szCs w:val="18"/>
              </w:rPr>
            </w:pPr>
            <w:r>
              <w:rPr>
                <w:szCs w:val="18"/>
              </w:rPr>
              <w:t>(</w:t>
            </w:r>
            <w:proofErr w:type="spellStart"/>
            <w:r>
              <w:rPr>
                <w:szCs w:val="18"/>
              </w:rPr>
              <w:t>MvT</w:t>
            </w:r>
            <w:proofErr w:type="spellEnd"/>
            <w:r>
              <w:rPr>
                <w:szCs w:val="18"/>
              </w:rPr>
              <w:t xml:space="preserve"> 2.2.6.3) </w:t>
            </w:r>
            <w:r w:rsidRPr="0063116B">
              <w:rPr>
                <w:szCs w:val="18"/>
              </w:rPr>
              <w:t xml:space="preserve">In de aangepaste toelichting is terecht de zin geschrapt dat door dit wetsvoorstel het voor de IND </w:t>
            </w:r>
            <w:r w:rsidRPr="0063116B">
              <w:rPr>
                <w:szCs w:val="18"/>
              </w:rPr>
              <w:lastRenderedPageBreak/>
              <w:t xml:space="preserve">alsnog mogelijk wordt aanvragen als ongegrond af te wijzen als de vreemdeling niet meewerkt aan de procedure door bijvoorbeeld niet op gehoor te verschijnen. </w:t>
            </w:r>
            <w:r w:rsidRPr="0063116B">
              <w:rPr>
                <w:szCs w:val="18"/>
              </w:rPr>
              <w:br/>
              <w:t xml:space="preserve">De suggestie van die zin was dat het mogelijk zou zijn een aanvraag (kennelijk) ongegrond te verklaren </w:t>
            </w:r>
            <w:r w:rsidRPr="0063116B">
              <w:rPr>
                <w:szCs w:val="18"/>
                <w:u w:val="single"/>
              </w:rPr>
              <w:t>omdat</w:t>
            </w:r>
            <w:r w:rsidRPr="0063116B">
              <w:rPr>
                <w:szCs w:val="18"/>
              </w:rPr>
              <w:t xml:space="preserve"> een aanvrager niet is verschenen op een verhoor. Zoals aangegeven in ons eerder toetsingsverslag en in het advies van de </w:t>
            </w:r>
            <w:proofErr w:type="spellStart"/>
            <w:r w:rsidRPr="0063116B">
              <w:rPr>
                <w:szCs w:val="18"/>
              </w:rPr>
              <w:t>RvSt</w:t>
            </w:r>
            <w:proofErr w:type="spellEnd"/>
            <w:r w:rsidRPr="0063116B">
              <w:rPr>
                <w:szCs w:val="18"/>
              </w:rPr>
              <w:t xml:space="preserve"> is dat niet juist. Een aanvraag kan alleen ongegrond verklaard worden nadat bij een toereikend onderzoek ten gronde is geconstateerd dat geen noodzaak van bescherming bestaat. Het niet verschijnen kan als zodanig niet als argument gebruikt worden om het oordeel te onderbouwen dat daarvan geen sprake is. </w:t>
            </w:r>
          </w:p>
          <w:p w:rsidRPr="0063116B" w:rsidR="00872A7A" w:rsidP="00872A7A" w:rsidRDefault="00872A7A" w14:paraId="3F0D3EFC" w14:textId="6B42F438">
            <w:pPr>
              <w:rPr>
                <w:rFonts w:cs="Arial"/>
                <w:szCs w:val="18"/>
              </w:rPr>
            </w:pPr>
            <w:r w:rsidRPr="0063116B">
              <w:rPr>
                <w:szCs w:val="18"/>
              </w:rPr>
              <w:t>Echter: in de toelichting is de passage gehandhaafd over de pilot van de IND waarin bij niet verschijnen de aanname is dat de vreemdeling geen internationale bescherming nodig heeft. Zoals hierboven gezegd is ook na de voorgestelde wetswijziging zo’n redenering niet toelaatbaar. Die passage zou dus ook beter geschrapt kunnen worden.</w:t>
            </w:r>
          </w:p>
        </w:tc>
        <w:tc>
          <w:tcPr>
            <w:tcW w:w="3686" w:type="dxa"/>
          </w:tcPr>
          <w:p w:rsidRPr="0063116B" w:rsidR="00872A7A" w:rsidP="00872A7A" w:rsidRDefault="00872A7A" w14:paraId="7A362E79" w14:textId="77777777">
            <w:pPr>
              <w:rPr>
                <w:szCs w:val="18"/>
              </w:rPr>
            </w:pPr>
          </w:p>
        </w:tc>
        <w:tc>
          <w:tcPr>
            <w:tcW w:w="3764" w:type="dxa"/>
          </w:tcPr>
          <w:p w:rsidRPr="0063116B" w:rsidR="00872A7A" w:rsidP="00872A7A" w:rsidRDefault="00872A7A" w14:paraId="0BA1CB80" w14:textId="77777777">
            <w:pPr>
              <w:rPr>
                <w:szCs w:val="18"/>
              </w:rPr>
            </w:pPr>
          </w:p>
        </w:tc>
      </w:tr>
      <w:tr w:rsidRPr="0063116B" w:rsidR="00872A7A" w:rsidTr="00A70653" w14:paraId="123F0EE8" w14:textId="77777777">
        <w:tc>
          <w:tcPr>
            <w:tcW w:w="534" w:type="dxa"/>
          </w:tcPr>
          <w:p w:rsidRPr="0063116B" w:rsidR="00872A7A" w:rsidP="00872A7A" w:rsidRDefault="00872A7A" w14:paraId="2D634413" w14:textId="77777777">
            <w:pPr>
              <w:pStyle w:val="Lijstalinea"/>
              <w:numPr>
                <w:ilvl w:val="0"/>
                <w:numId w:val="3"/>
              </w:numPr>
              <w:rPr>
                <w:szCs w:val="18"/>
              </w:rPr>
            </w:pPr>
          </w:p>
        </w:tc>
        <w:tc>
          <w:tcPr>
            <w:tcW w:w="2331" w:type="dxa"/>
          </w:tcPr>
          <w:p w:rsidR="00872A7A" w:rsidP="00872A7A" w:rsidRDefault="00872A7A" w14:paraId="543757E8" w14:textId="4DA2AF21">
            <w:pPr>
              <w:rPr>
                <w:szCs w:val="18"/>
              </w:rPr>
            </w:pPr>
            <w:r>
              <w:rPr>
                <w:szCs w:val="18"/>
              </w:rPr>
              <w:t>Punt 6</w:t>
            </w:r>
          </w:p>
        </w:tc>
        <w:tc>
          <w:tcPr>
            <w:tcW w:w="5386" w:type="dxa"/>
          </w:tcPr>
          <w:p w:rsidRPr="0063116B" w:rsidR="00872A7A" w:rsidP="00872A7A" w:rsidRDefault="00872A7A" w14:paraId="752571DB" w14:textId="77777777">
            <w:pPr>
              <w:rPr>
                <w:rFonts w:cs="Arial" w:eastAsiaTheme="minorHAnsi"/>
                <w:szCs w:val="18"/>
                <w:lang w:eastAsia="en-US"/>
              </w:rPr>
            </w:pPr>
            <w:r w:rsidRPr="0063116B">
              <w:rPr>
                <w:rFonts w:cs="Arial"/>
                <w:szCs w:val="18"/>
              </w:rPr>
              <w:t xml:space="preserve">In de gewijzigde </w:t>
            </w:r>
            <w:proofErr w:type="spellStart"/>
            <w:r w:rsidRPr="0063116B">
              <w:rPr>
                <w:rFonts w:cs="Arial"/>
                <w:szCs w:val="18"/>
              </w:rPr>
              <w:t>MvT</w:t>
            </w:r>
            <w:proofErr w:type="spellEnd"/>
            <w:r w:rsidRPr="0063116B">
              <w:rPr>
                <w:rFonts w:cs="Arial"/>
                <w:szCs w:val="18"/>
              </w:rPr>
              <w:t xml:space="preserve"> is nu een bijlage opgenomen waarin de verhouding van deze voorstellen met de Uitvoeringswet </w:t>
            </w:r>
            <w:proofErr w:type="spellStart"/>
            <w:r w:rsidRPr="0063116B">
              <w:rPr>
                <w:rFonts w:cs="Arial"/>
                <w:szCs w:val="18"/>
              </w:rPr>
              <w:t>AenM</w:t>
            </w:r>
            <w:proofErr w:type="spellEnd"/>
            <w:r w:rsidRPr="0063116B">
              <w:rPr>
                <w:rFonts w:cs="Arial"/>
                <w:szCs w:val="18"/>
              </w:rPr>
              <w:t xml:space="preserve">-pact (hieronder kortweg UW) is geschetst. </w:t>
            </w:r>
          </w:p>
          <w:p w:rsidRPr="0063116B" w:rsidR="00872A7A" w:rsidP="00872A7A" w:rsidRDefault="00872A7A" w14:paraId="6A34324D" w14:textId="388DDBD7">
            <w:pPr>
              <w:rPr>
                <w:rFonts w:cs="Arial"/>
                <w:szCs w:val="18"/>
              </w:rPr>
            </w:pPr>
            <w:r w:rsidRPr="0063116B">
              <w:rPr>
                <w:rFonts w:eastAsia="Times New Roman" w:cs="Arial"/>
                <w:szCs w:val="18"/>
              </w:rPr>
              <w:t xml:space="preserve">Achtergrond: het is uitvoeringstechnisch niet wenselijk om een zigzagkoers te volgen bij de formulering van wettelijke normen ook al zou er inhoudelijk geen verschil uit voortlvloeien (ga van A naar C, in plaats van A - B - C). </w:t>
            </w:r>
            <w:r w:rsidRPr="0063116B">
              <w:rPr>
                <w:rFonts w:eastAsia="Times New Roman" w:cs="Arial"/>
                <w:szCs w:val="18"/>
              </w:rPr>
              <w:br/>
              <w:t>Dat is in ieder geval aan de orde bij het voorgestelde artikel 31a (kennelijk ongegrondverklaring bij gebrek aan medewerking). Dat artikel zal weer geschrapt moeten worden in de IA, omdat het pact op dit punt rechtstreeks verwijst naar de komende Procedureverordening en dus geen nationale normstelling toelaat.</w:t>
            </w:r>
          </w:p>
        </w:tc>
        <w:tc>
          <w:tcPr>
            <w:tcW w:w="3686" w:type="dxa"/>
          </w:tcPr>
          <w:p w:rsidRPr="0063116B" w:rsidR="00872A7A" w:rsidP="00872A7A" w:rsidRDefault="00872A7A" w14:paraId="6F7A97B3" w14:textId="77777777">
            <w:pPr>
              <w:rPr>
                <w:szCs w:val="18"/>
              </w:rPr>
            </w:pPr>
          </w:p>
        </w:tc>
        <w:tc>
          <w:tcPr>
            <w:tcW w:w="3764" w:type="dxa"/>
          </w:tcPr>
          <w:p w:rsidRPr="0063116B" w:rsidR="00872A7A" w:rsidP="00872A7A" w:rsidRDefault="00872A7A" w14:paraId="4D1AA52A" w14:textId="77777777">
            <w:pPr>
              <w:rPr>
                <w:szCs w:val="18"/>
              </w:rPr>
            </w:pPr>
          </w:p>
        </w:tc>
      </w:tr>
      <w:tr w:rsidRPr="0063116B" w:rsidR="00872A7A" w:rsidTr="00A70653" w14:paraId="4F04A268" w14:textId="77777777">
        <w:tc>
          <w:tcPr>
            <w:tcW w:w="534" w:type="dxa"/>
          </w:tcPr>
          <w:p w:rsidRPr="0063116B" w:rsidR="00872A7A" w:rsidP="00872A7A" w:rsidRDefault="00872A7A" w14:paraId="20ACC135" w14:textId="77777777">
            <w:pPr>
              <w:pStyle w:val="Lijstalinea"/>
              <w:numPr>
                <w:ilvl w:val="0"/>
                <w:numId w:val="3"/>
              </w:numPr>
              <w:rPr>
                <w:szCs w:val="18"/>
              </w:rPr>
            </w:pPr>
          </w:p>
        </w:tc>
        <w:tc>
          <w:tcPr>
            <w:tcW w:w="2331" w:type="dxa"/>
          </w:tcPr>
          <w:p w:rsidRPr="0063116B" w:rsidR="00872A7A" w:rsidP="00872A7A" w:rsidRDefault="00872A7A" w14:paraId="1E7CDBBB" w14:textId="73498F20">
            <w:pPr>
              <w:rPr>
                <w:szCs w:val="18"/>
              </w:rPr>
            </w:pPr>
            <w:r>
              <w:rPr>
                <w:szCs w:val="18"/>
              </w:rPr>
              <w:t>Punt 7</w:t>
            </w:r>
          </w:p>
        </w:tc>
        <w:tc>
          <w:tcPr>
            <w:tcW w:w="5386" w:type="dxa"/>
          </w:tcPr>
          <w:p w:rsidRPr="0063116B" w:rsidR="00872A7A" w:rsidP="00872A7A" w:rsidRDefault="00872A7A" w14:paraId="370667BB" w14:textId="2866F262">
            <w:pPr>
              <w:rPr>
                <w:rFonts w:cs="Arial" w:eastAsiaTheme="minorHAnsi"/>
                <w:szCs w:val="18"/>
                <w:lang w:eastAsia="en-US"/>
              </w:rPr>
            </w:pPr>
            <w:r w:rsidRPr="0063116B">
              <w:rPr>
                <w:rFonts w:cs="Arial"/>
                <w:szCs w:val="18"/>
              </w:rPr>
              <w:t xml:space="preserve">Het is wenselijk eerbiedigende werking te kiezen voor de beoordeling van lopende zaken. Zowel vanuit het oogpunt van behoorlijk bestuur bij het wijzigen van bestaande rechtsposities, als vanwege de complicaties en uitvoeringslasten wanneer halverwege een lopend traject een wijziging van de toepasselijke rechtsregels </w:t>
            </w:r>
            <w:r w:rsidRPr="0063116B">
              <w:rPr>
                <w:rFonts w:cs="Arial"/>
                <w:szCs w:val="18"/>
              </w:rPr>
              <w:lastRenderedPageBreak/>
              <w:t xml:space="preserve">moet worden verwerkt. Dit laatste heeft ook weer een kostenverhogend effect. </w:t>
            </w:r>
          </w:p>
        </w:tc>
        <w:tc>
          <w:tcPr>
            <w:tcW w:w="3686" w:type="dxa"/>
          </w:tcPr>
          <w:p w:rsidRPr="0063116B" w:rsidR="00872A7A" w:rsidP="00872A7A" w:rsidRDefault="00872A7A" w14:paraId="0BC63FC3" w14:textId="77777777">
            <w:pPr>
              <w:rPr>
                <w:szCs w:val="18"/>
              </w:rPr>
            </w:pPr>
          </w:p>
        </w:tc>
        <w:tc>
          <w:tcPr>
            <w:tcW w:w="3764" w:type="dxa"/>
          </w:tcPr>
          <w:p w:rsidRPr="0063116B" w:rsidR="00872A7A" w:rsidP="00872A7A" w:rsidRDefault="00872A7A" w14:paraId="4F88D29D" w14:textId="77777777">
            <w:pPr>
              <w:rPr>
                <w:szCs w:val="18"/>
              </w:rPr>
            </w:pPr>
          </w:p>
        </w:tc>
      </w:tr>
      <w:tr w:rsidRPr="0063116B" w:rsidR="00872A7A" w:rsidTr="00A70653" w14:paraId="00B80847" w14:textId="77777777">
        <w:tc>
          <w:tcPr>
            <w:tcW w:w="534" w:type="dxa"/>
          </w:tcPr>
          <w:p w:rsidRPr="0063116B" w:rsidR="00872A7A" w:rsidP="00872A7A" w:rsidRDefault="00872A7A" w14:paraId="15AF98A8" w14:textId="77777777">
            <w:pPr>
              <w:pStyle w:val="Lijstalinea"/>
              <w:numPr>
                <w:ilvl w:val="0"/>
                <w:numId w:val="3"/>
              </w:numPr>
              <w:rPr>
                <w:szCs w:val="18"/>
              </w:rPr>
            </w:pPr>
          </w:p>
        </w:tc>
        <w:tc>
          <w:tcPr>
            <w:tcW w:w="2331" w:type="dxa"/>
          </w:tcPr>
          <w:p w:rsidRPr="0063116B" w:rsidR="00872A7A" w:rsidP="00872A7A" w:rsidRDefault="00872A7A" w14:paraId="0C80148A" w14:textId="6B061541">
            <w:pPr>
              <w:rPr>
                <w:szCs w:val="18"/>
              </w:rPr>
            </w:pPr>
            <w:r>
              <w:rPr>
                <w:szCs w:val="18"/>
              </w:rPr>
              <w:t>Punt 8b</w:t>
            </w:r>
          </w:p>
        </w:tc>
        <w:tc>
          <w:tcPr>
            <w:tcW w:w="5386" w:type="dxa"/>
          </w:tcPr>
          <w:p w:rsidRPr="0063116B" w:rsidR="00872A7A" w:rsidP="00872A7A" w:rsidRDefault="00872A7A" w14:paraId="636A5CA4" w14:textId="77777777">
            <w:pPr>
              <w:rPr>
                <w:szCs w:val="18"/>
              </w:rPr>
            </w:pPr>
            <w:r w:rsidRPr="0063116B">
              <w:rPr>
                <w:szCs w:val="18"/>
              </w:rPr>
              <w:t xml:space="preserve">(N.a.v. noot 99 in het nader rapport:) in de </w:t>
            </w:r>
            <w:proofErr w:type="spellStart"/>
            <w:r w:rsidRPr="0063116B">
              <w:rPr>
                <w:szCs w:val="18"/>
              </w:rPr>
              <w:t>MvT</w:t>
            </w:r>
            <w:proofErr w:type="spellEnd"/>
            <w:r w:rsidRPr="0063116B">
              <w:rPr>
                <w:szCs w:val="18"/>
              </w:rPr>
              <w:t xml:space="preserve"> is gezegd dat dit wetsvoorstel de voornemenprocedure enkel in stand wil laten voor de procedures tot intrekking van internationale bescherming en voor de afwijzing van een status als langdurig verblijvende derdelander. De </w:t>
            </w:r>
            <w:proofErr w:type="spellStart"/>
            <w:r w:rsidRPr="0063116B">
              <w:rPr>
                <w:szCs w:val="18"/>
              </w:rPr>
              <w:t>RvSt</w:t>
            </w:r>
            <w:proofErr w:type="spellEnd"/>
            <w:r w:rsidRPr="0063116B">
              <w:rPr>
                <w:szCs w:val="18"/>
              </w:rPr>
              <w:t xml:space="preserve"> wijst er terecht op dat die procedure bovendien ook blijft gelden in de situatie dat de minister de aanvraag wil afwijzen op grond van gegevens die afwijken van de gegevens die de vreemdeling zelf heeft verstrekt. De minister moet dan namelijk op grond van artikel 4:7 </w:t>
            </w:r>
            <w:proofErr w:type="spellStart"/>
            <w:r w:rsidRPr="0063116B">
              <w:rPr>
                <w:szCs w:val="18"/>
              </w:rPr>
              <w:t>Awb</w:t>
            </w:r>
            <w:proofErr w:type="spellEnd"/>
            <w:r w:rsidRPr="0063116B">
              <w:rPr>
                <w:szCs w:val="18"/>
              </w:rPr>
              <w:t xml:space="preserve"> een voornemen uitbrengen. Intrekking van art. 39 </w:t>
            </w:r>
            <w:proofErr w:type="spellStart"/>
            <w:r w:rsidRPr="0063116B">
              <w:rPr>
                <w:szCs w:val="18"/>
              </w:rPr>
              <w:t>Vw</w:t>
            </w:r>
            <w:proofErr w:type="spellEnd"/>
            <w:r w:rsidRPr="0063116B">
              <w:rPr>
                <w:szCs w:val="18"/>
              </w:rPr>
              <w:t xml:space="preserve"> 2000 brengt daar dus geen verandering in.</w:t>
            </w:r>
          </w:p>
          <w:p w:rsidRPr="0063116B" w:rsidR="00872A7A" w:rsidP="00872A7A" w:rsidRDefault="00872A7A" w14:paraId="28A0ABC1" w14:textId="0270ED81">
            <w:pPr>
              <w:rPr>
                <w:szCs w:val="18"/>
              </w:rPr>
            </w:pPr>
            <w:r w:rsidRPr="0063116B">
              <w:rPr>
                <w:szCs w:val="18"/>
              </w:rPr>
              <w:t xml:space="preserve">In de UW wordt wél ook die </w:t>
            </w:r>
            <w:proofErr w:type="spellStart"/>
            <w:r w:rsidRPr="0063116B">
              <w:rPr>
                <w:szCs w:val="18"/>
              </w:rPr>
              <w:t>Awb</w:t>
            </w:r>
            <w:proofErr w:type="spellEnd"/>
            <w:r w:rsidRPr="0063116B">
              <w:rPr>
                <w:szCs w:val="18"/>
              </w:rPr>
              <w:t xml:space="preserve">-voornemenprocedure buiten toepassing geplaatst. In de nieuwe bijlage wordt dit verschil weliswaar beschreven maar niet toegelicht waarom dat verschil bestaat. Het lijkt dus gewoon een omissie in het onderhavige wetsvoorstel. </w:t>
            </w:r>
            <w:r>
              <w:rPr>
                <w:szCs w:val="18"/>
              </w:rPr>
              <w:t>Waarom wordt die niet weggenomen zoals n</w:t>
            </w:r>
            <w:r w:rsidRPr="0063116B">
              <w:rPr>
                <w:szCs w:val="18"/>
              </w:rPr>
              <w:t>ormaliter in de fase van het nader rapport</w:t>
            </w:r>
            <w:r>
              <w:rPr>
                <w:szCs w:val="18"/>
              </w:rPr>
              <w:t xml:space="preserve"> alsnog zou gebeuren? </w:t>
            </w:r>
          </w:p>
        </w:tc>
        <w:tc>
          <w:tcPr>
            <w:tcW w:w="3686" w:type="dxa"/>
          </w:tcPr>
          <w:p w:rsidRPr="0063116B" w:rsidR="00872A7A" w:rsidP="00872A7A" w:rsidRDefault="00872A7A" w14:paraId="36E9D8BD" w14:textId="77777777">
            <w:pPr>
              <w:rPr>
                <w:szCs w:val="18"/>
              </w:rPr>
            </w:pPr>
          </w:p>
        </w:tc>
        <w:tc>
          <w:tcPr>
            <w:tcW w:w="3764" w:type="dxa"/>
          </w:tcPr>
          <w:p w:rsidRPr="0063116B" w:rsidR="00872A7A" w:rsidP="00872A7A" w:rsidRDefault="00872A7A" w14:paraId="442CAB65" w14:textId="77777777">
            <w:pPr>
              <w:rPr>
                <w:szCs w:val="18"/>
              </w:rPr>
            </w:pPr>
          </w:p>
        </w:tc>
      </w:tr>
      <w:tr w:rsidRPr="0063116B" w:rsidR="00872A7A" w:rsidTr="00A70653" w14:paraId="56C68995" w14:textId="77777777">
        <w:tc>
          <w:tcPr>
            <w:tcW w:w="534" w:type="dxa"/>
          </w:tcPr>
          <w:p w:rsidRPr="0063116B" w:rsidR="00872A7A" w:rsidP="00872A7A" w:rsidRDefault="00872A7A" w14:paraId="35E4B9EE" w14:textId="77777777">
            <w:pPr>
              <w:pStyle w:val="Lijstalinea"/>
              <w:numPr>
                <w:ilvl w:val="0"/>
                <w:numId w:val="3"/>
              </w:numPr>
              <w:rPr>
                <w:szCs w:val="18"/>
              </w:rPr>
            </w:pPr>
          </w:p>
        </w:tc>
        <w:tc>
          <w:tcPr>
            <w:tcW w:w="2331" w:type="dxa"/>
          </w:tcPr>
          <w:p w:rsidRPr="0063116B" w:rsidR="00872A7A" w:rsidP="00872A7A" w:rsidRDefault="00872A7A" w14:paraId="22BDBC26" w14:textId="77777777">
            <w:pPr>
              <w:rPr>
                <w:szCs w:val="18"/>
              </w:rPr>
            </w:pPr>
          </w:p>
        </w:tc>
        <w:tc>
          <w:tcPr>
            <w:tcW w:w="5386" w:type="dxa"/>
          </w:tcPr>
          <w:p w:rsidRPr="0063116B" w:rsidR="00872A7A" w:rsidP="00872A7A" w:rsidRDefault="00872A7A" w14:paraId="63E7CBBA" w14:textId="41540CE2">
            <w:pPr>
              <w:rPr>
                <w:szCs w:val="18"/>
              </w:rPr>
            </w:pPr>
            <w:r>
              <w:rPr>
                <w:szCs w:val="18"/>
              </w:rPr>
              <w:t>I</w:t>
            </w:r>
            <w:r w:rsidRPr="0063116B">
              <w:rPr>
                <w:szCs w:val="18"/>
              </w:rPr>
              <w:t xml:space="preserve">ets wat we bij de eerste wetgevingstoets al hadden moeten opmerken: dit wetsvoorstel </w:t>
            </w:r>
            <w:r>
              <w:rPr>
                <w:szCs w:val="18"/>
              </w:rPr>
              <w:t xml:space="preserve">beoogt </w:t>
            </w:r>
            <w:r w:rsidRPr="0063116B">
              <w:rPr>
                <w:szCs w:val="18"/>
              </w:rPr>
              <w:t xml:space="preserve">de voornemenprocedure in stand te laten voor de procedures rond tot intrekking van internationale bescherming en voor de afwijzing van een status als langdurig verblijvende derdelander, zoals </w:t>
            </w:r>
            <w:r>
              <w:rPr>
                <w:szCs w:val="18"/>
              </w:rPr>
              <w:t xml:space="preserve">nu al is geregeld </w:t>
            </w:r>
            <w:r w:rsidRPr="0063116B">
              <w:rPr>
                <w:szCs w:val="18"/>
              </w:rPr>
              <w:t xml:space="preserve">in Art. 45f </w:t>
            </w:r>
            <w:proofErr w:type="spellStart"/>
            <w:r w:rsidRPr="0063116B">
              <w:rPr>
                <w:szCs w:val="18"/>
              </w:rPr>
              <w:t>Vw</w:t>
            </w:r>
            <w:proofErr w:type="spellEnd"/>
            <w:r w:rsidRPr="0063116B">
              <w:rPr>
                <w:szCs w:val="18"/>
              </w:rPr>
              <w:t xml:space="preserve"> 2000. </w:t>
            </w:r>
            <w:r>
              <w:rPr>
                <w:szCs w:val="18"/>
              </w:rPr>
              <w:t>D</w:t>
            </w:r>
            <w:r w:rsidRPr="0063116B">
              <w:rPr>
                <w:szCs w:val="18"/>
              </w:rPr>
              <w:t xml:space="preserve">ie voornemenprocedure geldt doordat art. 39 van overeenkomstige toepassing </w:t>
            </w:r>
            <w:r>
              <w:rPr>
                <w:szCs w:val="18"/>
              </w:rPr>
              <w:t>wordt verklaard in de situaties van art. 45f. Echter, a</w:t>
            </w:r>
            <w:r w:rsidRPr="0063116B">
              <w:rPr>
                <w:szCs w:val="18"/>
              </w:rPr>
              <w:t xml:space="preserve">rtikel 39 wordt geschrapt in dit voorstel. Er moet dus sowieso iets gewijzigd worden dit wetsvoorstel om die voornemenprocedure te laten voortbestaan.  </w:t>
            </w:r>
          </w:p>
        </w:tc>
        <w:tc>
          <w:tcPr>
            <w:tcW w:w="3686" w:type="dxa"/>
          </w:tcPr>
          <w:p w:rsidRPr="0063116B" w:rsidR="00872A7A" w:rsidP="00872A7A" w:rsidRDefault="00872A7A" w14:paraId="4E7F9B2D" w14:textId="77777777">
            <w:pPr>
              <w:rPr>
                <w:szCs w:val="18"/>
              </w:rPr>
            </w:pPr>
          </w:p>
        </w:tc>
        <w:tc>
          <w:tcPr>
            <w:tcW w:w="3764" w:type="dxa"/>
          </w:tcPr>
          <w:p w:rsidRPr="0063116B" w:rsidR="00872A7A" w:rsidP="00872A7A" w:rsidRDefault="00872A7A" w14:paraId="1070E9D0" w14:textId="77777777">
            <w:pPr>
              <w:rPr>
                <w:szCs w:val="18"/>
              </w:rPr>
            </w:pPr>
          </w:p>
        </w:tc>
      </w:tr>
    </w:tbl>
    <w:p w:rsidRPr="0063116B" w:rsidR="005A7F5D" w:rsidRDefault="005A7F5D" w14:paraId="2EE67784" w14:textId="77777777">
      <w:pPr>
        <w:spacing w:after="200" w:line="276" w:lineRule="auto"/>
        <w:contextualSpacing w:val="0"/>
        <w:rPr>
          <w:szCs w:val="18"/>
        </w:rPr>
      </w:pPr>
    </w:p>
    <w:sectPr w:rsidRPr="0063116B" w:rsidR="005A7F5D" w:rsidSect="00BE7412">
      <w:footerReference w:type="default" r:id="rId8"/>
      <w:pgSz w:w="16838" w:h="11906" w:orient="landscape"/>
      <w:pgMar w:top="1418" w:right="709" w:bottom="1418" w:left="1418" w:header="709" w:footer="709"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DCC47F" w14:textId="77777777" w:rsidR="00833B11" w:rsidRDefault="00833B11">
      <w:r>
        <w:separator/>
      </w:r>
    </w:p>
  </w:endnote>
  <w:endnote w:type="continuationSeparator" w:id="0">
    <w:p w14:paraId="20A88C0B" w14:textId="77777777" w:rsidR="00833B11" w:rsidRDefault="00833B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Univers">
    <w:altName w:val="Arial"/>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8449907"/>
      <w:docPartObj>
        <w:docPartGallery w:val="Page Numbers (Bottom of Page)"/>
        <w:docPartUnique/>
      </w:docPartObj>
    </w:sdtPr>
    <w:sdtEndPr/>
    <w:sdtContent>
      <w:p w14:paraId="6840CBA1" w14:textId="223078FC" w:rsidR="00EC0EDA" w:rsidRDefault="00EC0EDA">
        <w:pPr>
          <w:pStyle w:val="Voettekst"/>
          <w:jc w:val="right"/>
        </w:pPr>
        <w:r>
          <w:fldChar w:fldCharType="begin"/>
        </w:r>
        <w:r>
          <w:instrText>PAGE   \* MERGEFORMAT</w:instrText>
        </w:r>
        <w:r>
          <w:fldChar w:fldCharType="separate"/>
        </w:r>
        <w:r w:rsidR="00BE5A94">
          <w:rPr>
            <w:noProof/>
          </w:rPr>
          <w:t>1</w:t>
        </w:r>
        <w:r>
          <w:fldChar w:fldCharType="end"/>
        </w:r>
      </w:p>
    </w:sdtContent>
  </w:sdt>
  <w:p w14:paraId="18D0D787" w14:textId="77777777" w:rsidR="00EC0EDA" w:rsidRDefault="00EC0ED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23DB0D" w14:textId="77777777" w:rsidR="00833B11" w:rsidRDefault="00833B11">
      <w:r>
        <w:separator/>
      </w:r>
    </w:p>
  </w:footnote>
  <w:footnote w:type="continuationSeparator" w:id="0">
    <w:p w14:paraId="474272CD" w14:textId="77777777" w:rsidR="00833B11" w:rsidRDefault="00833B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27E23"/>
    <w:multiLevelType w:val="hybridMultilevel"/>
    <w:tmpl w:val="6890E5B4"/>
    <w:lvl w:ilvl="0" w:tplc="0413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04130001">
      <w:start w:val="1"/>
      <w:numFmt w:val="bullet"/>
      <w:lvlText w:val=""/>
      <w:lvlJc w:val="left"/>
      <w:pPr>
        <w:ind w:left="2520" w:hanging="360"/>
      </w:pPr>
      <w:rPr>
        <w:rFonts w:ascii="Symbol" w:hAnsi="Symbol" w:hint="default"/>
      </w:r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A4120A4"/>
    <w:multiLevelType w:val="hybridMultilevel"/>
    <w:tmpl w:val="1D8E1FCE"/>
    <w:lvl w:ilvl="0" w:tplc="1EDC355A">
      <w:start w:val="1"/>
      <w:numFmt w:val="bullet"/>
      <w:pStyle w:val="Lijstopsomteken"/>
      <w:lvlText w:val="•"/>
      <w:lvlJc w:val="left"/>
      <w:pPr>
        <w:tabs>
          <w:tab w:val="num" w:pos="227"/>
        </w:tabs>
        <w:ind w:left="227" w:hanging="227"/>
      </w:pPr>
      <w:rPr>
        <w:rFonts w:ascii="Verdana" w:hAnsi="Verdana" w:hint="default"/>
        <w:sz w:val="18"/>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72E7E87"/>
    <w:multiLevelType w:val="hybridMultilevel"/>
    <w:tmpl w:val="3B406094"/>
    <w:lvl w:ilvl="0" w:tplc="F7B220D0">
      <w:start w:val="14"/>
      <w:numFmt w:val="bullet"/>
      <w:lvlText w:val="-"/>
      <w:lvlJc w:val="left"/>
      <w:pPr>
        <w:ind w:left="720" w:hanging="360"/>
      </w:pPr>
      <w:rPr>
        <w:rFonts w:ascii="Verdana" w:eastAsia="PMingLiU"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860556D"/>
    <w:multiLevelType w:val="hybridMultilevel"/>
    <w:tmpl w:val="1C5EAEF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04F3498"/>
    <w:multiLevelType w:val="hybridMultilevel"/>
    <w:tmpl w:val="B974435A"/>
    <w:lvl w:ilvl="0" w:tplc="AD727F28">
      <w:numFmt w:val="bullet"/>
      <w:lvlText w:val="-"/>
      <w:lvlJc w:val="left"/>
      <w:pPr>
        <w:ind w:left="360" w:hanging="360"/>
      </w:pPr>
      <w:rPr>
        <w:rFonts w:ascii="Arial" w:eastAsia="Calibri" w:hAnsi="Arial" w:cs="Aria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5" w15:restartNumberingAfterBreak="0">
    <w:nsid w:val="22EC7888"/>
    <w:multiLevelType w:val="hybridMultilevel"/>
    <w:tmpl w:val="9AE03378"/>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9EB53E9"/>
    <w:multiLevelType w:val="hybridMultilevel"/>
    <w:tmpl w:val="D5DABBF4"/>
    <w:lvl w:ilvl="0" w:tplc="B1F6AAAA">
      <w:start w:val="14"/>
      <w:numFmt w:val="bullet"/>
      <w:lvlText w:val="-"/>
      <w:lvlJc w:val="left"/>
      <w:pPr>
        <w:ind w:left="720" w:hanging="360"/>
      </w:pPr>
      <w:rPr>
        <w:rFonts w:ascii="Verdana" w:eastAsia="PMingLiU"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EE711D9"/>
    <w:multiLevelType w:val="hybridMultilevel"/>
    <w:tmpl w:val="CCC8AEB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6477CEE"/>
    <w:multiLevelType w:val="hybridMultilevel"/>
    <w:tmpl w:val="FEE2CE1A"/>
    <w:lvl w:ilvl="0" w:tplc="BD166556">
      <w:start w:val="14"/>
      <w:numFmt w:val="bullet"/>
      <w:lvlText w:val="-"/>
      <w:lvlJc w:val="left"/>
      <w:pPr>
        <w:ind w:left="720" w:hanging="360"/>
      </w:pPr>
      <w:rPr>
        <w:rFonts w:ascii="Verdana" w:eastAsia="PMingLiU"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41854FF4"/>
    <w:multiLevelType w:val="hybridMultilevel"/>
    <w:tmpl w:val="1CD0BF02"/>
    <w:lvl w:ilvl="0" w:tplc="04130001">
      <w:start w:val="1"/>
      <w:numFmt w:val="bullet"/>
      <w:lvlText w:val=""/>
      <w:lvlJc w:val="left"/>
      <w:pPr>
        <w:ind w:left="360" w:hanging="360"/>
      </w:pPr>
      <w:rPr>
        <w:rFonts w:ascii="Symbol" w:hAnsi="Symbol" w:hint="default"/>
      </w:rPr>
    </w:lvl>
    <w:lvl w:ilvl="1" w:tplc="FFFFFFFF">
      <w:numFmt w:val="bullet"/>
      <w:lvlText w:val="-"/>
      <w:lvlJc w:val="left"/>
      <w:pPr>
        <w:ind w:left="1485" w:hanging="765"/>
      </w:pPr>
      <w:rPr>
        <w:rFonts w:ascii="Verdana" w:eastAsia="PMingLiU" w:hAnsi="Verdana" w:cs="Times New Roman"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4572707E"/>
    <w:multiLevelType w:val="hybridMultilevel"/>
    <w:tmpl w:val="E1FACCC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475714D4"/>
    <w:multiLevelType w:val="hybridMultilevel"/>
    <w:tmpl w:val="614C04C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4CED74F6"/>
    <w:multiLevelType w:val="hybridMultilevel"/>
    <w:tmpl w:val="BE7A012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4DBD157E"/>
    <w:multiLevelType w:val="multilevel"/>
    <w:tmpl w:val="0486E16A"/>
    <w:styleLink w:val="list-bolletjes"/>
    <w:lvl w:ilvl="0">
      <w:start w:val="1"/>
      <w:numFmt w:val="bullet"/>
      <w:pStyle w:val="opsomming-bolletjesjustitie"/>
      <w:lvlText w:val=""/>
      <w:lvlJc w:val="left"/>
      <w:pPr>
        <w:ind w:left="454" w:hanging="454"/>
      </w:pPr>
      <w:rPr>
        <w:rFonts w:ascii="Symbol" w:hAnsi="Symbol" w:hint="default"/>
        <w:color w:val="auto"/>
      </w:rPr>
    </w:lvl>
    <w:lvl w:ilvl="1">
      <w:start w:val="1"/>
      <w:numFmt w:val="bullet"/>
      <w:lvlText w:val=""/>
      <w:lvlJc w:val="left"/>
      <w:pPr>
        <w:ind w:left="908" w:hanging="454"/>
      </w:pPr>
      <w:rPr>
        <w:rFonts w:ascii="Symbol" w:hAnsi="Symbol" w:hint="default"/>
        <w:color w:val="auto"/>
      </w:rPr>
    </w:lvl>
    <w:lvl w:ilvl="2">
      <w:start w:val="1"/>
      <w:numFmt w:val="bullet"/>
      <w:lvlText w:val=""/>
      <w:lvlJc w:val="left"/>
      <w:pPr>
        <w:ind w:left="1362" w:hanging="454"/>
      </w:pPr>
      <w:rPr>
        <w:rFonts w:ascii="Symbol" w:hAnsi="Symbol" w:hint="default"/>
        <w:color w:val="auto"/>
      </w:rPr>
    </w:lvl>
    <w:lvl w:ilvl="3">
      <w:start w:val="1"/>
      <w:numFmt w:val="bullet"/>
      <w:lvlText w:val=""/>
      <w:lvlJc w:val="left"/>
      <w:pPr>
        <w:ind w:left="1816" w:hanging="454"/>
      </w:pPr>
      <w:rPr>
        <w:rFonts w:ascii="Symbol" w:hAnsi="Symbol" w:hint="default"/>
        <w:color w:val="auto"/>
      </w:rPr>
    </w:lvl>
    <w:lvl w:ilvl="4">
      <w:start w:val="1"/>
      <w:numFmt w:val="bullet"/>
      <w:lvlText w:val=""/>
      <w:lvlJc w:val="left"/>
      <w:pPr>
        <w:ind w:left="2270" w:hanging="454"/>
      </w:pPr>
      <w:rPr>
        <w:rFonts w:ascii="Symbol" w:hAnsi="Symbol" w:hint="default"/>
        <w:color w:val="auto"/>
      </w:rPr>
    </w:lvl>
    <w:lvl w:ilvl="5">
      <w:start w:val="1"/>
      <w:numFmt w:val="bullet"/>
      <w:lvlText w:val=""/>
      <w:lvlJc w:val="left"/>
      <w:pPr>
        <w:ind w:left="2724" w:hanging="454"/>
      </w:pPr>
      <w:rPr>
        <w:rFonts w:ascii="Symbol" w:hAnsi="Symbol" w:hint="default"/>
        <w:color w:val="auto"/>
      </w:rPr>
    </w:lvl>
    <w:lvl w:ilvl="6">
      <w:start w:val="1"/>
      <w:numFmt w:val="bullet"/>
      <w:lvlText w:val=""/>
      <w:lvlJc w:val="left"/>
      <w:pPr>
        <w:ind w:left="3178" w:hanging="454"/>
      </w:pPr>
      <w:rPr>
        <w:rFonts w:ascii="Symbol" w:hAnsi="Symbol" w:hint="default"/>
        <w:color w:val="auto"/>
      </w:rPr>
    </w:lvl>
    <w:lvl w:ilvl="7">
      <w:start w:val="1"/>
      <w:numFmt w:val="bullet"/>
      <w:lvlText w:val=""/>
      <w:lvlJc w:val="left"/>
      <w:pPr>
        <w:ind w:left="3629" w:hanging="451"/>
      </w:pPr>
      <w:rPr>
        <w:rFonts w:ascii="Symbol" w:hAnsi="Symbol" w:hint="default"/>
        <w:color w:val="auto"/>
      </w:rPr>
    </w:lvl>
    <w:lvl w:ilvl="8">
      <w:start w:val="1"/>
      <w:numFmt w:val="bullet"/>
      <w:lvlText w:val=""/>
      <w:lvlJc w:val="left"/>
      <w:pPr>
        <w:ind w:left="4082" w:hanging="453"/>
      </w:pPr>
      <w:rPr>
        <w:rFonts w:ascii="Symbol" w:hAnsi="Symbol" w:hint="default"/>
        <w:color w:val="auto"/>
      </w:rPr>
    </w:lvl>
  </w:abstractNum>
  <w:abstractNum w:abstractNumId="14" w15:restartNumberingAfterBreak="0">
    <w:nsid w:val="52333E96"/>
    <w:multiLevelType w:val="hybridMultilevel"/>
    <w:tmpl w:val="8884D6C6"/>
    <w:lvl w:ilvl="0" w:tplc="04130001">
      <w:start w:val="1"/>
      <w:numFmt w:val="bullet"/>
      <w:lvlText w:val=""/>
      <w:lvlJc w:val="left"/>
      <w:pPr>
        <w:ind w:left="360" w:hanging="360"/>
      </w:pPr>
      <w:rPr>
        <w:rFonts w:ascii="Symbol" w:hAnsi="Symbol" w:hint="default"/>
      </w:rPr>
    </w:lvl>
    <w:lvl w:ilvl="1" w:tplc="FFFFFFFF">
      <w:numFmt w:val="bullet"/>
      <w:lvlText w:val="-"/>
      <w:lvlJc w:val="left"/>
      <w:pPr>
        <w:ind w:left="1485" w:hanging="765"/>
      </w:pPr>
      <w:rPr>
        <w:rFonts w:ascii="Verdana" w:eastAsia="PMingLiU" w:hAnsi="Verdana" w:cs="Times New Roman"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595A185C"/>
    <w:multiLevelType w:val="hybridMultilevel"/>
    <w:tmpl w:val="967C8E9E"/>
    <w:lvl w:ilvl="0" w:tplc="0413000F">
      <w:start w:val="1"/>
      <w:numFmt w:val="decimal"/>
      <w:lvlText w:val="%1."/>
      <w:lvlJc w:val="left"/>
      <w:pPr>
        <w:ind w:left="360" w:hanging="360"/>
      </w:pPr>
    </w:lvl>
    <w:lvl w:ilvl="1" w:tplc="AD0ADD98">
      <w:numFmt w:val="bullet"/>
      <w:lvlText w:val="-"/>
      <w:lvlJc w:val="left"/>
      <w:pPr>
        <w:ind w:left="1485" w:hanging="765"/>
      </w:pPr>
      <w:rPr>
        <w:rFonts w:ascii="Verdana" w:eastAsia="PMingLiU" w:hAnsi="Verdana" w:cs="Times New Roman"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975837675">
    <w:abstractNumId w:val="13"/>
  </w:num>
  <w:num w:numId="2" w16cid:durableId="1513033113">
    <w:abstractNumId w:val="1"/>
  </w:num>
  <w:num w:numId="3" w16cid:durableId="1001815481">
    <w:abstractNumId w:val="15"/>
  </w:num>
  <w:num w:numId="4" w16cid:durableId="287397555">
    <w:abstractNumId w:val="12"/>
  </w:num>
  <w:num w:numId="5" w16cid:durableId="769931198">
    <w:abstractNumId w:val="0"/>
  </w:num>
  <w:num w:numId="6" w16cid:durableId="1994065384">
    <w:abstractNumId w:val="11"/>
  </w:num>
  <w:num w:numId="7" w16cid:durableId="1345783132">
    <w:abstractNumId w:val="10"/>
  </w:num>
  <w:num w:numId="8" w16cid:durableId="774641355">
    <w:abstractNumId w:val="7"/>
  </w:num>
  <w:num w:numId="9" w16cid:durableId="1625649219">
    <w:abstractNumId w:val="3"/>
  </w:num>
  <w:num w:numId="10" w16cid:durableId="366225937">
    <w:abstractNumId w:val="9"/>
  </w:num>
  <w:num w:numId="11" w16cid:durableId="1884520174">
    <w:abstractNumId w:val="5"/>
  </w:num>
  <w:num w:numId="12" w16cid:durableId="743376270">
    <w:abstractNumId w:val="6"/>
  </w:num>
  <w:num w:numId="13" w16cid:durableId="1481120408">
    <w:abstractNumId w:val="8"/>
  </w:num>
  <w:num w:numId="14" w16cid:durableId="1165436209">
    <w:abstractNumId w:val="2"/>
  </w:num>
  <w:num w:numId="15" w16cid:durableId="1110979225">
    <w:abstractNumId w:val="14"/>
  </w:num>
  <w:num w:numId="16" w16cid:durableId="1009017413">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displayBackgroundShape/>
  <w:proofState w:spelling="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2C50"/>
    <w:rsid w:val="00002037"/>
    <w:rsid w:val="000036E2"/>
    <w:rsid w:val="00006C73"/>
    <w:rsid w:val="0000782E"/>
    <w:rsid w:val="000129D5"/>
    <w:rsid w:val="00022DF5"/>
    <w:rsid w:val="000236E6"/>
    <w:rsid w:val="00030C2C"/>
    <w:rsid w:val="00032413"/>
    <w:rsid w:val="00032592"/>
    <w:rsid w:val="00032C05"/>
    <w:rsid w:val="000370E1"/>
    <w:rsid w:val="000403E6"/>
    <w:rsid w:val="0004221E"/>
    <w:rsid w:val="0004312F"/>
    <w:rsid w:val="00053F23"/>
    <w:rsid w:val="00063146"/>
    <w:rsid w:val="00064E3D"/>
    <w:rsid w:val="00066E36"/>
    <w:rsid w:val="00067B10"/>
    <w:rsid w:val="00071E26"/>
    <w:rsid w:val="00082236"/>
    <w:rsid w:val="000864B6"/>
    <w:rsid w:val="00096AF5"/>
    <w:rsid w:val="00097AE4"/>
    <w:rsid w:val="000A2361"/>
    <w:rsid w:val="000A4000"/>
    <w:rsid w:val="000B2863"/>
    <w:rsid w:val="000B4E79"/>
    <w:rsid w:val="000B6A88"/>
    <w:rsid w:val="000C18AF"/>
    <w:rsid w:val="000C3A71"/>
    <w:rsid w:val="000D438C"/>
    <w:rsid w:val="000E09D2"/>
    <w:rsid w:val="000E3C0F"/>
    <w:rsid w:val="000E447E"/>
    <w:rsid w:val="000F70D6"/>
    <w:rsid w:val="0010182D"/>
    <w:rsid w:val="00104CBF"/>
    <w:rsid w:val="0010599C"/>
    <w:rsid w:val="00105A93"/>
    <w:rsid w:val="00107ECC"/>
    <w:rsid w:val="00114978"/>
    <w:rsid w:val="00114E0A"/>
    <w:rsid w:val="001222EC"/>
    <w:rsid w:val="00127454"/>
    <w:rsid w:val="00130A4D"/>
    <w:rsid w:val="00134A5D"/>
    <w:rsid w:val="00141479"/>
    <w:rsid w:val="0014671B"/>
    <w:rsid w:val="001718E6"/>
    <w:rsid w:val="00172A6C"/>
    <w:rsid w:val="00173554"/>
    <w:rsid w:val="00176E47"/>
    <w:rsid w:val="00180A85"/>
    <w:rsid w:val="00184A38"/>
    <w:rsid w:val="00186182"/>
    <w:rsid w:val="0019022E"/>
    <w:rsid w:val="00196AD5"/>
    <w:rsid w:val="001A608A"/>
    <w:rsid w:val="001B0E56"/>
    <w:rsid w:val="001B2468"/>
    <w:rsid w:val="001B5205"/>
    <w:rsid w:val="001C014B"/>
    <w:rsid w:val="001D1BAE"/>
    <w:rsid w:val="001D31F3"/>
    <w:rsid w:val="001D39C0"/>
    <w:rsid w:val="001D6D29"/>
    <w:rsid w:val="001D7AE7"/>
    <w:rsid w:val="001E0B1F"/>
    <w:rsid w:val="001E4AE4"/>
    <w:rsid w:val="001E6002"/>
    <w:rsid w:val="001E7D83"/>
    <w:rsid w:val="001F053C"/>
    <w:rsid w:val="001F40A6"/>
    <w:rsid w:val="002056DA"/>
    <w:rsid w:val="00205BA6"/>
    <w:rsid w:val="00205E01"/>
    <w:rsid w:val="00213808"/>
    <w:rsid w:val="00216344"/>
    <w:rsid w:val="00217C99"/>
    <w:rsid w:val="00220B0E"/>
    <w:rsid w:val="00220E1D"/>
    <w:rsid w:val="00222142"/>
    <w:rsid w:val="00224D34"/>
    <w:rsid w:val="00230104"/>
    <w:rsid w:val="002322DB"/>
    <w:rsid w:val="00241C95"/>
    <w:rsid w:val="0025270A"/>
    <w:rsid w:val="002533AE"/>
    <w:rsid w:val="00253E75"/>
    <w:rsid w:val="00262545"/>
    <w:rsid w:val="00262B83"/>
    <w:rsid w:val="00263385"/>
    <w:rsid w:val="00263E32"/>
    <w:rsid w:val="00272D06"/>
    <w:rsid w:val="00274783"/>
    <w:rsid w:val="00275D61"/>
    <w:rsid w:val="0029303C"/>
    <w:rsid w:val="002939F8"/>
    <w:rsid w:val="00293AC7"/>
    <w:rsid w:val="00296E47"/>
    <w:rsid w:val="002C342F"/>
    <w:rsid w:val="002C47EE"/>
    <w:rsid w:val="002D0A90"/>
    <w:rsid w:val="002D25C4"/>
    <w:rsid w:val="002D5BED"/>
    <w:rsid w:val="002D6B05"/>
    <w:rsid w:val="002E31C0"/>
    <w:rsid w:val="002F68C4"/>
    <w:rsid w:val="0030614B"/>
    <w:rsid w:val="003064C1"/>
    <w:rsid w:val="00316856"/>
    <w:rsid w:val="0032027B"/>
    <w:rsid w:val="0032210D"/>
    <w:rsid w:val="003312F4"/>
    <w:rsid w:val="00334C82"/>
    <w:rsid w:val="00335222"/>
    <w:rsid w:val="00342EF2"/>
    <w:rsid w:val="003439B6"/>
    <w:rsid w:val="00344027"/>
    <w:rsid w:val="0034534E"/>
    <w:rsid w:val="00352C78"/>
    <w:rsid w:val="00353649"/>
    <w:rsid w:val="00355DB4"/>
    <w:rsid w:val="00356C71"/>
    <w:rsid w:val="00357F08"/>
    <w:rsid w:val="00363F58"/>
    <w:rsid w:val="00374A18"/>
    <w:rsid w:val="00377D63"/>
    <w:rsid w:val="0038325A"/>
    <w:rsid w:val="003877A3"/>
    <w:rsid w:val="00387F7D"/>
    <w:rsid w:val="003914B3"/>
    <w:rsid w:val="003924B3"/>
    <w:rsid w:val="00393FEA"/>
    <w:rsid w:val="003A43A9"/>
    <w:rsid w:val="003A50CF"/>
    <w:rsid w:val="003B2F80"/>
    <w:rsid w:val="003B7A28"/>
    <w:rsid w:val="003C30D2"/>
    <w:rsid w:val="003D09BF"/>
    <w:rsid w:val="003D6019"/>
    <w:rsid w:val="003D76C6"/>
    <w:rsid w:val="003F1B60"/>
    <w:rsid w:val="00400069"/>
    <w:rsid w:val="0042186B"/>
    <w:rsid w:val="00422341"/>
    <w:rsid w:val="0042637F"/>
    <w:rsid w:val="00427249"/>
    <w:rsid w:val="004307E6"/>
    <w:rsid w:val="004379B4"/>
    <w:rsid w:val="00456220"/>
    <w:rsid w:val="0045714D"/>
    <w:rsid w:val="00462EE6"/>
    <w:rsid w:val="00463263"/>
    <w:rsid w:val="004662DD"/>
    <w:rsid w:val="00467AE6"/>
    <w:rsid w:val="004700A4"/>
    <w:rsid w:val="0047757D"/>
    <w:rsid w:val="004841D5"/>
    <w:rsid w:val="00490C83"/>
    <w:rsid w:val="004915D8"/>
    <w:rsid w:val="004A6CCE"/>
    <w:rsid w:val="004B4DEC"/>
    <w:rsid w:val="004C1077"/>
    <w:rsid w:val="004C12A8"/>
    <w:rsid w:val="004C4F14"/>
    <w:rsid w:val="004D351A"/>
    <w:rsid w:val="004D50DB"/>
    <w:rsid w:val="004E1CB2"/>
    <w:rsid w:val="004F1D26"/>
    <w:rsid w:val="00500645"/>
    <w:rsid w:val="0050149F"/>
    <w:rsid w:val="00502270"/>
    <w:rsid w:val="005049C9"/>
    <w:rsid w:val="00506C5F"/>
    <w:rsid w:val="0051040F"/>
    <w:rsid w:val="005108E8"/>
    <w:rsid w:val="00514AE3"/>
    <w:rsid w:val="00516F2F"/>
    <w:rsid w:val="00517CBF"/>
    <w:rsid w:val="00523169"/>
    <w:rsid w:val="0052483A"/>
    <w:rsid w:val="00525F62"/>
    <w:rsid w:val="00526F75"/>
    <w:rsid w:val="005337D8"/>
    <w:rsid w:val="005367B9"/>
    <w:rsid w:val="00537FAD"/>
    <w:rsid w:val="005427E4"/>
    <w:rsid w:val="005457B8"/>
    <w:rsid w:val="00564B7B"/>
    <w:rsid w:val="0057061E"/>
    <w:rsid w:val="005752C9"/>
    <w:rsid w:val="00584F78"/>
    <w:rsid w:val="005916A9"/>
    <w:rsid w:val="00591D81"/>
    <w:rsid w:val="00597DC4"/>
    <w:rsid w:val="005A403D"/>
    <w:rsid w:val="005A5FC0"/>
    <w:rsid w:val="005A7F5D"/>
    <w:rsid w:val="005B7673"/>
    <w:rsid w:val="005C13A9"/>
    <w:rsid w:val="005C238D"/>
    <w:rsid w:val="005C5DC0"/>
    <w:rsid w:val="005C7562"/>
    <w:rsid w:val="005D2429"/>
    <w:rsid w:val="005D2587"/>
    <w:rsid w:val="005D2E4C"/>
    <w:rsid w:val="005D4CAC"/>
    <w:rsid w:val="005E6493"/>
    <w:rsid w:val="005F07E5"/>
    <w:rsid w:val="006024F7"/>
    <w:rsid w:val="00614DE2"/>
    <w:rsid w:val="00616291"/>
    <w:rsid w:val="00616FDF"/>
    <w:rsid w:val="0061767A"/>
    <w:rsid w:val="0062069A"/>
    <w:rsid w:val="006217EF"/>
    <w:rsid w:val="0062366E"/>
    <w:rsid w:val="0063116B"/>
    <w:rsid w:val="00636BB7"/>
    <w:rsid w:val="0063759D"/>
    <w:rsid w:val="006458D3"/>
    <w:rsid w:val="00645F0A"/>
    <w:rsid w:val="00646126"/>
    <w:rsid w:val="00663517"/>
    <w:rsid w:val="00664549"/>
    <w:rsid w:val="00665F7F"/>
    <w:rsid w:val="006756F1"/>
    <w:rsid w:val="00685E70"/>
    <w:rsid w:val="0069053E"/>
    <w:rsid w:val="006A07F3"/>
    <w:rsid w:val="006C081D"/>
    <w:rsid w:val="006C4230"/>
    <w:rsid w:val="006C4AF1"/>
    <w:rsid w:val="006C7D1D"/>
    <w:rsid w:val="006D1123"/>
    <w:rsid w:val="006D1BA1"/>
    <w:rsid w:val="006D2E2F"/>
    <w:rsid w:val="006D2E52"/>
    <w:rsid w:val="006E0814"/>
    <w:rsid w:val="006E7B11"/>
    <w:rsid w:val="006F5A34"/>
    <w:rsid w:val="007168FE"/>
    <w:rsid w:val="0074148C"/>
    <w:rsid w:val="00746078"/>
    <w:rsid w:val="007532D5"/>
    <w:rsid w:val="007541C1"/>
    <w:rsid w:val="007566C8"/>
    <w:rsid w:val="00761AB4"/>
    <w:rsid w:val="00763928"/>
    <w:rsid w:val="00766BEA"/>
    <w:rsid w:val="00767C6B"/>
    <w:rsid w:val="00771885"/>
    <w:rsid w:val="00787B4F"/>
    <w:rsid w:val="00792DD2"/>
    <w:rsid w:val="00796C22"/>
    <w:rsid w:val="007A13F3"/>
    <w:rsid w:val="007A3B7D"/>
    <w:rsid w:val="007B3214"/>
    <w:rsid w:val="007B3859"/>
    <w:rsid w:val="007C0930"/>
    <w:rsid w:val="007C0CFB"/>
    <w:rsid w:val="007C615D"/>
    <w:rsid w:val="007D05BD"/>
    <w:rsid w:val="007D18CE"/>
    <w:rsid w:val="007D33D9"/>
    <w:rsid w:val="007D6EF6"/>
    <w:rsid w:val="007D71AD"/>
    <w:rsid w:val="007E0623"/>
    <w:rsid w:val="007F7A9D"/>
    <w:rsid w:val="008056CA"/>
    <w:rsid w:val="008116DD"/>
    <w:rsid w:val="008141D7"/>
    <w:rsid w:val="008174D8"/>
    <w:rsid w:val="00832816"/>
    <w:rsid w:val="00833B11"/>
    <w:rsid w:val="00834CF2"/>
    <w:rsid w:val="00835743"/>
    <w:rsid w:val="00846FD9"/>
    <w:rsid w:val="00854D58"/>
    <w:rsid w:val="00857D41"/>
    <w:rsid w:val="00860AD9"/>
    <w:rsid w:val="0087147D"/>
    <w:rsid w:val="00872A7A"/>
    <w:rsid w:val="008751CA"/>
    <w:rsid w:val="00875396"/>
    <w:rsid w:val="0088052B"/>
    <w:rsid w:val="00890854"/>
    <w:rsid w:val="00897391"/>
    <w:rsid w:val="008A0793"/>
    <w:rsid w:val="008B4862"/>
    <w:rsid w:val="008D0375"/>
    <w:rsid w:val="008D4AF3"/>
    <w:rsid w:val="008D67A5"/>
    <w:rsid w:val="008E1241"/>
    <w:rsid w:val="008E20B8"/>
    <w:rsid w:val="008E7BC8"/>
    <w:rsid w:val="008F020A"/>
    <w:rsid w:val="008F22D1"/>
    <w:rsid w:val="008F4F08"/>
    <w:rsid w:val="008F618D"/>
    <w:rsid w:val="008F6BFF"/>
    <w:rsid w:val="00900A8F"/>
    <w:rsid w:val="00903F11"/>
    <w:rsid w:val="00911B89"/>
    <w:rsid w:val="00911C60"/>
    <w:rsid w:val="00913C72"/>
    <w:rsid w:val="00920267"/>
    <w:rsid w:val="0092269B"/>
    <w:rsid w:val="00927AEA"/>
    <w:rsid w:val="00947CFE"/>
    <w:rsid w:val="00957E03"/>
    <w:rsid w:val="00974970"/>
    <w:rsid w:val="00981867"/>
    <w:rsid w:val="00987442"/>
    <w:rsid w:val="009906E4"/>
    <w:rsid w:val="00997BA0"/>
    <w:rsid w:val="009A0907"/>
    <w:rsid w:val="009A3505"/>
    <w:rsid w:val="009A647A"/>
    <w:rsid w:val="009A7394"/>
    <w:rsid w:val="009B30E2"/>
    <w:rsid w:val="009B5CBF"/>
    <w:rsid w:val="009B772D"/>
    <w:rsid w:val="009C02AC"/>
    <w:rsid w:val="009E7EC1"/>
    <w:rsid w:val="009F2E91"/>
    <w:rsid w:val="009F67FB"/>
    <w:rsid w:val="00A00524"/>
    <w:rsid w:val="00A101C1"/>
    <w:rsid w:val="00A30258"/>
    <w:rsid w:val="00A31F6B"/>
    <w:rsid w:val="00A408DA"/>
    <w:rsid w:val="00A46023"/>
    <w:rsid w:val="00A53D52"/>
    <w:rsid w:val="00A60DDD"/>
    <w:rsid w:val="00A6267F"/>
    <w:rsid w:val="00A70653"/>
    <w:rsid w:val="00A70977"/>
    <w:rsid w:val="00A736B7"/>
    <w:rsid w:val="00A803CB"/>
    <w:rsid w:val="00A818AE"/>
    <w:rsid w:val="00A831EC"/>
    <w:rsid w:val="00A841FB"/>
    <w:rsid w:val="00AA48BA"/>
    <w:rsid w:val="00AA5A2A"/>
    <w:rsid w:val="00AA6878"/>
    <w:rsid w:val="00AB2FDD"/>
    <w:rsid w:val="00AB3A44"/>
    <w:rsid w:val="00AC203A"/>
    <w:rsid w:val="00AE0980"/>
    <w:rsid w:val="00AE0EDB"/>
    <w:rsid w:val="00AE5062"/>
    <w:rsid w:val="00AE53A5"/>
    <w:rsid w:val="00AF3425"/>
    <w:rsid w:val="00AF4B85"/>
    <w:rsid w:val="00AF6354"/>
    <w:rsid w:val="00B01EDC"/>
    <w:rsid w:val="00B0640A"/>
    <w:rsid w:val="00B101C7"/>
    <w:rsid w:val="00B11C24"/>
    <w:rsid w:val="00B137FC"/>
    <w:rsid w:val="00B23D28"/>
    <w:rsid w:val="00B240AD"/>
    <w:rsid w:val="00B25E31"/>
    <w:rsid w:val="00B3515D"/>
    <w:rsid w:val="00B368D4"/>
    <w:rsid w:val="00B418EF"/>
    <w:rsid w:val="00B43C3A"/>
    <w:rsid w:val="00B449AC"/>
    <w:rsid w:val="00B628C6"/>
    <w:rsid w:val="00B62DD8"/>
    <w:rsid w:val="00B675C1"/>
    <w:rsid w:val="00B70059"/>
    <w:rsid w:val="00B720EF"/>
    <w:rsid w:val="00B77C16"/>
    <w:rsid w:val="00B84229"/>
    <w:rsid w:val="00B92611"/>
    <w:rsid w:val="00BB7271"/>
    <w:rsid w:val="00BB7535"/>
    <w:rsid w:val="00BB7FD1"/>
    <w:rsid w:val="00BC4B1C"/>
    <w:rsid w:val="00BC5592"/>
    <w:rsid w:val="00BC64C7"/>
    <w:rsid w:val="00BD6FF4"/>
    <w:rsid w:val="00BE3789"/>
    <w:rsid w:val="00BE4961"/>
    <w:rsid w:val="00BE50B7"/>
    <w:rsid w:val="00BE5A94"/>
    <w:rsid w:val="00BE7178"/>
    <w:rsid w:val="00BE7412"/>
    <w:rsid w:val="00BF39F7"/>
    <w:rsid w:val="00C01E5E"/>
    <w:rsid w:val="00C02433"/>
    <w:rsid w:val="00C07085"/>
    <w:rsid w:val="00C075D7"/>
    <w:rsid w:val="00C100BE"/>
    <w:rsid w:val="00C171C8"/>
    <w:rsid w:val="00C173B6"/>
    <w:rsid w:val="00C21DAD"/>
    <w:rsid w:val="00C244B3"/>
    <w:rsid w:val="00C25EC8"/>
    <w:rsid w:val="00C261DA"/>
    <w:rsid w:val="00C33CE5"/>
    <w:rsid w:val="00C42F30"/>
    <w:rsid w:val="00C4378F"/>
    <w:rsid w:val="00C53DD5"/>
    <w:rsid w:val="00C6667B"/>
    <w:rsid w:val="00C73FB1"/>
    <w:rsid w:val="00C76A8F"/>
    <w:rsid w:val="00C77101"/>
    <w:rsid w:val="00C824E6"/>
    <w:rsid w:val="00CA11C9"/>
    <w:rsid w:val="00CA4A67"/>
    <w:rsid w:val="00CA5272"/>
    <w:rsid w:val="00CB6C62"/>
    <w:rsid w:val="00CB7C91"/>
    <w:rsid w:val="00CC0D94"/>
    <w:rsid w:val="00CC337F"/>
    <w:rsid w:val="00CE2A94"/>
    <w:rsid w:val="00CE4741"/>
    <w:rsid w:val="00D01914"/>
    <w:rsid w:val="00D049FA"/>
    <w:rsid w:val="00D17E1A"/>
    <w:rsid w:val="00D246EF"/>
    <w:rsid w:val="00D24B09"/>
    <w:rsid w:val="00D2635B"/>
    <w:rsid w:val="00D26F38"/>
    <w:rsid w:val="00D30D2F"/>
    <w:rsid w:val="00D32996"/>
    <w:rsid w:val="00D40776"/>
    <w:rsid w:val="00D41633"/>
    <w:rsid w:val="00D42C50"/>
    <w:rsid w:val="00D4588F"/>
    <w:rsid w:val="00D45EC0"/>
    <w:rsid w:val="00D625AE"/>
    <w:rsid w:val="00D71C42"/>
    <w:rsid w:val="00D72CD9"/>
    <w:rsid w:val="00D74E16"/>
    <w:rsid w:val="00D901FD"/>
    <w:rsid w:val="00D92BDC"/>
    <w:rsid w:val="00D9649C"/>
    <w:rsid w:val="00DA0A74"/>
    <w:rsid w:val="00DA76AE"/>
    <w:rsid w:val="00DA794E"/>
    <w:rsid w:val="00DB24A0"/>
    <w:rsid w:val="00DC3FA6"/>
    <w:rsid w:val="00DC6FF3"/>
    <w:rsid w:val="00DC7AB1"/>
    <w:rsid w:val="00DD17FF"/>
    <w:rsid w:val="00DD19EF"/>
    <w:rsid w:val="00DD2FA7"/>
    <w:rsid w:val="00DD4AB5"/>
    <w:rsid w:val="00DD7F69"/>
    <w:rsid w:val="00DE0E6F"/>
    <w:rsid w:val="00DE3FA7"/>
    <w:rsid w:val="00DF3253"/>
    <w:rsid w:val="00DF3974"/>
    <w:rsid w:val="00DF6FBF"/>
    <w:rsid w:val="00E0186F"/>
    <w:rsid w:val="00E01BBC"/>
    <w:rsid w:val="00E131AA"/>
    <w:rsid w:val="00E22262"/>
    <w:rsid w:val="00E32063"/>
    <w:rsid w:val="00E37FA9"/>
    <w:rsid w:val="00E41BCC"/>
    <w:rsid w:val="00E502AA"/>
    <w:rsid w:val="00E559AE"/>
    <w:rsid w:val="00E574C5"/>
    <w:rsid w:val="00E63CAA"/>
    <w:rsid w:val="00E712FD"/>
    <w:rsid w:val="00E72AF7"/>
    <w:rsid w:val="00E7465B"/>
    <w:rsid w:val="00E84007"/>
    <w:rsid w:val="00E84826"/>
    <w:rsid w:val="00E84D9C"/>
    <w:rsid w:val="00E86D09"/>
    <w:rsid w:val="00E87ABE"/>
    <w:rsid w:val="00E9018E"/>
    <w:rsid w:val="00E922A0"/>
    <w:rsid w:val="00E95715"/>
    <w:rsid w:val="00E97B6A"/>
    <w:rsid w:val="00EA3A42"/>
    <w:rsid w:val="00EA70A9"/>
    <w:rsid w:val="00EA7374"/>
    <w:rsid w:val="00EC0DAA"/>
    <w:rsid w:val="00EC0EDA"/>
    <w:rsid w:val="00EC31EC"/>
    <w:rsid w:val="00EC435D"/>
    <w:rsid w:val="00EC49DD"/>
    <w:rsid w:val="00EC7115"/>
    <w:rsid w:val="00EE1E46"/>
    <w:rsid w:val="00EF10EA"/>
    <w:rsid w:val="00F006CD"/>
    <w:rsid w:val="00F01615"/>
    <w:rsid w:val="00F0275D"/>
    <w:rsid w:val="00F043CF"/>
    <w:rsid w:val="00F1200C"/>
    <w:rsid w:val="00F12122"/>
    <w:rsid w:val="00F133FA"/>
    <w:rsid w:val="00F158E8"/>
    <w:rsid w:val="00F211DA"/>
    <w:rsid w:val="00F220F8"/>
    <w:rsid w:val="00F2231E"/>
    <w:rsid w:val="00F32493"/>
    <w:rsid w:val="00F34225"/>
    <w:rsid w:val="00F41F21"/>
    <w:rsid w:val="00F46024"/>
    <w:rsid w:val="00F55D9E"/>
    <w:rsid w:val="00F61478"/>
    <w:rsid w:val="00F64142"/>
    <w:rsid w:val="00F70FB4"/>
    <w:rsid w:val="00F7142F"/>
    <w:rsid w:val="00F720A2"/>
    <w:rsid w:val="00F74B63"/>
    <w:rsid w:val="00F76A25"/>
    <w:rsid w:val="00F77EE8"/>
    <w:rsid w:val="00F814D7"/>
    <w:rsid w:val="00F826AB"/>
    <w:rsid w:val="00F9382F"/>
    <w:rsid w:val="00F96B6E"/>
    <w:rsid w:val="00FA2C26"/>
    <w:rsid w:val="00FA54AF"/>
    <w:rsid w:val="00FA64D5"/>
    <w:rsid w:val="00FC5717"/>
    <w:rsid w:val="00FD1B76"/>
    <w:rsid w:val="00FE00C4"/>
    <w:rsid w:val="00FE40D5"/>
    <w:rsid w:val="00FF286C"/>
    <w:rsid w:val="00FF7664"/>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789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D0A90"/>
    <w:pPr>
      <w:spacing w:after="0" w:line="240" w:lineRule="auto"/>
      <w:contextualSpacing/>
    </w:pPr>
    <w:rPr>
      <w:rFonts w:ascii="Verdana" w:eastAsia="PMingLiU" w:hAnsi="Verdana" w:cs="Times New Roman"/>
      <w:sz w:val="18"/>
      <w:szCs w:val="24"/>
      <w:lang w:eastAsia="zh-TW"/>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rsid w:val="00927AEA"/>
    <w:pPr>
      <w:tabs>
        <w:tab w:val="center" w:pos="4536"/>
        <w:tab w:val="right" w:pos="9072"/>
      </w:tabs>
    </w:pPr>
    <w:rPr>
      <w:rFonts w:ascii="Arial" w:eastAsia="Times New Roman" w:hAnsi="Arial"/>
      <w:sz w:val="20"/>
      <w:szCs w:val="20"/>
      <w:lang w:eastAsia="nl-NL"/>
    </w:rPr>
  </w:style>
  <w:style w:type="character" w:customStyle="1" w:styleId="VoettekstChar">
    <w:name w:val="Voettekst Char"/>
    <w:basedOn w:val="Standaardalinea-lettertype"/>
    <w:link w:val="Voettekst"/>
    <w:uiPriority w:val="99"/>
    <w:rsid w:val="00927AEA"/>
    <w:rPr>
      <w:rFonts w:ascii="Arial" w:eastAsia="Times New Roman" w:hAnsi="Arial" w:cs="Times New Roman"/>
      <w:sz w:val="20"/>
      <w:szCs w:val="20"/>
      <w:lang w:eastAsia="nl-NL"/>
    </w:rPr>
  </w:style>
  <w:style w:type="paragraph" w:styleId="Lijstalinea">
    <w:name w:val="List Paragraph"/>
    <w:basedOn w:val="Standaard"/>
    <w:uiPriority w:val="34"/>
    <w:qFormat/>
    <w:rsid w:val="009A647A"/>
    <w:pPr>
      <w:ind w:left="720"/>
    </w:pPr>
  </w:style>
  <w:style w:type="paragraph" w:styleId="Normaalweb">
    <w:name w:val="Normal (Web)"/>
    <w:basedOn w:val="Standaard"/>
    <w:uiPriority w:val="99"/>
    <w:semiHidden/>
    <w:unhideWhenUsed/>
    <w:rsid w:val="0074148C"/>
    <w:pPr>
      <w:spacing w:before="100" w:beforeAutospacing="1" w:after="100" w:afterAutospacing="1" w:line="336" w:lineRule="atLeast"/>
    </w:pPr>
    <w:rPr>
      <w:rFonts w:eastAsia="Times New Roman"/>
      <w:lang w:eastAsia="nl-NL"/>
    </w:rPr>
  </w:style>
  <w:style w:type="character" w:styleId="Nadruk">
    <w:name w:val="Emphasis"/>
    <w:basedOn w:val="Standaardalinea-lettertype"/>
    <w:uiPriority w:val="20"/>
    <w:qFormat/>
    <w:rsid w:val="0074148C"/>
    <w:rPr>
      <w:i/>
      <w:iCs/>
    </w:rPr>
  </w:style>
  <w:style w:type="character" w:styleId="Hyperlink">
    <w:name w:val="Hyperlink"/>
    <w:basedOn w:val="Standaardalinea-lettertype"/>
    <w:uiPriority w:val="99"/>
    <w:unhideWhenUsed/>
    <w:rsid w:val="008E20B8"/>
    <w:rPr>
      <w:color w:val="0000FF" w:themeColor="hyperlink"/>
      <w:u w:val="single"/>
    </w:rPr>
  </w:style>
  <w:style w:type="paragraph" w:customStyle="1" w:styleId="broodtekst">
    <w:name w:val="broodtekst"/>
    <w:basedOn w:val="Standaard"/>
    <w:rsid w:val="00032413"/>
    <w:pPr>
      <w:autoSpaceDE w:val="0"/>
      <w:autoSpaceDN w:val="0"/>
      <w:spacing w:line="240" w:lineRule="atLeast"/>
    </w:pPr>
    <w:rPr>
      <w:rFonts w:eastAsiaTheme="minorHAnsi"/>
      <w:szCs w:val="18"/>
      <w:lang w:eastAsia="nl-NL"/>
    </w:rPr>
  </w:style>
  <w:style w:type="paragraph" w:styleId="Voetnoottekst">
    <w:name w:val="footnote text"/>
    <w:basedOn w:val="Standaard"/>
    <w:link w:val="VoetnoottekstChar"/>
    <w:semiHidden/>
    <w:unhideWhenUsed/>
    <w:rsid w:val="00B3515D"/>
    <w:pPr>
      <w:tabs>
        <w:tab w:val="left" w:pos="227"/>
      </w:tabs>
    </w:pPr>
    <w:rPr>
      <w:rFonts w:ascii="Univers" w:eastAsia="Times New Roman" w:hAnsi="Univers"/>
      <w:szCs w:val="20"/>
      <w:lang w:eastAsia="nl-NL"/>
    </w:rPr>
  </w:style>
  <w:style w:type="character" w:customStyle="1" w:styleId="VoetnoottekstChar">
    <w:name w:val="Voetnoottekst Char"/>
    <w:basedOn w:val="Standaardalinea-lettertype"/>
    <w:link w:val="Voetnoottekst"/>
    <w:semiHidden/>
    <w:rsid w:val="00B3515D"/>
    <w:rPr>
      <w:rFonts w:ascii="Univers" w:eastAsia="Times New Roman" w:hAnsi="Univers" w:cs="Times New Roman"/>
      <w:sz w:val="18"/>
      <w:szCs w:val="20"/>
      <w:lang w:eastAsia="nl-NL"/>
    </w:rPr>
  </w:style>
  <w:style w:type="character" w:styleId="Voetnootmarkering">
    <w:name w:val="footnote reference"/>
    <w:basedOn w:val="Standaardalinea-lettertype"/>
    <w:semiHidden/>
    <w:unhideWhenUsed/>
    <w:rsid w:val="00B3515D"/>
    <w:rPr>
      <w:vertAlign w:val="superscript"/>
    </w:rPr>
  </w:style>
  <w:style w:type="paragraph" w:customStyle="1" w:styleId="opsomming-bolletjesjustitie">
    <w:name w:val="opsomming-bolletjes_justitie"/>
    <w:basedOn w:val="Standaard"/>
    <w:uiPriority w:val="3"/>
    <w:rsid w:val="00AE5062"/>
    <w:pPr>
      <w:numPr>
        <w:numId w:val="1"/>
      </w:numPr>
      <w:autoSpaceDE w:val="0"/>
      <w:autoSpaceDN w:val="0"/>
      <w:spacing w:line="240" w:lineRule="atLeast"/>
    </w:pPr>
    <w:rPr>
      <w:rFonts w:eastAsiaTheme="minorHAnsi"/>
      <w:szCs w:val="18"/>
      <w:lang w:eastAsia="nl-NL"/>
    </w:rPr>
  </w:style>
  <w:style w:type="numbering" w:customStyle="1" w:styleId="list-bolletjes">
    <w:name w:val="list-bolletjes"/>
    <w:uiPriority w:val="99"/>
    <w:rsid w:val="00AE5062"/>
    <w:pPr>
      <w:numPr>
        <w:numId w:val="1"/>
      </w:numPr>
    </w:pPr>
  </w:style>
  <w:style w:type="paragraph" w:styleId="Lijstopsomteken">
    <w:name w:val="List Bullet"/>
    <w:basedOn w:val="broodtekst"/>
    <w:uiPriority w:val="99"/>
    <w:rsid w:val="00363F58"/>
    <w:pPr>
      <w:numPr>
        <w:numId w:val="2"/>
      </w:numPr>
      <w:tabs>
        <w:tab w:val="left" w:pos="454"/>
        <w:tab w:val="left" w:pos="680"/>
      </w:tabs>
      <w:adjustRightInd w:val="0"/>
    </w:pPr>
    <w:rPr>
      <w:rFonts w:eastAsia="Times New Roman"/>
      <w:noProof/>
    </w:rPr>
  </w:style>
  <w:style w:type="paragraph" w:styleId="Ballontekst">
    <w:name w:val="Balloon Text"/>
    <w:basedOn w:val="Standaard"/>
    <w:link w:val="BallontekstChar"/>
    <w:uiPriority w:val="99"/>
    <w:semiHidden/>
    <w:unhideWhenUsed/>
    <w:rsid w:val="00363F58"/>
    <w:rPr>
      <w:rFonts w:ascii="Tahoma" w:hAnsi="Tahoma" w:cs="Tahoma"/>
      <w:sz w:val="16"/>
      <w:szCs w:val="16"/>
    </w:rPr>
  </w:style>
  <w:style w:type="character" w:customStyle="1" w:styleId="BallontekstChar">
    <w:name w:val="Ballontekst Char"/>
    <w:basedOn w:val="Standaardalinea-lettertype"/>
    <w:link w:val="Ballontekst"/>
    <w:uiPriority w:val="99"/>
    <w:semiHidden/>
    <w:rsid w:val="00363F58"/>
    <w:rPr>
      <w:rFonts w:ascii="Tahoma" w:eastAsia="PMingLiU" w:hAnsi="Tahoma" w:cs="Tahoma"/>
      <w:sz w:val="16"/>
      <w:szCs w:val="16"/>
      <w:lang w:eastAsia="zh-TW"/>
    </w:rPr>
  </w:style>
  <w:style w:type="character" w:styleId="Verwijzingopmerking">
    <w:name w:val="annotation reference"/>
    <w:basedOn w:val="Standaardalinea-lettertype"/>
    <w:uiPriority w:val="99"/>
    <w:semiHidden/>
    <w:unhideWhenUsed/>
    <w:rsid w:val="00A00524"/>
    <w:rPr>
      <w:sz w:val="16"/>
      <w:szCs w:val="16"/>
    </w:rPr>
  </w:style>
  <w:style w:type="paragraph" w:styleId="Tekstopmerking">
    <w:name w:val="annotation text"/>
    <w:basedOn w:val="Standaard"/>
    <w:link w:val="TekstopmerkingChar"/>
    <w:uiPriority w:val="99"/>
    <w:unhideWhenUsed/>
    <w:rsid w:val="00A00524"/>
    <w:rPr>
      <w:sz w:val="20"/>
      <w:szCs w:val="20"/>
    </w:rPr>
  </w:style>
  <w:style w:type="character" w:customStyle="1" w:styleId="TekstopmerkingChar">
    <w:name w:val="Tekst opmerking Char"/>
    <w:basedOn w:val="Standaardalinea-lettertype"/>
    <w:link w:val="Tekstopmerking"/>
    <w:uiPriority w:val="99"/>
    <w:rsid w:val="00A00524"/>
    <w:rPr>
      <w:rFonts w:ascii="Times New Roman" w:eastAsia="PMingLiU" w:hAnsi="Times New Roman" w:cs="Times New Roman"/>
      <w:sz w:val="20"/>
      <w:szCs w:val="20"/>
      <w:lang w:eastAsia="zh-TW"/>
    </w:rPr>
  </w:style>
  <w:style w:type="paragraph" w:styleId="Onderwerpvanopmerking">
    <w:name w:val="annotation subject"/>
    <w:basedOn w:val="Tekstopmerking"/>
    <w:next w:val="Tekstopmerking"/>
    <w:link w:val="OnderwerpvanopmerkingChar"/>
    <w:uiPriority w:val="99"/>
    <w:semiHidden/>
    <w:unhideWhenUsed/>
    <w:rsid w:val="00A00524"/>
    <w:rPr>
      <w:b/>
      <w:bCs/>
    </w:rPr>
  </w:style>
  <w:style w:type="character" w:customStyle="1" w:styleId="OnderwerpvanopmerkingChar">
    <w:name w:val="Onderwerp van opmerking Char"/>
    <w:basedOn w:val="TekstopmerkingChar"/>
    <w:link w:val="Onderwerpvanopmerking"/>
    <w:uiPriority w:val="99"/>
    <w:semiHidden/>
    <w:rsid w:val="00A00524"/>
    <w:rPr>
      <w:rFonts w:ascii="Times New Roman" w:eastAsia="PMingLiU" w:hAnsi="Times New Roman" w:cs="Times New Roman"/>
      <w:b/>
      <w:bCs/>
      <w:sz w:val="20"/>
      <w:szCs w:val="20"/>
      <w:lang w:eastAsia="zh-TW"/>
    </w:rPr>
  </w:style>
  <w:style w:type="paragraph" w:styleId="Koptekst">
    <w:name w:val="header"/>
    <w:basedOn w:val="Standaard"/>
    <w:link w:val="KoptekstChar"/>
    <w:uiPriority w:val="99"/>
    <w:unhideWhenUsed/>
    <w:rsid w:val="002D0A90"/>
    <w:pPr>
      <w:tabs>
        <w:tab w:val="center" w:pos="4513"/>
        <w:tab w:val="right" w:pos="9026"/>
      </w:tabs>
    </w:pPr>
  </w:style>
  <w:style w:type="character" w:customStyle="1" w:styleId="KoptekstChar">
    <w:name w:val="Koptekst Char"/>
    <w:basedOn w:val="Standaardalinea-lettertype"/>
    <w:link w:val="Koptekst"/>
    <w:uiPriority w:val="99"/>
    <w:rsid w:val="002D0A90"/>
    <w:rPr>
      <w:rFonts w:ascii="Verdana" w:eastAsia="PMingLiU" w:hAnsi="Verdana" w:cs="Times New Roman"/>
      <w:sz w:val="18"/>
      <w:szCs w:val="24"/>
      <w:lang w:eastAsia="zh-TW"/>
    </w:rPr>
  </w:style>
  <w:style w:type="table" w:styleId="Tabelraster">
    <w:name w:val="Table Grid"/>
    <w:basedOn w:val="Standaardtabel"/>
    <w:uiPriority w:val="59"/>
    <w:rsid w:val="002D0A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nopgelostemelding">
    <w:name w:val="Unresolved Mention"/>
    <w:basedOn w:val="Standaardalinea-lettertype"/>
    <w:uiPriority w:val="99"/>
    <w:semiHidden/>
    <w:unhideWhenUsed/>
    <w:rsid w:val="00B84229"/>
    <w:rPr>
      <w:color w:val="605E5C"/>
      <w:shd w:val="clear" w:color="auto" w:fill="E1DFDD"/>
    </w:rPr>
  </w:style>
  <w:style w:type="paragraph" w:styleId="Geenafstand">
    <w:name w:val="No Spacing"/>
    <w:uiPriority w:val="1"/>
    <w:qFormat/>
    <w:rsid w:val="00665F7F"/>
    <w:pPr>
      <w:suppressAutoHyphens/>
      <w:autoSpaceDN w:val="0"/>
      <w:spacing w:after="0" w:line="240" w:lineRule="auto"/>
      <w:textAlignment w:val="baseline"/>
    </w:pPr>
    <w:rPr>
      <w:rFonts w:ascii="Calibri" w:eastAsia="SimSun" w:hAnsi="Calibri" w:cs="Tahoma"/>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58426">
      <w:bodyDiv w:val="1"/>
      <w:marLeft w:val="0"/>
      <w:marRight w:val="0"/>
      <w:marTop w:val="0"/>
      <w:marBottom w:val="0"/>
      <w:divBdr>
        <w:top w:val="none" w:sz="0" w:space="0" w:color="auto"/>
        <w:left w:val="none" w:sz="0" w:space="0" w:color="auto"/>
        <w:bottom w:val="none" w:sz="0" w:space="0" w:color="auto"/>
        <w:right w:val="none" w:sz="0" w:space="0" w:color="auto"/>
      </w:divBdr>
      <w:divsChild>
        <w:div w:id="1441411145">
          <w:marLeft w:val="0"/>
          <w:marRight w:val="0"/>
          <w:marTop w:val="0"/>
          <w:marBottom w:val="0"/>
          <w:divBdr>
            <w:top w:val="none" w:sz="0" w:space="0" w:color="auto"/>
            <w:left w:val="none" w:sz="0" w:space="0" w:color="auto"/>
            <w:bottom w:val="none" w:sz="0" w:space="0" w:color="auto"/>
            <w:right w:val="none" w:sz="0" w:space="0" w:color="auto"/>
          </w:divBdr>
          <w:divsChild>
            <w:div w:id="849569127">
              <w:marLeft w:val="0"/>
              <w:marRight w:val="0"/>
              <w:marTop w:val="0"/>
              <w:marBottom w:val="0"/>
              <w:divBdr>
                <w:top w:val="none" w:sz="0" w:space="0" w:color="auto"/>
                <w:left w:val="none" w:sz="0" w:space="0" w:color="auto"/>
                <w:bottom w:val="none" w:sz="0" w:space="0" w:color="auto"/>
                <w:right w:val="none" w:sz="0" w:space="0" w:color="auto"/>
              </w:divBdr>
              <w:divsChild>
                <w:div w:id="854615829">
                  <w:marLeft w:val="0"/>
                  <w:marRight w:val="0"/>
                  <w:marTop w:val="0"/>
                  <w:marBottom w:val="0"/>
                  <w:divBdr>
                    <w:top w:val="none" w:sz="0" w:space="0" w:color="auto"/>
                    <w:left w:val="none" w:sz="0" w:space="0" w:color="auto"/>
                    <w:bottom w:val="none" w:sz="0" w:space="0" w:color="auto"/>
                    <w:right w:val="none" w:sz="0" w:space="0" w:color="auto"/>
                  </w:divBdr>
                  <w:divsChild>
                    <w:div w:id="1701130515">
                      <w:marLeft w:val="0"/>
                      <w:marRight w:val="0"/>
                      <w:marTop w:val="0"/>
                      <w:marBottom w:val="0"/>
                      <w:divBdr>
                        <w:top w:val="none" w:sz="0" w:space="0" w:color="auto"/>
                        <w:left w:val="none" w:sz="0" w:space="0" w:color="auto"/>
                        <w:bottom w:val="none" w:sz="0" w:space="0" w:color="auto"/>
                        <w:right w:val="none" w:sz="0" w:space="0" w:color="auto"/>
                      </w:divBdr>
                      <w:divsChild>
                        <w:div w:id="1111584758">
                          <w:marLeft w:val="0"/>
                          <w:marRight w:val="0"/>
                          <w:marTop w:val="0"/>
                          <w:marBottom w:val="0"/>
                          <w:divBdr>
                            <w:top w:val="none" w:sz="0" w:space="0" w:color="auto"/>
                            <w:left w:val="none" w:sz="0" w:space="0" w:color="auto"/>
                            <w:bottom w:val="none" w:sz="0" w:space="0" w:color="auto"/>
                            <w:right w:val="none" w:sz="0" w:space="0" w:color="auto"/>
                          </w:divBdr>
                          <w:divsChild>
                            <w:div w:id="468324682">
                              <w:marLeft w:val="0"/>
                              <w:marRight w:val="0"/>
                              <w:marTop w:val="0"/>
                              <w:marBottom w:val="0"/>
                              <w:divBdr>
                                <w:top w:val="none" w:sz="0" w:space="0" w:color="auto"/>
                                <w:left w:val="none" w:sz="0" w:space="0" w:color="auto"/>
                                <w:bottom w:val="none" w:sz="0" w:space="0" w:color="auto"/>
                                <w:right w:val="none" w:sz="0" w:space="0" w:color="auto"/>
                              </w:divBdr>
                              <w:divsChild>
                                <w:div w:id="109243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611217">
      <w:bodyDiv w:val="1"/>
      <w:marLeft w:val="0"/>
      <w:marRight w:val="0"/>
      <w:marTop w:val="0"/>
      <w:marBottom w:val="0"/>
      <w:divBdr>
        <w:top w:val="none" w:sz="0" w:space="0" w:color="auto"/>
        <w:left w:val="none" w:sz="0" w:space="0" w:color="auto"/>
        <w:bottom w:val="none" w:sz="0" w:space="0" w:color="auto"/>
        <w:right w:val="none" w:sz="0" w:space="0" w:color="auto"/>
      </w:divBdr>
    </w:div>
    <w:div w:id="86076738">
      <w:bodyDiv w:val="1"/>
      <w:marLeft w:val="0"/>
      <w:marRight w:val="0"/>
      <w:marTop w:val="0"/>
      <w:marBottom w:val="0"/>
      <w:divBdr>
        <w:top w:val="none" w:sz="0" w:space="0" w:color="auto"/>
        <w:left w:val="none" w:sz="0" w:space="0" w:color="auto"/>
        <w:bottom w:val="none" w:sz="0" w:space="0" w:color="auto"/>
        <w:right w:val="none" w:sz="0" w:space="0" w:color="auto"/>
      </w:divBdr>
    </w:div>
    <w:div w:id="162358668">
      <w:bodyDiv w:val="1"/>
      <w:marLeft w:val="0"/>
      <w:marRight w:val="0"/>
      <w:marTop w:val="0"/>
      <w:marBottom w:val="0"/>
      <w:divBdr>
        <w:top w:val="none" w:sz="0" w:space="0" w:color="auto"/>
        <w:left w:val="none" w:sz="0" w:space="0" w:color="auto"/>
        <w:bottom w:val="none" w:sz="0" w:space="0" w:color="auto"/>
        <w:right w:val="none" w:sz="0" w:space="0" w:color="auto"/>
      </w:divBdr>
    </w:div>
    <w:div w:id="323820542">
      <w:bodyDiv w:val="1"/>
      <w:marLeft w:val="0"/>
      <w:marRight w:val="0"/>
      <w:marTop w:val="0"/>
      <w:marBottom w:val="0"/>
      <w:divBdr>
        <w:top w:val="none" w:sz="0" w:space="0" w:color="auto"/>
        <w:left w:val="none" w:sz="0" w:space="0" w:color="auto"/>
        <w:bottom w:val="none" w:sz="0" w:space="0" w:color="auto"/>
        <w:right w:val="none" w:sz="0" w:space="0" w:color="auto"/>
      </w:divBdr>
    </w:div>
    <w:div w:id="567763868">
      <w:bodyDiv w:val="1"/>
      <w:marLeft w:val="0"/>
      <w:marRight w:val="0"/>
      <w:marTop w:val="0"/>
      <w:marBottom w:val="0"/>
      <w:divBdr>
        <w:top w:val="none" w:sz="0" w:space="0" w:color="auto"/>
        <w:left w:val="none" w:sz="0" w:space="0" w:color="auto"/>
        <w:bottom w:val="none" w:sz="0" w:space="0" w:color="auto"/>
        <w:right w:val="none" w:sz="0" w:space="0" w:color="auto"/>
      </w:divBdr>
      <w:divsChild>
        <w:div w:id="1303148661">
          <w:marLeft w:val="0"/>
          <w:marRight w:val="0"/>
          <w:marTop w:val="0"/>
          <w:marBottom w:val="0"/>
          <w:divBdr>
            <w:top w:val="none" w:sz="0" w:space="0" w:color="auto"/>
            <w:left w:val="none" w:sz="0" w:space="0" w:color="auto"/>
            <w:bottom w:val="none" w:sz="0" w:space="0" w:color="auto"/>
            <w:right w:val="none" w:sz="0" w:space="0" w:color="auto"/>
          </w:divBdr>
        </w:div>
        <w:div w:id="1126850481">
          <w:marLeft w:val="0"/>
          <w:marRight w:val="0"/>
          <w:marTop w:val="0"/>
          <w:marBottom w:val="0"/>
          <w:divBdr>
            <w:top w:val="none" w:sz="0" w:space="0" w:color="auto"/>
            <w:left w:val="none" w:sz="0" w:space="0" w:color="auto"/>
            <w:bottom w:val="none" w:sz="0" w:space="0" w:color="auto"/>
            <w:right w:val="none" w:sz="0" w:space="0" w:color="auto"/>
          </w:divBdr>
        </w:div>
        <w:div w:id="739905978">
          <w:marLeft w:val="0"/>
          <w:marRight w:val="0"/>
          <w:marTop w:val="0"/>
          <w:marBottom w:val="0"/>
          <w:divBdr>
            <w:top w:val="none" w:sz="0" w:space="0" w:color="auto"/>
            <w:left w:val="none" w:sz="0" w:space="0" w:color="auto"/>
            <w:bottom w:val="none" w:sz="0" w:space="0" w:color="auto"/>
            <w:right w:val="none" w:sz="0" w:space="0" w:color="auto"/>
          </w:divBdr>
        </w:div>
        <w:div w:id="283738084">
          <w:marLeft w:val="0"/>
          <w:marRight w:val="0"/>
          <w:marTop w:val="0"/>
          <w:marBottom w:val="0"/>
          <w:divBdr>
            <w:top w:val="none" w:sz="0" w:space="0" w:color="auto"/>
            <w:left w:val="none" w:sz="0" w:space="0" w:color="auto"/>
            <w:bottom w:val="none" w:sz="0" w:space="0" w:color="auto"/>
            <w:right w:val="none" w:sz="0" w:space="0" w:color="auto"/>
          </w:divBdr>
        </w:div>
        <w:div w:id="2098167084">
          <w:marLeft w:val="0"/>
          <w:marRight w:val="0"/>
          <w:marTop w:val="0"/>
          <w:marBottom w:val="0"/>
          <w:divBdr>
            <w:top w:val="none" w:sz="0" w:space="0" w:color="auto"/>
            <w:left w:val="none" w:sz="0" w:space="0" w:color="auto"/>
            <w:bottom w:val="none" w:sz="0" w:space="0" w:color="auto"/>
            <w:right w:val="none" w:sz="0" w:space="0" w:color="auto"/>
          </w:divBdr>
        </w:div>
      </w:divsChild>
    </w:div>
    <w:div w:id="588348206">
      <w:bodyDiv w:val="1"/>
      <w:marLeft w:val="0"/>
      <w:marRight w:val="0"/>
      <w:marTop w:val="0"/>
      <w:marBottom w:val="0"/>
      <w:divBdr>
        <w:top w:val="none" w:sz="0" w:space="0" w:color="auto"/>
        <w:left w:val="none" w:sz="0" w:space="0" w:color="auto"/>
        <w:bottom w:val="none" w:sz="0" w:space="0" w:color="auto"/>
        <w:right w:val="none" w:sz="0" w:space="0" w:color="auto"/>
      </w:divBdr>
      <w:divsChild>
        <w:div w:id="1528829413">
          <w:marLeft w:val="0"/>
          <w:marRight w:val="0"/>
          <w:marTop w:val="0"/>
          <w:marBottom w:val="0"/>
          <w:divBdr>
            <w:top w:val="none" w:sz="0" w:space="0" w:color="auto"/>
            <w:left w:val="none" w:sz="0" w:space="0" w:color="auto"/>
            <w:bottom w:val="none" w:sz="0" w:space="0" w:color="auto"/>
            <w:right w:val="none" w:sz="0" w:space="0" w:color="auto"/>
          </w:divBdr>
        </w:div>
        <w:div w:id="250938838">
          <w:marLeft w:val="0"/>
          <w:marRight w:val="0"/>
          <w:marTop w:val="0"/>
          <w:marBottom w:val="0"/>
          <w:divBdr>
            <w:top w:val="none" w:sz="0" w:space="0" w:color="auto"/>
            <w:left w:val="none" w:sz="0" w:space="0" w:color="auto"/>
            <w:bottom w:val="none" w:sz="0" w:space="0" w:color="auto"/>
            <w:right w:val="none" w:sz="0" w:space="0" w:color="auto"/>
          </w:divBdr>
        </w:div>
        <w:div w:id="1747459809">
          <w:marLeft w:val="0"/>
          <w:marRight w:val="0"/>
          <w:marTop w:val="0"/>
          <w:marBottom w:val="0"/>
          <w:divBdr>
            <w:top w:val="none" w:sz="0" w:space="0" w:color="auto"/>
            <w:left w:val="none" w:sz="0" w:space="0" w:color="auto"/>
            <w:bottom w:val="none" w:sz="0" w:space="0" w:color="auto"/>
            <w:right w:val="none" w:sz="0" w:space="0" w:color="auto"/>
          </w:divBdr>
        </w:div>
        <w:div w:id="803541068">
          <w:marLeft w:val="0"/>
          <w:marRight w:val="0"/>
          <w:marTop w:val="0"/>
          <w:marBottom w:val="0"/>
          <w:divBdr>
            <w:top w:val="none" w:sz="0" w:space="0" w:color="auto"/>
            <w:left w:val="none" w:sz="0" w:space="0" w:color="auto"/>
            <w:bottom w:val="none" w:sz="0" w:space="0" w:color="auto"/>
            <w:right w:val="none" w:sz="0" w:space="0" w:color="auto"/>
          </w:divBdr>
        </w:div>
        <w:div w:id="876889844">
          <w:marLeft w:val="0"/>
          <w:marRight w:val="0"/>
          <w:marTop w:val="0"/>
          <w:marBottom w:val="0"/>
          <w:divBdr>
            <w:top w:val="none" w:sz="0" w:space="0" w:color="auto"/>
            <w:left w:val="none" w:sz="0" w:space="0" w:color="auto"/>
            <w:bottom w:val="none" w:sz="0" w:space="0" w:color="auto"/>
            <w:right w:val="none" w:sz="0" w:space="0" w:color="auto"/>
          </w:divBdr>
        </w:div>
      </w:divsChild>
    </w:div>
    <w:div w:id="595476462">
      <w:bodyDiv w:val="1"/>
      <w:marLeft w:val="0"/>
      <w:marRight w:val="0"/>
      <w:marTop w:val="0"/>
      <w:marBottom w:val="0"/>
      <w:divBdr>
        <w:top w:val="none" w:sz="0" w:space="0" w:color="auto"/>
        <w:left w:val="none" w:sz="0" w:space="0" w:color="auto"/>
        <w:bottom w:val="none" w:sz="0" w:space="0" w:color="auto"/>
        <w:right w:val="none" w:sz="0" w:space="0" w:color="auto"/>
      </w:divBdr>
    </w:div>
    <w:div w:id="787895263">
      <w:bodyDiv w:val="1"/>
      <w:marLeft w:val="0"/>
      <w:marRight w:val="0"/>
      <w:marTop w:val="0"/>
      <w:marBottom w:val="0"/>
      <w:divBdr>
        <w:top w:val="none" w:sz="0" w:space="0" w:color="auto"/>
        <w:left w:val="none" w:sz="0" w:space="0" w:color="auto"/>
        <w:bottom w:val="none" w:sz="0" w:space="0" w:color="auto"/>
        <w:right w:val="none" w:sz="0" w:space="0" w:color="auto"/>
      </w:divBdr>
    </w:div>
    <w:div w:id="846750101">
      <w:bodyDiv w:val="1"/>
      <w:marLeft w:val="0"/>
      <w:marRight w:val="0"/>
      <w:marTop w:val="0"/>
      <w:marBottom w:val="0"/>
      <w:divBdr>
        <w:top w:val="none" w:sz="0" w:space="0" w:color="auto"/>
        <w:left w:val="none" w:sz="0" w:space="0" w:color="auto"/>
        <w:bottom w:val="none" w:sz="0" w:space="0" w:color="auto"/>
        <w:right w:val="none" w:sz="0" w:space="0" w:color="auto"/>
      </w:divBdr>
    </w:div>
    <w:div w:id="858855035">
      <w:bodyDiv w:val="1"/>
      <w:marLeft w:val="0"/>
      <w:marRight w:val="0"/>
      <w:marTop w:val="0"/>
      <w:marBottom w:val="0"/>
      <w:divBdr>
        <w:top w:val="none" w:sz="0" w:space="0" w:color="auto"/>
        <w:left w:val="none" w:sz="0" w:space="0" w:color="auto"/>
        <w:bottom w:val="none" w:sz="0" w:space="0" w:color="auto"/>
        <w:right w:val="none" w:sz="0" w:space="0" w:color="auto"/>
      </w:divBdr>
    </w:div>
    <w:div w:id="1122336178">
      <w:bodyDiv w:val="1"/>
      <w:marLeft w:val="0"/>
      <w:marRight w:val="0"/>
      <w:marTop w:val="0"/>
      <w:marBottom w:val="0"/>
      <w:divBdr>
        <w:top w:val="none" w:sz="0" w:space="0" w:color="auto"/>
        <w:left w:val="none" w:sz="0" w:space="0" w:color="auto"/>
        <w:bottom w:val="none" w:sz="0" w:space="0" w:color="auto"/>
        <w:right w:val="none" w:sz="0" w:space="0" w:color="auto"/>
      </w:divBdr>
    </w:div>
    <w:div w:id="1173379322">
      <w:bodyDiv w:val="1"/>
      <w:marLeft w:val="0"/>
      <w:marRight w:val="0"/>
      <w:marTop w:val="0"/>
      <w:marBottom w:val="0"/>
      <w:divBdr>
        <w:top w:val="none" w:sz="0" w:space="0" w:color="auto"/>
        <w:left w:val="none" w:sz="0" w:space="0" w:color="auto"/>
        <w:bottom w:val="none" w:sz="0" w:space="0" w:color="auto"/>
        <w:right w:val="none" w:sz="0" w:space="0" w:color="auto"/>
      </w:divBdr>
    </w:div>
    <w:div w:id="1279066464">
      <w:bodyDiv w:val="1"/>
      <w:marLeft w:val="0"/>
      <w:marRight w:val="0"/>
      <w:marTop w:val="0"/>
      <w:marBottom w:val="0"/>
      <w:divBdr>
        <w:top w:val="none" w:sz="0" w:space="0" w:color="auto"/>
        <w:left w:val="none" w:sz="0" w:space="0" w:color="auto"/>
        <w:bottom w:val="none" w:sz="0" w:space="0" w:color="auto"/>
        <w:right w:val="none" w:sz="0" w:space="0" w:color="auto"/>
      </w:divBdr>
      <w:divsChild>
        <w:div w:id="1880244370">
          <w:marLeft w:val="0"/>
          <w:marRight w:val="0"/>
          <w:marTop w:val="0"/>
          <w:marBottom w:val="0"/>
          <w:divBdr>
            <w:top w:val="none" w:sz="0" w:space="0" w:color="auto"/>
            <w:left w:val="none" w:sz="0" w:space="0" w:color="auto"/>
            <w:bottom w:val="none" w:sz="0" w:space="0" w:color="auto"/>
            <w:right w:val="none" w:sz="0" w:space="0" w:color="auto"/>
          </w:divBdr>
        </w:div>
      </w:divsChild>
    </w:div>
    <w:div w:id="1340812538">
      <w:bodyDiv w:val="1"/>
      <w:marLeft w:val="0"/>
      <w:marRight w:val="0"/>
      <w:marTop w:val="0"/>
      <w:marBottom w:val="0"/>
      <w:divBdr>
        <w:top w:val="none" w:sz="0" w:space="0" w:color="auto"/>
        <w:left w:val="none" w:sz="0" w:space="0" w:color="auto"/>
        <w:bottom w:val="none" w:sz="0" w:space="0" w:color="auto"/>
        <w:right w:val="none" w:sz="0" w:space="0" w:color="auto"/>
      </w:divBdr>
    </w:div>
    <w:div w:id="1450853542">
      <w:bodyDiv w:val="1"/>
      <w:marLeft w:val="0"/>
      <w:marRight w:val="0"/>
      <w:marTop w:val="0"/>
      <w:marBottom w:val="0"/>
      <w:divBdr>
        <w:top w:val="none" w:sz="0" w:space="0" w:color="auto"/>
        <w:left w:val="none" w:sz="0" w:space="0" w:color="auto"/>
        <w:bottom w:val="none" w:sz="0" w:space="0" w:color="auto"/>
        <w:right w:val="none" w:sz="0" w:space="0" w:color="auto"/>
      </w:divBdr>
    </w:div>
    <w:div w:id="1533689740">
      <w:bodyDiv w:val="1"/>
      <w:marLeft w:val="0"/>
      <w:marRight w:val="0"/>
      <w:marTop w:val="0"/>
      <w:marBottom w:val="0"/>
      <w:divBdr>
        <w:top w:val="none" w:sz="0" w:space="0" w:color="auto"/>
        <w:left w:val="none" w:sz="0" w:space="0" w:color="auto"/>
        <w:bottom w:val="none" w:sz="0" w:space="0" w:color="auto"/>
        <w:right w:val="none" w:sz="0" w:space="0" w:color="auto"/>
      </w:divBdr>
    </w:div>
    <w:div w:id="1705213363">
      <w:bodyDiv w:val="1"/>
      <w:marLeft w:val="0"/>
      <w:marRight w:val="0"/>
      <w:marTop w:val="0"/>
      <w:marBottom w:val="0"/>
      <w:divBdr>
        <w:top w:val="none" w:sz="0" w:space="0" w:color="auto"/>
        <w:left w:val="none" w:sz="0" w:space="0" w:color="auto"/>
        <w:bottom w:val="none" w:sz="0" w:space="0" w:color="auto"/>
        <w:right w:val="none" w:sz="0" w:space="0" w:color="auto"/>
      </w:divBdr>
      <w:divsChild>
        <w:div w:id="1738939907">
          <w:marLeft w:val="0"/>
          <w:marRight w:val="0"/>
          <w:marTop w:val="0"/>
          <w:marBottom w:val="0"/>
          <w:divBdr>
            <w:top w:val="none" w:sz="0" w:space="0" w:color="auto"/>
            <w:left w:val="none" w:sz="0" w:space="0" w:color="auto"/>
            <w:bottom w:val="none" w:sz="0" w:space="0" w:color="auto"/>
            <w:right w:val="none" w:sz="0" w:space="0" w:color="auto"/>
          </w:divBdr>
          <w:divsChild>
            <w:div w:id="1304576995">
              <w:marLeft w:val="0"/>
              <w:marRight w:val="0"/>
              <w:marTop w:val="0"/>
              <w:marBottom w:val="0"/>
              <w:divBdr>
                <w:top w:val="none" w:sz="0" w:space="0" w:color="auto"/>
                <w:left w:val="none" w:sz="0" w:space="0" w:color="auto"/>
                <w:bottom w:val="none" w:sz="0" w:space="0" w:color="auto"/>
                <w:right w:val="none" w:sz="0" w:space="0" w:color="auto"/>
              </w:divBdr>
              <w:divsChild>
                <w:div w:id="1535382731">
                  <w:marLeft w:val="0"/>
                  <w:marRight w:val="0"/>
                  <w:marTop w:val="0"/>
                  <w:marBottom w:val="0"/>
                  <w:divBdr>
                    <w:top w:val="none" w:sz="0" w:space="0" w:color="auto"/>
                    <w:left w:val="none" w:sz="0" w:space="0" w:color="auto"/>
                    <w:bottom w:val="none" w:sz="0" w:space="0" w:color="auto"/>
                    <w:right w:val="none" w:sz="0" w:space="0" w:color="auto"/>
                  </w:divBdr>
                  <w:divsChild>
                    <w:div w:id="1153569992">
                      <w:marLeft w:val="0"/>
                      <w:marRight w:val="0"/>
                      <w:marTop w:val="0"/>
                      <w:marBottom w:val="0"/>
                      <w:divBdr>
                        <w:top w:val="none" w:sz="0" w:space="0" w:color="auto"/>
                        <w:left w:val="none" w:sz="0" w:space="0" w:color="auto"/>
                        <w:bottom w:val="none" w:sz="0" w:space="0" w:color="auto"/>
                        <w:right w:val="none" w:sz="0" w:space="0" w:color="auto"/>
                      </w:divBdr>
                      <w:divsChild>
                        <w:div w:id="717362683">
                          <w:marLeft w:val="0"/>
                          <w:marRight w:val="0"/>
                          <w:marTop w:val="0"/>
                          <w:marBottom w:val="0"/>
                          <w:divBdr>
                            <w:top w:val="none" w:sz="0" w:space="0" w:color="auto"/>
                            <w:left w:val="none" w:sz="0" w:space="0" w:color="auto"/>
                            <w:bottom w:val="none" w:sz="0" w:space="0" w:color="auto"/>
                            <w:right w:val="none" w:sz="0" w:space="0" w:color="auto"/>
                          </w:divBdr>
                          <w:divsChild>
                            <w:div w:id="203490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4208564">
      <w:bodyDiv w:val="1"/>
      <w:marLeft w:val="0"/>
      <w:marRight w:val="0"/>
      <w:marTop w:val="0"/>
      <w:marBottom w:val="0"/>
      <w:divBdr>
        <w:top w:val="none" w:sz="0" w:space="0" w:color="auto"/>
        <w:left w:val="none" w:sz="0" w:space="0" w:color="auto"/>
        <w:bottom w:val="none" w:sz="0" w:space="0" w:color="auto"/>
        <w:right w:val="none" w:sz="0" w:space="0" w:color="auto"/>
      </w:divBdr>
      <w:divsChild>
        <w:div w:id="1292904373">
          <w:marLeft w:val="0"/>
          <w:marRight w:val="0"/>
          <w:marTop w:val="0"/>
          <w:marBottom w:val="0"/>
          <w:divBdr>
            <w:top w:val="none" w:sz="0" w:space="0" w:color="auto"/>
            <w:left w:val="none" w:sz="0" w:space="0" w:color="auto"/>
            <w:bottom w:val="none" w:sz="0" w:space="0" w:color="auto"/>
            <w:right w:val="none" w:sz="0" w:space="0" w:color="auto"/>
          </w:divBdr>
          <w:divsChild>
            <w:div w:id="190744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384972">
      <w:bodyDiv w:val="1"/>
      <w:marLeft w:val="0"/>
      <w:marRight w:val="0"/>
      <w:marTop w:val="0"/>
      <w:marBottom w:val="0"/>
      <w:divBdr>
        <w:top w:val="none" w:sz="0" w:space="0" w:color="auto"/>
        <w:left w:val="none" w:sz="0" w:space="0" w:color="auto"/>
        <w:bottom w:val="none" w:sz="0" w:space="0" w:color="auto"/>
        <w:right w:val="none" w:sz="0" w:space="0" w:color="auto"/>
      </w:divBdr>
      <w:divsChild>
        <w:div w:id="1365248788">
          <w:marLeft w:val="0"/>
          <w:marRight w:val="0"/>
          <w:marTop w:val="0"/>
          <w:marBottom w:val="0"/>
          <w:divBdr>
            <w:top w:val="none" w:sz="0" w:space="0" w:color="auto"/>
            <w:left w:val="none" w:sz="0" w:space="0" w:color="auto"/>
            <w:bottom w:val="none" w:sz="0" w:space="0" w:color="auto"/>
            <w:right w:val="none" w:sz="0" w:space="0" w:color="auto"/>
          </w:divBdr>
          <w:divsChild>
            <w:div w:id="1519538234">
              <w:marLeft w:val="0"/>
              <w:marRight w:val="0"/>
              <w:marTop w:val="0"/>
              <w:marBottom w:val="0"/>
              <w:divBdr>
                <w:top w:val="none" w:sz="0" w:space="0" w:color="auto"/>
                <w:left w:val="none" w:sz="0" w:space="0" w:color="auto"/>
                <w:bottom w:val="none" w:sz="0" w:space="0" w:color="auto"/>
                <w:right w:val="none" w:sz="0" w:space="0" w:color="auto"/>
              </w:divBdr>
              <w:divsChild>
                <w:div w:id="219218393">
                  <w:marLeft w:val="0"/>
                  <w:marRight w:val="0"/>
                  <w:marTop w:val="0"/>
                  <w:marBottom w:val="0"/>
                  <w:divBdr>
                    <w:top w:val="none" w:sz="0" w:space="0" w:color="auto"/>
                    <w:left w:val="none" w:sz="0" w:space="0" w:color="auto"/>
                    <w:bottom w:val="none" w:sz="0" w:space="0" w:color="auto"/>
                    <w:right w:val="none" w:sz="0" w:space="0" w:color="auto"/>
                  </w:divBdr>
                  <w:divsChild>
                    <w:div w:id="17924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1789</ap:Words>
  <ap:Characters>9841</ap:Characters>
  <ap:DocSecurity>0</ap:DocSecurity>
  <ap:Lines>82</ap:Lines>
  <ap:Paragraphs>23</ap:Paragraphs>
  <ap:ScaleCrop>false</ap:ScaleCrop>
  <ap:LinksUpToDate>false</ap:LinksUpToDate>
  <ap:CharactersWithSpaces>11607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2025-05-27T20:45:00.0000000Z</dcterms:created>
  <dcterms:modified xsi:type="dcterms:W3CDTF">2025-05-27T20:45:00.0000000Z</dcterms:modified>
  <dc:description>------------------------</dc:description>
  <dc:subject/>
  <dc:title/>
  <keywords/>
  <version/>
  <category/>
</coreProperties>
</file>