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1C0B" w:rsidR="00432137" w:rsidP="00432137" w:rsidRDefault="00432137" w14:paraId="31DC9CFA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1C0B" w:rsidP="00B51C0B" w:rsidRDefault="00B51C0B" w14:paraId="777F02CD" w14:textId="7CE20ECC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 w:rsidRPr="00B51C0B"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Pr="00B51C0B">
        <w:rPr>
          <w:b/>
          <w:bCs/>
          <w:sz w:val="22"/>
          <w:szCs w:val="22"/>
        </w:rPr>
        <w:t xml:space="preserve"> VI</w:t>
      </w:r>
      <w:r w:rsidR="00CD0384">
        <w:rPr>
          <w:b/>
          <w:bCs/>
          <w:sz w:val="22"/>
          <w:szCs w:val="22"/>
        </w:rPr>
        <w:t>-1</w:t>
      </w:r>
      <w:r w:rsidR="00CD0384">
        <w:rPr>
          <w:b/>
          <w:bCs/>
          <w:sz w:val="22"/>
          <w:szCs w:val="22"/>
        </w:rPr>
        <w:tab/>
        <w:t xml:space="preserve">Jaarverslag </w:t>
      </w:r>
      <w:r w:rsidRPr="00B51C0B">
        <w:rPr>
          <w:b/>
          <w:bCs/>
          <w:sz w:val="22"/>
          <w:szCs w:val="22"/>
        </w:rPr>
        <w:t>Ministerie</w:t>
      </w:r>
      <w:r w:rsidR="00CD0384">
        <w:rPr>
          <w:b/>
          <w:bCs/>
          <w:sz w:val="22"/>
          <w:szCs w:val="22"/>
        </w:rPr>
        <w:t xml:space="preserve"> van Justitie en Veiligheid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5E9B667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="00B51C0B" w:rsidP="00B51C0B" w:rsidRDefault="00CD0384" w14:paraId="0AB69D9A" w14:textId="29BD5F1E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Pr="00B51C0B" w:rsidR="00B51C0B">
        <w:rPr>
          <w:b/>
          <w:bCs/>
          <w:sz w:val="22"/>
          <w:szCs w:val="22"/>
        </w:rPr>
        <w:t xml:space="preserve"> VII</w:t>
      </w:r>
      <w:r>
        <w:rPr>
          <w:b/>
          <w:bCs/>
          <w:sz w:val="22"/>
          <w:szCs w:val="22"/>
        </w:rPr>
        <w:t>-1</w:t>
      </w:r>
      <w:r w:rsidRPr="00B51C0B" w:rsidR="00B51C0B">
        <w:rPr>
          <w:b/>
          <w:bCs/>
          <w:sz w:val="22"/>
          <w:szCs w:val="22"/>
        </w:rPr>
        <w:tab/>
        <w:t>Jaarverslag Ministerie van Binnenlandse Z</w:t>
      </w:r>
      <w:r>
        <w:rPr>
          <w:b/>
          <w:bCs/>
          <w:sz w:val="22"/>
          <w:szCs w:val="22"/>
        </w:rPr>
        <w:t>aken en Koninkrijksrelaties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1AC8E38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Pr="00B51C0B" w:rsidR="00B51C0B" w:rsidP="00B51C0B" w:rsidRDefault="005A4939" w14:paraId="27CD8FEE" w14:textId="2CF5EF0E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="00CD0384">
        <w:rPr>
          <w:b/>
          <w:bCs/>
          <w:sz w:val="22"/>
          <w:szCs w:val="22"/>
        </w:rPr>
        <w:t xml:space="preserve"> XIII-1</w:t>
      </w:r>
      <w:r w:rsidR="00CD0384">
        <w:rPr>
          <w:b/>
          <w:bCs/>
          <w:sz w:val="22"/>
          <w:szCs w:val="22"/>
        </w:rPr>
        <w:tab/>
        <w:t xml:space="preserve">Jaarverslag </w:t>
      </w:r>
      <w:r w:rsidRPr="00B51C0B" w:rsidR="00B51C0B">
        <w:rPr>
          <w:b/>
          <w:bCs/>
          <w:sz w:val="22"/>
          <w:szCs w:val="22"/>
        </w:rPr>
        <w:t>Ministerie van E</w:t>
      </w:r>
      <w:r w:rsidR="00CD0384">
        <w:rPr>
          <w:b/>
          <w:bCs/>
          <w:sz w:val="22"/>
          <w:szCs w:val="22"/>
        </w:rPr>
        <w:t>conomische Zaken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141767C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Pr="00B51C0B" w:rsidR="00432137" w:rsidP="00432137" w:rsidRDefault="00432137" w14:paraId="60F5916A" w14:textId="6E2D93A6">
      <w:pPr>
        <w:pStyle w:val="Normaalweb"/>
        <w:rPr>
          <w:b/>
          <w:color w:val="000000"/>
          <w:sz w:val="22"/>
          <w:szCs w:val="22"/>
        </w:rPr>
      </w:pPr>
      <w:r w:rsidRPr="00120317">
        <w:rPr>
          <w:b/>
          <w:color w:val="000000"/>
          <w:sz w:val="22"/>
          <w:szCs w:val="22"/>
        </w:rPr>
        <w:t>nr.</w:t>
      </w:r>
      <w:r w:rsidRPr="00B51C0B">
        <w:rPr>
          <w:color w:val="000000"/>
          <w:sz w:val="22"/>
          <w:szCs w:val="22"/>
        </w:rPr>
        <w:t xml:space="preserve"> </w:t>
      </w:r>
      <w:r w:rsidRPr="00B51C0B">
        <w:rPr>
          <w:color w:val="000000"/>
          <w:sz w:val="22"/>
          <w:szCs w:val="22"/>
        </w:rPr>
        <w:tab/>
      </w:r>
      <w:r w:rsidRPr="00B51C0B">
        <w:rPr>
          <w:color w:val="000000"/>
          <w:sz w:val="22"/>
          <w:szCs w:val="22"/>
        </w:rPr>
        <w:tab/>
      </w:r>
      <w:r w:rsidR="00203043">
        <w:rPr>
          <w:b/>
          <w:color w:val="000000"/>
          <w:sz w:val="22"/>
          <w:szCs w:val="22"/>
        </w:rPr>
        <w:t xml:space="preserve">Lijst </w:t>
      </w:r>
      <w:r w:rsidRPr="00B51C0B">
        <w:rPr>
          <w:b/>
          <w:color w:val="000000"/>
          <w:sz w:val="22"/>
          <w:szCs w:val="22"/>
        </w:rPr>
        <w:t>van vragen</w:t>
      </w:r>
      <w:r w:rsidR="00203043">
        <w:rPr>
          <w:b/>
          <w:color w:val="000000"/>
          <w:sz w:val="22"/>
          <w:szCs w:val="22"/>
        </w:rPr>
        <w:t xml:space="preserve"> en antwoorden</w:t>
      </w:r>
    </w:p>
    <w:p w:rsidRPr="00B51C0B" w:rsidR="00432137" w:rsidP="00432137" w:rsidRDefault="00432137" w14:paraId="47D871F7" w14:textId="77777777">
      <w:pPr>
        <w:pStyle w:val="Normaalweb"/>
        <w:ind w:left="708" w:firstLine="708"/>
        <w:rPr>
          <w:color w:val="000000"/>
          <w:sz w:val="22"/>
          <w:szCs w:val="22"/>
        </w:rPr>
      </w:pPr>
      <w:r w:rsidRPr="00B51C0B">
        <w:rPr>
          <w:b/>
          <w:color w:val="000000"/>
          <w:sz w:val="22"/>
          <w:szCs w:val="22"/>
        </w:rPr>
        <w:t xml:space="preserve">Vastgesteld </w:t>
      </w:r>
    </w:p>
    <w:p w:rsidRPr="00B51C0B" w:rsidR="00B51C0B" w:rsidP="00432137" w:rsidRDefault="00432137" w14:paraId="5598DE21" w14:textId="6D53DEF5">
      <w:pPr>
        <w:pStyle w:val="Normaalweb"/>
        <w:ind w:left="1416"/>
        <w:rPr>
          <w:color w:val="000000"/>
          <w:sz w:val="22"/>
          <w:szCs w:val="22"/>
        </w:rPr>
      </w:pPr>
      <w:r w:rsidRPr="00B51C0B">
        <w:rPr>
          <w:color w:val="000000"/>
          <w:sz w:val="22"/>
          <w:szCs w:val="22"/>
        </w:rPr>
        <w:t xml:space="preserve">De vaste commissie voor </w:t>
      </w:r>
      <w:r w:rsidRPr="00B65A52">
        <w:rPr>
          <w:color w:val="000000"/>
          <w:sz w:val="22"/>
          <w:szCs w:val="22"/>
        </w:rPr>
        <w:t>Digitale Zaken</w:t>
      </w:r>
      <w:r w:rsidRPr="00B51C0B">
        <w:rPr>
          <w:color w:val="000000"/>
          <w:sz w:val="22"/>
          <w:szCs w:val="22"/>
        </w:rPr>
        <w:t xml:space="preserve"> heeft een aantal vragen voorgelegd aan de bewindspersonen van </w:t>
      </w:r>
      <w:r w:rsidR="00364311">
        <w:rPr>
          <w:color w:val="000000"/>
          <w:sz w:val="22"/>
          <w:szCs w:val="22"/>
        </w:rPr>
        <w:t xml:space="preserve">Justitie en Veiligheid, </w:t>
      </w:r>
      <w:r w:rsidRPr="00B51C0B">
        <w:rPr>
          <w:color w:val="000000"/>
          <w:sz w:val="22"/>
          <w:szCs w:val="22"/>
        </w:rPr>
        <w:t xml:space="preserve">Binnenlandse Zaken en Koninkrijkrelaties, </w:t>
      </w:r>
      <w:r w:rsidR="00F87519">
        <w:rPr>
          <w:color w:val="000000"/>
          <w:sz w:val="22"/>
          <w:szCs w:val="22"/>
        </w:rPr>
        <w:t xml:space="preserve">en </w:t>
      </w:r>
      <w:r w:rsidRPr="00B51C0B">
        <w:rPr>
          <w:color w:val="000000"/>
          <w:sz w:val="22"/>
          <w:szCs w:val="22"/>
        </w:rPr>
        <w:t xml:space="preserve">Economische Zaken over </w:t>
      </w:r>
      <w:r w:rsidR="00CD0384">
        <w:rPr>
          <w:color w:val="000000"/>
          <w:sz w:val="22"/>
          <w:szCs w:val="22"/>
        </w:rPr>
        <w:t xml:space="preserve">de brieven van </w:t>
      </w:r>
      <w:r w:rsidR="00374565">
        <w:rPr>
          <w:color w:val="000000"/>
          <w:sz w:val="22"/>
          <w:szCs w:val="22"/>
        </w:rPr>
        <w:t>21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 xml:space="preserve">mei </w:t>
      </w:r>
      <w:r w:rsidR="00CD0384">
        <w:rPr>
          <w:color w:val="000000"/>
          <w:sz w:val="22"/>
          <w:szCs w:val="22"/>
        </w:rPr>
        <w:t>202</w:t>
      </w:r>
      <w:r w:rsidR="002E6326">
        <w:rPr>
          <w:color w:val="000000"/>
          <w:sz w:val="22"/>
          <w:szCs w:val="22"/>
        </w:rPr>
        <w:t>5</w:t>
      </w:r>
      <w:r w:rsidR="00CD0384">
        <w:rPr>
          <w:color w:val="000000"/>
          <w:sz w:val="22"/>
          <w:szCs w:val="22"/>
        </w:rPr>
        <w:t xml:space="preserve"> inzake het Jaarverslag 202</w:t>
      </w:r>
      <w:r w:rsidR="00EC7FC2">
        <w:rPr>
          <w:color w:val="000000"/>
          <w:sz w:val="22"/>
          <w:szCs w:val="22"/>
        </w:rPr>
        <w:t>4</w:t>
      </w:r>
      <w:r w:rsidRPr="00B51C0B" w:rsidR="00B51C0B">
        <w:rPr>
          <w:color w:val="000000"/>
          <w:sz w:val="22"/>
          <w:szCs w:val="22"/>
        </w:rPr>
        <w:t xml:space="preserve"> van het Ministerie</w:t>
      </w:r>
      <w:r w:rsidR="00CD0384">
        <w:rPr>
          <w:color w:val="000000"/>
          <w:sz w:val="22"/>
          <w:szCs w:val="22"/>
        </w:rPr>
        <w:t xml:space="preserve"> van Justitie en Veiligheid (36</w:t>
      </w:r>
      <w:r w:rsidR="00EC7FC2">
        <w:rPr>
          <w:color w:val="000000"/>
          <w:sz w:val="22"/>
          <w:szCs w:val="22"/>
        </w:rPr>
        <w:t>740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VI-1); het Jaarverslag 202</w:t>
      </w:r>
      <w:r w:rsidR="00EC7FC2">
        <w:rPr>
          <w:color w:val="000000"/>
          <w:sz w:val="22"/>
          <w:szCs w:val="22"/>
        </w:rPr>
        <w:t>4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>van het Ministerie van Binnenlandse Zaken en Koninkrijksrela</w:t>
      </w:r>
      <w:r w:rsidR="00CD0384">
        <w:rPr>
          <w:color w:val="000000"/>
          <w:sz w:val="22"/>
          <w:szCs w:val="22"/>
        </w:rPr>
        <w:t>ties (36</w:t>
      </w:r>
      <w:r w:rsidR="00EC7FC2">
        <w:rPr>
          <w:color w:val="000000"/>
          <w:sz w:val="22"/>
          <w:szCs w:val="22"/>
        </w:rPr>
        <w:t>74</w:t>
      </w:r>
      <w:r w:rsidR="00CD0384">
        <w:rPr>
          <w:color w:val="000000"/>
          <w:sz w:val="22"/>
          <w:szCs w:val="22"/>
        </w:rPr>
        <w:t>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VII-1); het Jaarverslag 202</w:t>
      </w:r>
      <w:r w:rsidR="00D938E9">
        <w:rPr>
          <w:color w:val="000000"/>
          <w:sz w:val="22"/>
          <w:szCs w:val="22"/>
        </w:rPr>
        <w:t xml:space="preserve">4 </w:t>
      </w:r>
      <w:r w:rsidRPr="00B51C0B" w:rsidR="00B51C0B">
        <w:rPr>
          <w:color w:val="000000"/>
          <w:sz w:val="22"/>
          <w:szCs w:val="22"/>
        </w:rPr>
        <w:t>van het Ministerie van E</w:t>
      </w:r>
      <w:r w:rsidR="00CD0384">
        <w:rPr>
          <w:color w:val="000000"/>
          <w:sz w:val="22"/>
          <w:szCs w:val="22"/>
        </w:rPr>
        <w:t>conomische Zaken (</w:t>
      </w:r>
      <w:r w:rsidR="00D938E9">
        <w:rPr>
          <w:color w:val="000000"/>
          <w:sz w:val="22"/>
          <w:szCs w:val="22"/>
        </w:rPr>
        <w:t>36740</w:t>
      </w:r>
      <w:r w:rsidR="00536247">
        <w:rPr>
          <w:color w:val="000000"/>
          <w:sz w:val="22"/>
          <w:szCs w:val="22"/>
        </w:rPr>
        <w:t xml:space="preserve"> </w:t>
      </w:r>
      <w:r w:rsidR="00D938E9">
        <w:rPr>
          <w:color w:val="000000"/>
          <w:sz w:val="22"/>
          <w:szCs w:val="22"/>
        </w:rPr>
        <w:t>XIII-1)</w:t>
      </w:r>
      <w:r w:rsidR="00F87519">
        <w:rPr>
          <w:color w:val="000000"/>
          <w:sz w:val="22"/>
          <w:szCs w:val="22"/>
        </w:rPr>
        <w:t xml:space="preserve">, voor zover het onderwerpen betreft die zien op digitalisering. </w:t>
      </w:r>
    </w:p>
    <w:p w:rsidR="002B6C9C" w:rsidP="002B6C9C" w:rsidRDefault="002B6C9C" w14:paraId="4B57D9A8" w14:textId="77777777">
      <w:pPr>
        <w:ind w:left="708" w:firstLine="708"/>
        <w:rPr>
          <w:sz w:val="22"/>
          <w:szCs w:val="22"/>
        </w:rPr>
      </w:pPr>
    </w:p>
    <w:p w:rsidRPr="002B6C9C" w:rsidR="002B6C9C" w:rsidP="002B6C9C" w:rsidRDefault="002B6C9C" w14:paraId="0445DECC" w14:textId="2F46317D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2B6C9C" w:rsidRDefault="00F87519" w14:paraId="0780E6A5" w14:textId="475F407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Wingelaar</w:t>
      </w:r>
    </w:p>
    <w:p w:rsidRPr="002B6C9C" w:rsidR="002B6C9C" w:rsidP="002B6C9C" w:rsidRDefault="002B6C9C" w14:paraId="771CF3B2" w14:textId="77777777">
      <w:pPr>
        <w:ind w:left="708" w:firstLine="708"/>
        <w:rPr>
          <w:sz w:val="22"/>
          <w:szCs w:val="22"/>
        </w:rPr>
      </w:pPr>
    </w:p>
    <w:p w:rsidR="00432137" w:rsidP="004E6BF8" w:rsidRDefault="002B6C9C" w14:paraId="37A957AD" w14:textId="00041716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adjunct-griffier van de commissie,</w:t>
      </w:r>
    </w:p>
    <w:p w:rsidRPr="004E6BF8" w:rsidR="00F27E4C" w:rsidP="004E6BF8" w:rsidRDefault="00F27E4C" w14:paraId="37F66914" w14:textId="4ED8C27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769560EF" w14:textId="77777777">
      <w:pPr>
        <w:pStyle w:val="Default"/>
      </w:pPr>
    </w:p>
    <w:p w:rsidR="00D80313" w:rsidP="00432137" w:rsidRDefault="002B6C9C" w14:paraId="5BB4AFE7" w14:textId="3D9C298E">
      <w:pPr>
        <w:rPr>
          <w:b/>
          <w:bCs/>
          <w:sz w:val="22"/>
          <w:szCs w:val="22"/>
        </w:rPr>
      </w:pPr>
      <w:r w:rsidRPr="002B6C9C">
        <w:rPr>
          <w:b/>
          <w:sz w:val="22"/>
          <w:szCs w:val="22"/>
        </w:rPr>
        <w:t xml:space="preserve">Vragen </w:t>
      </w:r>
      <w:r w:rsidR="00F87519">
        <w:rPr>
          <w:b/>
          <w:sz w:val="22"/>
          <w:szCs w:val="22"/>
        </w:rPr>
        <w:t xml:space="preserve">inzake </w:t>
      </w:r>
      <w:r w:rsidR="00F87519">
        <w:rPr>
          <w:b/>
          <w:bCs/>
          <w:sz w:val="22"/>
          <w:szCs w:val="22"/>
        </w:rPr>
        <w:t xml:space="preserve">Jaarverslag </w:t>
      </w:r>
      <w:r w:rsidRPr="00B51C0B" w:rsidR="00F87519">
        <w:rPr>
          <w:b/>
          <w:bCs/>
          <w:sz w:val="22"/>
          <w:szCs w:val="22"/>
        </w:rPr>
        <w:t>Ministerie</w:t>
      </w:r>
      <w:r w:rsidR="00F87519">
        <w:rPr>
          <w:b/>
          <w:bCs/>
          <w:sz w:val="22"/>
          <w:szCs w:val="22"/>
        </w:rPr>
        <w:t xml:space="preserve"> van Justitie en Veiligheid 2024</w:t>
      </w:r>
      <w:r w:rsidR="00F87519">
        <w:rPr>
          <w:b/>
          <w:color w:val="000000"/>
          <w:sz w:val="22"/>
          <w:szCs w:val="22"/>
        </w:rPr>
        <w:t xml:space="preserve"> </w:t>
      </w:r>
      <w:r w:rsidR="00CD0384">
        <w:rPr>
          <w:b/>
          <w:color w:val="000000"/>
          <w:sz w:val="22"/>
          <w:szCs w:val="22"/>
        </w:rPr>
        <w:t>(</w:t>
      </w:r>
      <w:r w:rsidRPr="00B51C0B" w:rsidR="00F87519">
        <w:rPr>
          <w:b/>
          <w:bCs/>
          <w:sz w:val="22"/>
          <w:szCs w:val="22"/>
        </w:rPr>
        <w:t>36</w:t>
      </w:r>
      <w:r w:rsidR="00F87519">
        <w:rPr>
          <w:b/>
          <w:bCs/>
          <w:sz w:val="22"/>
          <w:szCs w:val="22"/>
        </w:rPr>
        <w:t>740</w:t>
      </w:r>
      <w:r w:rsidRPr="00B51C0B" w:rsidR="00F87519">
        <w:rPr>
          <w:b/>
          <w:bCs/>
          <w:sz w:val="22"/>
          <w:szCs w:val="22"/>
        </w:rPr>
        <w:t xml:space="preserve"> VI</w:t>
      </w:r>
      <w:r w:rsidR="00F87519">
        <w:rPr>
          <w:b/>
          <w:bCs/>
          <w:sz w:val="22"/>
          <w:szCs w:val="22"/>
        </w:rPr>
        <w:t>-1)</w:t>
      </w:r>
    </w:p>
    <w:p w:rsidR="007B7C9E" w:rsidP="00432137" w:rsidRDefault="007B7C9E" w14:paraId="2184CD47" w14:textId="77777777">
      <w:pPr>
        <w:rPr>
          <w:b/>
          <w:color w:val="000000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7B7C9E" w:rsidR="007B7C9E" w:rsidTr="007B7C9E" w14:paraId="439D8E11" w14:textId="77777777">
        <w:tc>
          <w:tcPr>
            <w:tcW w:w="567" w:type="dxa"/>
            <w:hideMark/>
          </w:tcPr>
          <w:p w:rsidRPr="007B7C9E" w:rsidR="007B7C9E" w:rsidP="00A47696" w:rsidRDefault="007B7C9E" w14:paraId="5B949DF8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B7C9E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7B7C9E" w:rsidR="007B7C9E" w:rsidP="00A47696" w:rsidRDefault="007B7C9E" w14:paraId="6F7D19D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>Hoeveel organisaties hebben zich in 2024 vrijwillig geregistreerd onder de nieuwe aankomende Cyberbeveiligingswet (Cbw)?</w:t>
            </w:r>
          </w:p>
        </w:tc>
        <w:tc>
          <w:tcPr>
            <w:tcW w:w="850" w:type="dxa"/>
          </w:tcPr>
          <w:p w:rsidRPr="007B7C9E" w:rsidR="007B7C9E" w:rsidP="00A47696" w:rsidRDefault="007B7C9E" w14:paraId="2D54684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7B7C9E" w:rsidR="007B7C9E" w:rsidP="00A47696" w:rsidRDefault="007B7C9E" w14:paraId="1A304CDF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B7C9E">
              <w:rPr>
                <w:bCs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567" w:type="dxa"/>
            <w:hideMark/>
          </w:tcPr>
          <w:p w:rsidRPr="007B7C9E" w:rsidR="007B7C9E" w:rsidP="00A47696" w:rsidRDefault="007B7C9E" w14:paraId="4A01D6E3" w14:textId="77777777">
            <w:pPr>
              <w:spacing w:before="0" w:after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7B7C9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9604AF" w:rsidR="008626B5" w:rsidP="00A47696" w:rsidRDefault="008626B5" w14:paraId="7CACAE20" w14:textId="77777777">
      <w:pPr>
        <w:spacing w:before="0" w:after="0"/>
        <w:rPr>
          <w:b/>
          <w:color w:val="000000"/>
          <w:sz w:val="22"/>
          <w:szCs w:val="22"/>
        </w:rPr>
      </w:pPr>
    </w:p>
    <w:p w:rsidRPr="009604AF" w:rsidR="00F87519" w:rsidP="00A47696" w:rsidRDefault="00CD0384" w14:paraId="442F024E" w14:textId="77777777">
      <w:pPr>
        <w:autoSpaceDE w:val="0"/>
        <w:autoSpaceDN w:val="0"/>
        <w:adjustRightInd w:val="0"/>
        <w:spacing w:before="0" w:after="0"/>
        <w:rPr>
          <w:b/>
          <w:sz w:val="22"/>
          <w:szCs w:val="22"/>
        </w:rPr>
      </w:pPr>
      <w:r w:rsidRPr="009604AF">
        <w:rPr>
          <w:b/>
          <w:color w:val="000000"/>
          <w:sz w:val="22"/>
          <w:szCs w:val="22"/>
        </w:rPr>
        <w:t xml:space="preserve">Vragen inzake </w:t>
      </w:r>
      <w:r w:rsidRPr="009604AF" w:rsidR="00F87519">
        <w:rPr>
          <w:b/>
          <w:sz w:val="22"/>
          <w:szCs w:val="22"/>
        </w:rPr>
        <w:t>Jaarverslag Ministerie van Binnenlandse Zaken en Koninkrijksrelaties 2024</w:t>
      </w:r>
    </w:p>
    <w:p w:rsidRPr="009604AF" w:rsidR="00F87519" w:rsidP="00A47696" w:rsidRDefault="00CD0384" w14:paraId="66C1FFDA" w14:textId="77777777">
      <w:pPr>
        <w:spacing w:before="0" w:after="0"/>
        <w:rPr>
          <w:b/>
          <w:color w:val="000000"/>
          <w:sz w:val="22"/>
          <w:szCs w:val="22"/>
        </w:rPr>
      </w:pPr>
      <w:r w:rsidRPr="009604AF">
        <w:rPr>
          <w:b/>
          <w:color w:val="000000"/>
          <w:sz w:val="22"/>
          <w:szCs w:val="22"/>
        </w:rPr>
        <w:t>(36</w:t>
      </w:r>
      <w:r w:rsidRPr="009604AF" w:rsidR="00F87519">
        <w:rPr>
          <w:b/>
          <w:color w:val="000000"/>
          <w:sz w:val="22"/>
          <w:szCs w:val="22"/>
        </w:rPr>
        <w:t>740 VII-1)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D46418" w:rsidR="00D46418" w:rsidTr="00D46418" w14:paraId="49EAF5A0" w14:textId="77777777">
        <w:trPr>
          <w:cantSplit/>
        </w:trPr>
        <w:tc>
          <w:tcPr>
            <w:tcW w:w="566" w:type="dxa"/>
          </w:tcPr>
          <w:p w:rsidRPr="00D46418" w:rsidR="00D46418" w:rsidP="00A47696" w:rsidRDefault="00D46418" w14:paraId="40CFF6FA" w14:textId="4466623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520" w:type="dxa"/>
          </w:tcPr>
          <w:p w:rsidRPr="00D46418" w:rsidR="00D46418" w:rsidP="00A47696" w:rsidRDefault="00D46418" w14:paraId="0542A8F8" w14:textId="4204921E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Pr="00D46418" w:rsidR="00D46418" w:rsidP="00A47696" w:rsidRDefault="00D46418" w14:paraId="6958E4E5" w14:textId="2345A62B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Pr="00D46418" w:rsidR="00D46418" w:rsidP="00A47696" w:rsidRDefault="00D46418" w14:paraId="125204E1" w14:textId="3B616AA9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Pr="00D46418" w:rsidR="00D46418" w:rsidP="00A47696" w:rsidRDefault="00D46418" w14:paraId="6F91DD7D" w14:textId="2A8E97C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Pr="00D46418" w:rsidR="00D46418" w:rsidTr="00D46418" w14:paraId="79472FAA" w14:textId="77777777">
        <w:tc>
          <w:tcPr>
            <w:tcW w:w="566" w:type="dxa"/>
            <w:hideMark/>
          </w:tcPr>
          <w:p w:rsidRPr="00D46418" w:rsidR="00D46418" w:rsidP="00A47696" w:rsidRDefault="003D6441" w14:paraId="55DDE6A5" w14:textId="6D8340D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3CE63AE2" w14:textId="7933B708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Welke middelen zijn over 2024 ingezet voor de prioriteiten uit de Werkagend</w:t>
            </w:r>
            <w:r>
              <w:rPr>
                <w:bCs/>
                <w:color w:val="000000"/>
                <w:sz w:val="22"/>
                <w:szCs w:val="22"/>
              </w:rPr>
              <w:t>a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Waardengedreven Digitalisering van uw voorganger? Welke activiteiten uit de agenda zijn stopgezet?</w:t>
            </w:r>
          </w:p>
        </w:tc>
        <w:tc>
          <w:tcPr>
            <w:tcW w:w="850" w:type="dxa"/>
          </w:tcPr>
          <w:p w:rsidRPr="00D46418" w:rsidR="00D46418" w:rsidP="00A47696" w:rsidRDefault="00D46418" w14:paraId="676DBC00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D46418" w:rsidR="00D46418" w:rsidP="00A47696" w:rsidRDefault="00D46418" w14:paraId="77D24C46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567" w:type="dxa"/>
            <w:hideMark/>
          </w:tcPr>
          <w:p w:rsidRPr="00D46418" w:rsidR="00D46418" w:rsidP="00A47696" w:rsidRDefault="00D46418" w14:paraId="59C5186F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22 </w:t>
            </w:r>
          </w:p>
        </w:tc>
      </w:tr>
      <w:tr w:rsidRPr="00D46418" w:rsidR="00D46418" w:rsidTr="00D46418" w14:paraId="245FE5D2" w14:textId="77777777">
        <w:tc>
          <w:tcPr>
            <w:tcW w:w="566" w:type="dxa"/>
            <w:hideMark/>
          </w:tcPr>
          <w:p w:rsidRPr="00D46418" w:rsidR="00D46418" w:rsidP="00A47696" w:rsidRDefault="003D6441" w14:paraId="3AFC88B1" w14:textId="3287B80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0514B290" w14:textId="69F83F36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Wat is de status van de ontwikkeling van overheidsbrede loketten en lokale </w:t>
            </w:r>
            <w:r>
              <w:rPr>
                <w:bCs/>
                <w:color w:val="000000"/>
                <w:sz w:val="22"/>
                <w:szCs w:val="22"/>
              </w:rPr>
              <w:t>Informatiepunten Digitale Overheid (</w:t>
            </w:r>
            <w:r w:rsidRPr="00D46418">
              <w:rPr>
                <w:bCs/>
                <w:color w:val="000000"/>
                <w:sz w:val="22"/>
                <w:szCs w:val="22"/>
              </w:rPr>
              <w:t>IDO’s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  <w:r w:rsidRPr="00D46418">
              <w:rPr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D46418" w:rsidR="00D46418" w:rsidP="00A47696" w:rsidRDefault="00D46418" w14:paraId="06130400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46418" w:rsidP="00A47696" w:rsidRDefault="00D46418" w14:paraId="472A0605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</w:p>
          <w:p w:rsidRPr="00D46418" w:rsidR="00D46418" w:rsidP="00A47696" w:rsidRDefault="00D46418" w14:paraId="228D24A1" w14:textId="732C357D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hideMark/>
          </w:tcPr>
          <w:p w:rsidRPr="00D46418" w:rsidR="00D46418" w:rsidP="00A47696" w:rsidRDefault="00D46418" w14:paraId="1BC309E9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D46418" w:rsidR="00D46418" w:rsidTr="00D46418" w14:paraId="153CD89C" w14:textId="77777777">
        <w:tc>
          <w:tcPr>
            <w:tcW w:w="566" w:type="dxa"/>
            <w:hideMark/>
          </w:tcPr>
          <w:p w:rsidRPr="00D46418" w:rsidR="00D46418" w:rsidP="00A47696" w:rsidRDefault="003D6441" w14:paraId="7F213BD5" w14:textId="0AA9EA3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39016872" w14:textId="21640EBC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Kunt u toelichten welke middelen zijn ingezet voor het ondersteunen van de IDO's?</w:t>
            </w:r>
          </w:p>
        </w:tc>
        <w:tc>
          <w:tcPr>
            <w:tcW w:w="850" w:type="dxa"/>
          </w:tcPr>
          <w:p w:rsidRPr="00D46418" w:rsidR="00D46418" w:rsidP="00A47696" w:rsidRDefault="00D46418" w14:paraId="06109FE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D46418" w:rsidR="00D46418" w:rsidP="00A47696" w:rsidRDefault="00D46418" w14:paraId="46D232A2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hideMark/>
          </w:tcPr>
          <w:p w:rsidRPr="00D46418" w:rsidR="00D46418" w:rsidP="00A47696" w:rsidRDefault="00D46418" w14:paraId="08ED5E07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D46418" w:rsidR="00D46418" w:rsidTr="00D46418" w14:paraId="23BF6BD6" w14:textId="77777777">
        <w:tc>
          <w:tcPr>
            <w:tcW w:w="566" w:type="dxa"/>
            <w:hideMark/>
          </w:tcPr>
          <w:p w:rsidRPr="00D46418" w:rsidR="00D46418" w:rsidP="00A47696" w:rsidRDefault="003D6441" w14:paraId="0E006948" w14:textId="64B0393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40D3A747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Heeft het opstellen van een operationeel kader voor de inrichting van Microsoft 365 geleid tot een grotere afhankelijkheid van één techleverancier?</w:t>
            </w:r>
          </w:p>
        </w:tc>
        <w:tc>
          <w:tcPr>
            <w:tcW w:w="850" w:type="dxa"/>
          </w:tcPr>
          <w:p w:rsidRPr="00D46418" w:rsidR="00D46418" w:rsidP="00A47696" w:rsidRDefault="00D46418" w14:paraId="12C52A82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D46418" w:rsidR="00D46418" w:rsidP="00A47696" w:rsidRDefault="00D46418" w14:paraId="30FC7D4B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hideMark/>
          </w:tcPr>
          <w:p w:rsidRPr="00D46418" w:rsidR="00D46418" w:rsidP="00A47696" w:rsidRDefault="00D46418" w14:paraId="615F6556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D46418" w:rsidR="00D46418" w:rsidTr="00D46418" w14:paraId="1B8B5CAE" w14:textId="77777777">
        <w:tc>
          <w:tcPr>
            <w:tcW w:w="566" w:type="dxa"/>
            <w:hideMark/>
          </w:tcPr>
          <w:p w:rsidRPr="00D46418" w:rsidR="00D46418" w:rsidP="00A47696" w:rsidRDefault="003D6441" w14:paraId="0198B12F" w14:textId="36549459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59D213A4" w14:textId="589CB7F6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Is na het aannemen van meerdere moties over het Rijksbrede cloudbeleid </w:t>
            </w:r>
            <w:r>
              <w:rPr>
                <w:bCs/>
                <w:color w:val="000000"/>
                <w:sz w:val="22"/>
                <w:szCs w:val="22"/>
              </w:rPr>
              <w:t xml:space="preserve">naar aanleiding van 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het plenaire debat hierover </w:t>
            </w:r>
            <w:r>
              <w:rPr>
                <w:bCs/>
                <w:color w:val="000000"/>
                <w:sz w:val="22"/>
                <w:szCs w:val="22"/>
              </w:rPr>
              <w:t xml:space="preserve">d.d. 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13 maart </w:t>
            </w:r>
            <w:r>
              <w:rPr>
                <w:bCs/>
                <w:color w:val="000000"/>
                <w:sz w:val="22"/>
                <w:szCs w:val="22"/>
              </w:rPr>
              <w:t>2025 het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cloudbeleid gewijzigd, vooruitlopend op de herziening die nog volgt?</w:t>
            </w:r>
          </w:p>
        </w:tc>
        <w:tc>
          <w:tcPr>
            <w:tcW w:w="850" w:type="dxa"/>
          </w:tcPr>
          <w:p w:rsidRPr="00D46418" w:rsidR="00D46418" w:rsidP="00A47696" w:rsidRDefault="00D46418" w14:paraId="6B4863ED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D46418" w:rsidR="00D46418" w:rsidP="00A47696" w:rsidRDefault="00D46418" w14:paraId="532E6F3C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hideMark/>
          </w:tcPr>
          <w:p w:rsidRPr="00D46418" w:rsidR="00D46418" w:rsidP="00A47696" w:rsidRDefault="00D46418" w14:paraId="376E3F9E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D46418" w:rsidR="00D46418" w:rsidTr="00D46418" w14:paraId="7FE8ABA7" w14:textId="77777777">
        <w:tc>
          <w:tcPr>
            <w:tcW w:w="566" w:type="dxa"/>
            <w:hideMark/>
          </w:tcPr>
          <w:p w:rsidRPr="00D46418" w:rsidR="00D46418" w:rsidP="00A47696" w:rsidRDefault="003D6441" w14:paraId="73937453" w14:textId="5DE15C7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7AE29374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Kunt u een stand van zaken geven over het traject 'inrichten overheidsbrede loketten'? Tot welke concrete verbeteringen heeft dit geleid in 2024? Zet u deze door?</w:t>
            </w:r>
          </w:p>
        </w:tc>
        <w:tc>
          <w:tcPr>
            <w:tcW w:w="850" w:type="dxa"/>
          </w:tcPr>
          <w:p w:rsidRPr="00D46418" w:rsidR="00D46418" w:rsidP="00A47696" w:rsidRDefault="00D46418" w14:paraId="613FBA5B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D46418" w:rsidR="00D46418" w:rsidP="00A47696" w:rsidRDefault="00D46418" w14:paraId="64DD2094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hideMark/>
          </w:tcPr>
          <w:p w:rsidRPr="00D46418" w:rsidR="00D46418" w:rsidP="00A47696" w:rsidRDefault="00D46418" w14:paraId="1237C0B5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D46418" w:rsidR="00D46418" w:rsidTr="00D46418" w14:paraId="5F3D0B5C" w14:textId="77777777">
        <w:tc>
          <w:tcPr>
            <w:tcW w:w="566" w:type="dxa"/>
            <w:hideMark/>
          </w:tcPr>
          <w:p w:rsidRPr="00D46418" w:rsidR="00D46418" w:rsidP="00A47696" w:rsidRDefault="003D6441" w14:paraId="1C0E25F3" w14:textId="30D50B6E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65D28D8D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Welke middelen zijn er beschikbaar gesteld voor de Nederlandse Digitaliseringsstrategie? Zijn deze toereikend?</w:t>
            </w:r>
          </w:p>
        </w:tc>
        <w:tc>
          <w:tcPr>
            <w:tcW w:w="850" w:type="dxa"/>
          </w:tcPr>
          <w:p w:rsidRPr="00D46418" w:rsidR="00D46418" w:rsidP="00A47696" w:rsidRDefault="00D46418" w14:paraId="598D55DA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D46418" w:rsidR="00D46418" w:rsidP="00A47696" w:rsidRDefault="00D46418" w14:paraId="1E238129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567" w:type="dxa"/>
            <w:hideMark/>
          </w:tcPr>
          <w:p w:rsidRPr="00D46418" w:rsidR="00D46418" w:rsidP="00A47696" w:rsidRDefault="00D46418" w14:paraId="531ECA20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D46418" w:rsidR="00D46418" w:rsidTr="00D46418" w14:paraId="43E37AE6" w14:textId="77777777">
        <w:tc>
          <w:tcPr>
            <w:tcW w:w="566" w:type="dxa"/>
            <w:hideMark/>
          </w:tcPr>
          <w:p w:rsidRPr="00D46418" w:rsidR="00D46418" w:rsidP="00A47696" w:rsidRDefault="003D6441" w14:paraId="43E9AB2D" w14:textId="2186144C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D46418" w:rsidR="00D46418" w:rsidP="00A47696" w:rsidRDefault="00D46418" w14:paraId="7658C69E" w14:textId="20AFB1BF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Hoe is de samenwerking tussen de </w:t>
            </w:r>
            <w:r>
              <w:rPr>
                <w:bCs/>
                <w:color w:val="000000"/>
                <w:sz w:val="22"/>
                <w:szCs w:val="22"/>
              </w:rPr>
              <w:t>Rijksinspectie Digitale Infrastructuur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en de A</w:t>
            </w:r>
            <w:r>
              <w:rPr>
                <w:bCs/>
                <w:color w:val="000000"/>
                <w:sz w:val="22"/>
                <w:szCs w:val="22"/>
              </w:rPr>
              <w:t xml:space="preserve">utoriteit </w:t>
            </w:r>
            <w:r w:rsidRPr="00D46418">
              <w:rPr>
                <w:bCs/>
                <w:color w:val="000000"/>
                <w:sz w:val="22"/>
                <w:szCs w:val="22"/>
              </w:rPr>
              <w:t>P</w:t>
            </w:r>
            <w:r>
              <w:rPr>
                <w:bCs/>
                <w:color w:val="000000"/>
                <w:sz w:val="22"/>
                <w:szCs w:val="22"/>
              </w:rPr>
              <w:t>ersoonsgegevens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georganiseerd voor handhaving van de AI-verordening?</w:t>
            </w:r>
          </w:p>
        </w:tc>
        <w:tc>
          <w:tcPr>
            <w:tcW w:w="850" w:type="dxa"/>
          </w:tcPr>
          <w:p w:rsidRPr="00D46418" w:rsidR="00D46418" w:rsidP="00A47696" w:rsidRDefault="00D46418" w14:paraId="46C8A378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D46418" w:rsidR="00D46418" w:rsidP="00A47696" w:rsidRDefault="00D46418" w14:paraId="1A34070A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567" w:type="dxa"/>
            <w:hideMark/>
          </w:tcPr>
          <w:p w:rsidRPr="00D46418" w:rsidR="00D46418" w:rsidP="00A47696" w:rsidRDefault="00D46418" w14:paraId="58FED94E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46418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F87519" w:rsidP="00A47696" w:rsidRDefault="00F87519" w14:paraId="68C0C6B6" w14:textId="77777777">
      <w:pPr>
        <w:spacing w:before="0" w:after="0"/>
        <w:rPr>
          <w:b/>
          <w:color w:val="000000"/>
          <w:sz w:val="22"/>
          <w:szCs w:val="22"/>
        </w:rPr>
      </w:pPr>
    </w:p>
    <w:p w:rsidR="00CD0384" w:rsidP="00A47696" w:rsidRDefault="00CD0384" w14:paraId="0C646DF3" w14:textId="459D4049">
      <w:pPr>
        <w:spacing w:before="0" w:after="0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Vragen inzake </w:t>
      </w:r>
      <w:r w:rsidR="00F87519">
        <w:rPr>
          <w:b/>
          <w:bCs/>
          <w:sz w:val="22"/>
          <w:szCs w:val="22"/>
        </w:rPr>
        <w:t xml:space="preserve">Jaarverslag </w:t>
      </w:r>
      <w:r w:rsidRPr="00B51C0B" w:rsidR="00F87519">
        <w:rPr>
          <w:b/>
          <w:bCs/>
          <w:sz w:val="22"/>
          <w:szCs w:val="22"/>
        </w:rPr>
        <w:t>Ministerie van E</w:t>
      </w:r>
      <w:r w:rsidR="00F87519">
        <w:rPr>
          <w:b/>
          <w:bCs/>
          <w:sz w:val="22"/>
          <w:szCs w:val="22"/>
        </w:rPr>
        <w:t>conomische Zaken 2024 (36740 XIII-1)</w:t>
      </w:r>
    </w:p>
    <w:p w:rsidR="009604AF" w:rsidP="00A47696" w:rsidRDefault="009604AF" w14:paraId="591F9870" w14:textId="77777777">
      <w:pPr>
        <w:spacing w:before="0" w:after="0"/>
        <w:rPr>
          <w:b/>
          <w:bCs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9604AF" w:rsidR="009604AF" w:rsidTr="009604AF" w14:paraId="312A066F" w14:textId="77777777">
        <w:tc>
          <w:tcPr>
            <w:tcW w:w="567" w:type="dxa"/>
            <w:hideMark/>
          </w:tcPr>
          <w:p w:rsidRPr="009604AF" w:rsidR="009604AF" w:rsidP="00A47696" w:rsidRDefault="003D6441" w14:paraId="61543496" w14:textId="572A4119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6521" w:type="dxa"/>
            <w:hideMark/>
          </w:tcPr>
          <w:p w:rsidRPr="009604AF" w:rsidR="009604AF" w:rsidP="00A47696" w:rsidRDefault="009604AF" w14:paraId="76725028" w14:textId="7F750830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Hoeveel beleids- of wetsaanpassingen zijn er voorbereid in het kader van de AI-verordening</w:t>
            </w:r>
            <w:r>
              <w:rPr>
                <w:bCs/>
                <w:color w:val="000000"/>
                <w:sz w:val="22"/>
                <w:szCs w:val="22"/>
              </w:rPr>
              <w:t>? W</w:t>
            </w:r>
            <w:r w:rsidRPr="009604AF">
              <w:rPr>
                <w:bCs/>
                <w:color w:val="000000"/>
                <w:sz w:val="22"/>
                <w:szCs w:val="22"/>
              </w:rPr>
              <w:t>at is de planning voor 2025 en hoe verhoudt zich dit tot de omnibus-pakketten?</w:t>
            </w:r>
          </w:p>
        </w:tc>
        <w:tc>
          <w:tcPr>
            <w:tcW w:w="850" w:type="dxa"/>
          </w:tcPr>
          <w:p w:rsidRPr="009604AF" w:rsidR="009604AF" w:rsidP="00A47696" w:rsidRDefault="009604AF" w14:paraId="1A79FD6E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604AF" w:rsidR="009604AF" w:rsidP="00A47696" w:rsidRDefault="009604AF" w14:paraId="54FC11D8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Cs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567" w:type="dxa"/>
            <w:hideMark/>
          </w:tcPr>
          <w:p w:rsidRPr="009604AF" w:rsidR="009604AF" w:rsidP="00A47696" w:rsidRDefault="009604AF" w14:paraId="65455DBD" w14:textId="77777777">
            <w:pPr>
              <w:spacing w:before="0" w:after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9604AF" w:rsidR="009604AF" w:rsidTr="009604AF" w14:paraId="20C27896" w14:textId="77777777">
        <w:tc>
          <w:tcPr>
            <w:tcW w:w="567" w:type="dxa"/>
            <w:hideMark/>
          </w:tcPr>
          <w:p w:rsidRPr="009604AF" w:rsidR="009604AF" w:rsidP="00A47696" w:rsidRDefault="003D6441" w14:paraId="3445A3F2" w14:textId="6FEC63D0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6521" w:type="dxa"/>
            <w:hideMark/>
          </w:tcPr>
          <w:p w:rsidRPr="009604AF" w:rsidR="009604AF" w:rsidP="00A47696" w:rsidRDefault="009604AF" w14:paraId="6EAF49A9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Welke acties zijn er inmiddels ondernomen voor de aanlanding van nieuwe onderzeese datakabels met steun van de Zeekabel Coalitie?</w:t>
            </w:r>
          </w:p>
        </w:tc>
        <w:tc>
          <w:tcPr>
            <w:tcW w:w="850" w:type="dxa"/>
          </w:tcPr>
          <w:p w:rsidRPr="009604AF" w:rsidR="009604AF" w:rsidP="00A47696" w:rsidRDefault="009604AF" w14:paraId="55A9D4ED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604AF" w:rsidR="009604AF" w:rsidP="00A47696" w:rsidRDefault="009604AF" w14:paraId="6F5A5DBD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Cs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567" w:type="dxa"/>
            <w:hideMark/>
          </w:tcPr>
          <w:p w:rsidRPr="009604AF" w:rsidR="009604AF" w:rsidP="00A47696" w:rsidRDefault="009604AF" w14:paraId="78CB0D19" w14:textId="77777777">
            <w:pPr>
              <w:spacing w:before="0" w:after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9604AF" w:rsidR="009604AF" w:rsidTr="009604AF" w14:paraId="3F325AE6" w14:textId="77777777">
        <w:tc>
          <w:tcPr>
            <w:tcW w:w="567" w:type="dxa"/>
            <w:hideMark/>
          </w:tcPr>
          <w:p w:rsidRPr="009604AF" w:rsidR="009604AF" w:rsidP="00A47696" w:rsidRDefault="003D6441" w14:paraId="5F98D9BF" w14:textId="70F4DEC6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6521" w:type="dxa"/>
            <w:hideMark/>
          </w:tcPr>
          <w:p w:rsidRPr="009604AF" w:rsidR="009604AF" w:rsidP="00A47696" w:rsidRDefault="009604AF" w14:paraId="05E66AA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Hoe wordt de positie van datacenters in de digitale economie gestimuleerd?</w:t>
            </w:r>
          </w:p>
        </w:tc>
        <w:tc>
          <w:tcPr>
            <w:tcW w:w="850" w:type="dxa"/>
          </w:tcPr>
          <w:p w:rsidRPr="009604AF" w:rsidR="009604AF" w:rsidP="00A47696" w:rsidRDefault="009604AF" w14:paraId="739547BA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604AF" w:rsidR="009604AF" w:rsidP="00A47696" w:rsidRDefault="009604AF" w14:paraId="40ED8EF9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Cs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567" w:type="dxa"/>
            <w:hideMark/>
          </w:tcPr>
          <w:p w:rsidRPr="009604AF" w:rsidR="009604AF" w:rsidP="00A47696" w:rsidRDefault="009604AF" w14:paraId="7492CF94" w14:textId="77777777">
            <w:pPr>
              <w:spacing w:before="0" w:after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9604AF" w:rsidR="009604AF" w:rsidTr="009604AF" w14:paraId="54E223A8" w14:textId="77777777">
        <w:tc>
          <w:tcPr>
            <w:tcW w:w="567" w:type="dxa"/>
            <w:hideMark/>
          </w:tcPr>
          <w:p w:rsidRPr="009604AF" w:rsidR="009604AF" w:rsidP="00A47696" w:rsidRDefault="003D6441" w14:paraId="09D60665" w14:textId="1433814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6521" w:type="dxa"/>
            <w:hideMark/>
          </w:tcPr>
          <w:p w:rsidRPr="009604AF" w:rsidR="009604AF" w:rsidP="00A47696" w:rsidRDefault="009604AF" w14:paraId="72C00630" w14:textId="720316B9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 xml:space="preserve">Wat zijn de meetbare effecten van de subsidie “Mijn Cyberweerbare Zaak” op de digitale weerbaarheid van het </w:t>
            </w:r>
            <w:r>
              <w:rPr>
                <w:bCs/>
                <w:color w:val="000000"/>
                <w:sz w:val="22"/>
                <w:szCs w:val="22"/>
              </w:rPr>
              <w:t>midden en kleinbedrijf (</w:t>
            </w:r>
            <w:r w:rsidRPr="009604AF">
              <w:rPr>
                <w:bCs/>
                <w:color w:val="000000"/>
                <w:sz w:val="22"/>
                <w:szCs w:val="22"/>
              </w:rPr>
              <w:t>mkb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  <w:r w:rsidRPr="009604AF">
              <w:rPr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9604AF" w:rsidR="009604AF" w:rsidP="00A47696" w:rsidRDefault="009604AF" w14:paraId="4BBA53CD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604AF" w:rsidR="009604AF" w:rsidP="00A47696" w:rsidRDefault="009604AF" w14:paraId="462DBCC2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Cs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567" w:type="dxa"/>
            <w:hideMark/>
          </w:tcPr>
          <w:p w:rsidRPr="009604AF" w:rsidR="009604AF" w:rsidP="00A47696" w:rsidRDefault="009604AF" w14:paraId="63AF3DC9" w14:textId="77777777">
            <w:pPr>
              <w:spacing w:before="0" w:after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9604AF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A47696" w:rsidP="00A47696" w:rsidRDefault="00A47696" w14:paraId="79FDE08C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325C8" w:rsidP="00A47696" w:rsidRDefault="002B6C9C" w14:paraId="17E8D227" w14:textId="02CFD3D2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Overkoepelende / overige vragen die betrekking hebben op bovenstaande Jaarverslagen</w:t>
      </w:r>
    </w:p>
    <w:p w:rsidR="00A47696" w:rsidP="00A47696" w:rsidRDefault="00A47696" w14:paraId="5991EFB9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8735"/>
      </w:tblGrid>
      <w:tr w:rsidRPr="007B7C9E" w:rsidR="007B7C9E" w:rsidTr="007B7C9E" w14:paraId="53791AC9" w14:textId="77777777">
        <w:tc>
          <w:tcPr>
            <w:tcW w:w="567" w:type="dxa"/>
            <w:hideMark/>
          </w:tcPr>
          <w:p w:rsidRPr="007B7C9E" w:rsidR="007B7C9E" w:rsidP="00A47696" w:rsidRDefault="003D6441" w14:paraId="44C3265C" w14:textId="6AF20780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6521" w:type="dxa"/>
            <w:hideMark/>
          </w:tcPr>
          <w:p w:rsidRPr="007B7C9E" w:rsidR="003D6441" w:rsidP="00A47696" w:rsidRDefault="003D6441" w14:paraId="0DA37982" w14:textId="69A5A190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toelichten waarom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 xml:space="preserve">voor meer dan de helft van de gebruikte AI-systemen geen risicoafweging is gemaakt? </w:t>
            </w:r>
            <w:r>
              <w:rPr>
                <w:bCs/>
                <w:color w:val="000000"/>
                <w:sz w:val="22"/>
                <w:szCs w:val="22"/>
              </w:rPr>
              <w:t xml:space="preserve">Bent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van plan dit alsnog te doen voor de bestaande en voor nieuwe AI-systemen?</w:t>
            </w:r>
          </w:p>
        </w:tc>
      </w:tr>
      <w:tr w:rsidRPr="007B7C9E" w:rsidR="007B7C9E" w:rsidTr="007B7C9E" w14:paraId="705245FC" w14:textId="77777777">
        <w:tc>
          <w:tcPr>
            <w:tcW w:w="567" w:type="dxa"/>
            <w:hideMark/>
          </w:tcPr>
          <w:p w:rsidRPr="007B7C9E" w:rsidR="007B7C9E" w:rsidP="00A47696" w:rsidRDefault="003D6441" w14:paraId="68057173" w14:textId="73C33FBE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6521" w:type="dxa"/>
            <w:hideMark/>
          </w:tcPr>
          <w:p w:rsidRPr="007B7C9E" w:rsidR="007B7C9E" w:rsidP="00A47696" w:rsidRDefault="007B7C9E" w14:paraId="33DE4037" w14:textId="04097E68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 xml:space="preserve">Wat gaat </w:t>
            </w:r>
            <w:r w:rsidR="003D6441">
              <w:rPr>
                <w:bCs/>
                <w:color w:val="000000"/>
                <w:sz w:val="22"/>
                <w:szCs w:val="22"/>
              </w:rPr>
              <w:t xml:space="preserve">u </w:t>
            </w:r>
            <w:r w:rsidRPr="007B7C9E">
              <w:rPr>
                <w:bCs/>
                <w:color w:val="000000"/>
                <w:sz w:val="22"/>
                <w:szCs w:val="22"/>
              </w:rPr>
              <w:t>doen om de hoeveelheid overheidsdata die zonder risicoanalyse in de cloud staat te beperken? Zijn hier plannen voor?</w:t>
            </w:r>
          </w:p>
        </w:tc>
      </w:tr>
      <w:tr w:rsidRPr="007B7C9E" w:rsidR="007B7C9E" w:rsidTr="007B7C9E" w14:paraId="05887272" w14:textId="77777777">
        <w:tc>
          <w:tcPr>
            <w:tcW w:w="567" w:type="dxa"/>
            <w:hideMark/>
          </w:tcPr>
          <w:p w:rsidRPr="007B7C9E" w:rsidR="007B7C9E" w:rsidP="00A47696" w:rsidRDefault="003D6441" w14:paraId="1F53C3BE" w14:textId="1B288EB1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6521" w:type="dxa"/>
            <w:hideMark/>
          </w:tcPr>
          <w:p w:rsidRPr="007B7C9E" w:rsidR="007B7C9E" w:rsidP="00A47696" w:rsidRDefault="003D6441" w14:paraId="6B8918C7" w14:textId="2AB687D7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inzicht geven in welke IT-systemen de afgelopen twaalf maanden door de rijksoverheid zijn aangeschaft en wat de looptijd van deze overeenkomsten is?</w:t>
            </w:r>
          </w:p>
        </w:tc>
      </w:tr>
      <w:tr w:rsidRPr="007B7C9E" w:rsidR="007B7C9E" w:rsidTr="007B7C9E" w14:paraId="72946AC5" w14:textId="77777777">
        <w:tc>
          <w:tcPr>
            <w:tcW w:w="567" w:type="dxa"/>
            <w:hideMark/>
          </w:tcPr>
          <w:p w:rsidRPr="007B7C9E" w:rsidR="007B7C9E" w:rsidP="00A47696" w:rsidRDefault="003D6441" w14:paraId="5E9B4578" w14:textId="114C0648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6521" w:type="dxa"/>
            <w:hideMark/>
          </w:tcPr>
          <w:p w:rsidRPr="007B7C9E" w:rsidR="007B7C9E" w:rsidP="00A47696" w:rsidRDefault="003D6441" w14:paraId="05C5066E" w14:textId="641D0BDC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inzicht geven in de looptijden van overeenkomsten die betrekking hebben op de aanschaf van IT-systemen, inclusief gemiddelde looptijden, uitschieters en eventuele trends in de duur van contracten over de afgelopen jaren?</w:t>
            </w:r>
          </w:p>
        </w:tc>
      </w:tr>
      <w:tr w:rsidRPr="007B7C9E" w:rsidR="007B7C9E" w:rsidTr="007B7C9E" w14:paraId="0A7252E2" w14:textId="77777777">
        <w:tc>
          <w:tcPr>
            <w:tcW w:w="567" w:type="dxa"/>
            <w:hideMark/>
          </w:tcPr>
          <w:p w:rsidRPr="007B7C9E" w:rsidR="007B7C9E" w:rsidP="00A47696" w:rsidRDefault="003D6441" w14:paraId="42D10C57" w14:textId="526FBAF9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6521" w:type="dxa"/>
            <w:hideMark/>
          </w:tcPr>
          <w:p w:rsidRPr="007B7C9E" w:rsidR="007B7C9E" w:rsidP="00A47696" w:rsidRDefault="007B7C9E" w14:paraId="68D33A59" w14:textId="77777777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>Bent u voornemens om in de komende jaren toe te werken naar een integraal overzicht van ICT-uitgaven, met inzicht in de uitgaven over alle verschillende departementen?</w:t>
            </w:r>
          </w:p>
        </w:tc>
      </w:tr>
    </w:tbl>
    <w:p w:rsidRPr="00F87519" w:rsidR="007B7C9E" w:rsidP="00A47696" w:rsidRDefault="007B7C9E" w14:paraId="34E5BFE9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sectPr w:rsidRPr="00F87519" w:rsidR="007B7C9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D56"/>
    <w:multiLevelType w:val="hybridMultilevel"/>
    <w:tmpl w:val="94948898"/>
    <w:lvl w:ilvl="0" w:tplc="BFDAA6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20CC2"/>
    <w:rsid w:val="00037B84"/>
    <w:rsid w:val="0004286B"/>
    <w:rsid w:val="00054501"/>
    <w:rsid w:val="000A13F8"/>
    <w:rsid w:val="000F525C"/>
    <w:rsid w:val="00120317"/>
    <w:rsid w:val="001226B0"/>
    <w:rsid w:val="0014001E"/>
    <w:rsid w:val="0014794A"/>
    <w:rsid w:val="001610F2"/>
    <w:rsid w:val="001966E2"/>
    <w:rsid w:val="00197243"/>
    <w:rsid w:val="00203043"/>
    <w:rsid w:val="00217F1A"/>
    <w:rsid w:val="002553D5"/>
    <w:rsid w:val="00264F2F"/>
    <w:rsid w:val="002B6C9C"/>
    <w:rsid w:val="002C60F5"/>
    <w:rsid w:val="002E6326"/>
    <w:rsid w:val="00343CA1"/>
    <w:rsid w:val="00364311"/>
    <w:rsid w:val="00374565"/>
    <w:rsid w:val="003D6441"/>
    <w:rsid w:val="00432137"/>
    <w:rsid w:val="004325C8"/>
    <w:rsid w:val="00454195"/>
    <w:rsid w:val="0046616D"/>
    <w:rsid w:val="004A09CF"/>
    <w:rsid w:val="004C10F8"/>
    <w:rsid w:val="004E6BF8"/>
    <w:rsid w:val="004F3D93"/>
    <w:rsid w:val="00501675"/>
    <w:rsid w:val="00511806"/>
    <w:rsid w:val="00536247"/>
    <w:rsid w:val="005A4939"/>
    <w:rsid w:val="00647D70"/>
    <w:rsid w:val="00691B1C"/>
    <w:rsid w:val="00726F19"/>
    <w:rsid w:val="007B7C9E"/>
    <w:rsid w:val="007D76B1"/>
    <w:rsid w:val="00802F3F"/>
    <w:rsid w:val="00845A47"/>
    <w:rsid w:val="008626B5"/>
    <w:rsid w:val="00871A2B"/>
    <w:rsid w:val="008A6FF4"/>
    <w:rsid w:val="008B7146"/>
    <w:rsid w:val="008D639F"/>
    <w:rsid w:val="009604AF"/>
    <w:rsid w:val="0098268B"/>
    <w:rsid w:val="00A47696"/>
    <w:rsid w:val="00AB293B"/>
    <w:rsid w:val="00B00FE8"/>
    <w:rsid w:val="00B03137"/>
    <w:rsid w:val="00B32A11"/>
    <w:rsid w:val="00B51C0B"/>
    <w:rsid w:val="00B65A52"/>
    <w:rsid w:val="00B817C3"/>
    <w:rsid w:val="00B82BCA"/>
    <w:rsid w:val="00C029D2"/>
    <w:rsid w:val="00CB189D"/>
    <w:rsid w:val="00CD0384"/>
    <w:rsid w:val="00CE4375"/>
    <w:rsid w:val="00D46418"/>
    <w:rsid w:val="00D80313"/>
    <w:rsid w:val="00D938E9"/>
    <w:rsid w:val="00D97116"/>
    <w:rsid w:val="00DA70D4"/>
    <w:rsid w:val="00DC58E3"/>
    <w:rsid w:val="00E13EB2"/>
    <w:rsid w:val="00E44A64"/>
    <w:rsid w:val="00E80261"/>
    <w:rsid w:val="00EC7FC2"/>
    <w:rsid w:val="00EE73CC"/>
    <w:rsid w:val="00F27E4C"/>
    <w:rsid w:val="00F87519"/>
    <w:rsid w:val="00FE59B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B8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629</ap:Words>
  <ap:Characters>3463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2025-05-28T11:24:00.0000000Z</dcterms:created>
  <dcterms:modified xsi:type="dcterms:W3CDTF">2025-05-28T11:24:00.0000000Z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a49b6745-a073-415b-9053-6a11c03b4ab1</vt:lpwstr>
  </property>
</Properties>
</file>