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78E" w:rsidRDefault="001856D0" w14:paraId="4BC9A7D5" w14:textId="5CC6D52C">
      <w:pPr>
        <w:rPr>
          <w:b/>
        </w:rPr>
      </w:pPr>
      <w:r>
        <w:rPr>
          <w:b/>
        </w:rPr>
        <w:t xml:space="preserve">Lijst van vragen </w:t>
      </w:r>
    </w:p>
    <w:p w:rsidR="00FD778E" w:rsidP="009A531A" w:rsidRDefault="001856D0" w14:paraId="024ED9AB" w14:textId="46B712A5">
      <w:r>
        <w:t>De vaste commissie voor</w:t>
      </w:r>
      <w:r w:rsidR="00316874">
        <w:t xml:space="preserve"> Buitenlandse Handel en Ontwikkelingshulp</w:t>
      </w:r>
      <w:r>
        <w:t xml:space="preserve"> heeft een aantal vragen voorgelegd aan de </w:t>
      </w:r>
      <w:r w:rsidR="00316874">
        <w:t>minister voor Buitenlandse Handel en Ontwikkelingshulp</w:t>
      </w:r>
      <w:r>
        <w:t xml:space="preserve"> over de </w:t>
      </w:r>
      <w:r>
        <w:rPr>
          <w:b/>
        </w:rPr>
        <w:t>Aanbieding van het rapport Resultaten verantwoordingsonderzoek 2024 bij Buitenlandse Handel en Ontwikkelingssamenwerking</w:t>
      </w:r>
      <w:r>
        <w:t xml:space="preserve"> (</w:t>
      </w:r>
      <w:r w:rsidRPr="009A531A" w:rsidR="009A531A">
        <w:rPr>
          <w:b/>
          <w:bCs/>
        </w:rPr>
        <w:t>Kamerstuk</w:t>
      </w:r>
      <w:r w:rsidR="009A531A">
        <w:t xml:space="preserve"> </w:t>
      </w:r>
      <w:r>
        <w:rPr>
          <w:b/>
        </w:rPr>
        <w:t>36740</w:t>
      </w:r>
      <w:r w:rsidR="009A531A">
        <w:rPr>
          <w:b/>
        </w:rPr>
        <w:t xml:space="preserve"> </w:t>
      </w:r>
      <w:r>
        <w:rPr>
          <w:b/>
        </w:rPr>
        <w:t>XVII</w:t>
      </w:r>
      <w:r>
        <w:t xml:space="preserve">, </w:t>
      </w:r>
      <w:r w:rsidRPr="009A531A">
        <w:rPr>
          <w:b/>
          <w:bCs/>
        </w:rPr>
        <w:t>nr.</w:t>
      </w:r>
      <w:r>
        <w:t xml:space="preserve"> </w:t>
      </w:r>
      <w:r>
        <w:rPr>
          <w:b/>
        </w:rPr>
        <w:t>2</w:t>
      </w:r>
      <w:r>
        <w:t>).</w:t>
      </w:r>
    </w:p>
    <w:p w:rsidR="00FD778E" w:rsidRDefault="00FD778E" w14:paraId="1576A7A6" w14:textId="77777777">
      <w:pPr>
        <w:spacing w:before="0" w:after="0"/>
      </w:pPr>
    </w:p>
    <w:p w:rsidR="00FD778E" w:rsidP="009A531A" w:rsidRDefault="009A531A" w14:paraId="040A3B56" w14:textId="2740F16B">
      <w:pPr>
        <w:spacing w:before="0" w:after="0"/>
      </w:pPr>
      <w:r>
        <w:t>De v</w:t>
      </w:r>
      <w:r w:rsidR="001856D0">
        <w:t xml:space="preserve">oorzitter van de commissie, </w:t>
      </w:r>
    </w:p>
    <w:p w:rsidR="00FD778E" w:rsidRDefault="00316874" w14:paraId="17931648" w14:textId="4F5EDED5">
      <w:pPr>
        <w:spacing w:before="0" w:after="0"/>
      </w:pPr>
      <w:r>
        <w:t>Aukje de Vries</w:t>
      </w:r>
    </w:p>
    <w:p w:rsidR="00FD778E" w:rsidRDefault="001856D0" w14:paraId="00CA78F0" w14:textId="77777777">
      <w:pPr>
        <w:spacing w:before="0" w:after="0"/>
      </w:pPr>
      <w:r>
        <w:tab/>
      </w:r>
      <w:r>
        <w:tab/>
      </w:r>
    </w:p>
    <w:p w:rsidR="00FD778E" w:rsidRDefault="009A531A" w14:paraId="728E4C2D" w14:textId="0F716FE9">
      <w:pPr>
        <w:spacing w:before="0" w:after="0"/>
      </w:pPr>
      <w:r>
        <w:t>De g</w:t>
      </w:r>
      <w:r w:rsidR="001856D0">
        <w:t>riffier van de commissie,</w:t>
      </w:r>
    </w:p>
    <w:p w:rsidR="00FD778E" w:rsidRDefault="00316874" w14:paraId="580D5501" w14:textId="3E3C53C5">
      <w:pPr>
        <w:spacing w:before="0" w:after="0"/>
      </w:pPr>
      <w:r>
        <w:t>Meijers</w:t>
      </w:r>
    </w:p>
    <w:p w:rsidR="00FD778E" w:rsidRDefault="00FD778E" w14:paraId="1282FA15"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A531A" w:rsidTr="009A531A" w14:paraId="6082799A" w14:textId="77777777">
        <w:trPr>
          <w:cantSplit/>
        </w:trPr>
        <w:tc>
          <w:tcPr>
            <w:tcW w:w="567" w:type="dxa"/>
          </w:tcPr>
          <w:p w:rsidR="009A531A" w:rsidRDefault="009A531A" w14:paraId="45C0AEA0" w14:textId="77777777">
            <w:bookmarkStart w:name="bmkStartTabel" w:id="0"/>
            <w:bookmarkEnd w:id="0"/>
            <w:proofErr w:type="spellStart"/>
            <w:r>
              <w:t>Nr</w:t>
            </w:r>
            <w:proofErr w:type="spellEnd"/>
          </w:p>
        </w:tc>
        <w:tc>
          <w:tcPr>
            <w:tcW w:w="6521" w:type="dxa"/>
          </w:tcPr>
          <w:p w:rsidR="009A531A" w:rsidRDefault="009A531A" w14:paraId="0BF81668" w14:textId="77777777">
            <w:r>
              <w:t>Vraag</w:t>
            </w:r>
          </w:p>
        </w:tc>
      </w:tr>
      <w:tr w:rsidR="009A531A" w:rsidTr="009A531A" w14:paraId="1DC88D2B" w14:textId="77777777">
        <w:tc>
          <w:tcPr>
            <w:tcW w:w="567" w:type="dxa"/>
          </w:tcPr>
          <w:p w:rsidR="009A531A" w:rsidRDefault="009A531A" w14:paraId="087FF525" w14:textId="77777777">
            <w:r>
              <w:t>1</w:t>
            </w:r>
          </w:p>
        </w:tc>
        <w:tc>
          <w:tcPr>
            <w:tcW w:w="6521" w:type="dxa"/>
          </w:tcPr>
          <w:p w:rsidR="009A531A" w:rsidRDefault="009A531A" w14:paraId="2FEC4B02" w14:textId="12671D35">
            <w:r>
              <w:t>Herkent de regering de analyse van de Algemene Rekenkamer dat het ministerie van Buitenlandse Zaken geen goed zicht heeft op de aangegane verplichtingen en verstrekte voorschotten? Welke concrete maatregelen zijn inmiddels getroffen om dit te verbeteren?</w:t>
            </w:r>
          </w:p>
        </w:tc>
      </w:tr>
      <w:tr w:rsidR="009A531A" w:rsidTr="009A531A" w14:paraId="1619B4EF" w14:textId="77777777">
        <w:tc>
          <w:tcPr>
            <w:tcW w:w="567" w:type="dxa"/>
          </w:tcPr>
          <w:p w:rsidR="009A531A" w:rsidRDefault="009A531A" w14:paraId="31DC63CB" w14:textId="77777777">
            <w:r>
              <w:t>2</w:t>
            </w:r>
          </w:p>
        </w:tc>
        <w:tc>
          <w:tcPr>
            <w:tcW w:w="6521" w:type="dxa"/>
          </w:tcPr>
          <w:p w:rsidR="009A531A" w:rsidRDefault="009A531A" w14:paraId="6EED2CEC" w14:textId="0D0FC0C7">
            <w:r>
              <w:t>Wanneer wordt de eerder aangekondigde aangepaste verantwoordingssystematiek voor Buitenlandse Handel en Ontwikkelingshulp ingevoerd en hoe zorgt die voor betere inzicht in doelmatigheid en doeltreffendheid?</w:t>
            </w:r>
          </w:p>
        </w:tc>
      </w:tr>
      <w:tr w:rsidR="009A531A" w:rsidTr="009A531A" w14:paraId="5A411213" w14:textId="77777777">
        <w:tc>
          <w:tcPr>
            <w:tcW w:w="567" w:type="dxa"/>
          </w:tcPr>
          <w:p w:rsidR="009A531A" w:rsidRDefault="009A531A" w14:paraId="733EE4A0" w14:textId="77777777">
            <w:r>
              <w:t>3</w:t>
            </w:r>
          </w:p>
        </w:tc>
        <w:tc>
          <w:tcPr>
            <w:tcW w:w="6521" w:type="dxa"/>
          </w:tcPr>
          <w:p w:rsidR="009A531A" w:rsidRDefault="009A531A" w14:paraId="4ED5C9FB" w14:textId="77777777">
            <w:r>
              <w:t>Waarom zijn er in 2024 nog altijd geen meetbare doelstellingen verbonden aan de inzet op economische diplomatie, terwijl hierover al eerder opmerkingen zijn gemaakt door de Algemene Rekenkamer?</w:t>
            </w:r>
          </w:p>
        </w:tc>
      </w:tr>
      <w:tr w:rsidR="009A531A" w:rsidTr="009A531A" w14:paraId="75484968" w14:textId="77777777">
        <w:tc>
          <w:tcPr>
            <w:tcW w:w="567" w:type="dxa"/>
          </w:tcPr>
          <w:p w:rsidR="009A531A" w:rsidRDefault="009A531A" w14:paraId="0D5F5792" w14:textId="77777777">
            <w:r>
              <w:t>4</w:t>
            </w:r>
          </w:p>
        </w:tc>
        <w:tc>
          <w:tcPr>
            <w:tcW w:w="6521" w:type="dxa"/>
          </w:tcPr>
          <w:p w:rsidR="009A531A" w:rsidRDefault="009A531A" w14:paraId="1DAF2866" w14:textId="5B216D2A">
            <w:r>
              <w:t>Hoe beoordeelt de regering de constatering dat de minister nauwelijks inzicht heeft in de bijdrage van economische diplomatie aan het Nederlandse verdienvermogen?</w:t>
            </w:r>
          </w:p>
        </w:tc>
      </w:tr>
      <w:tr w:rsidR="009A531A" w:rsidTr="009A531A" w14:paraId="63D733F7" w14:textId="77777777">
        <w:tc>
          <w:tcPr>
            <w:tcW w:w="567" w:type="dxa"/>
          </w:tcPr>
          <w:p w:rsidR="009A531A" w:rsidRDefault="009A531A" w14:paraId="71350E18" w14:textId="77777777">
            <w:r>
              <w:t>5</w:t>
            </w:r>
          </w:p>
        </w:tc>
        <w:tc>
          <w:tcPr>
            <w:tcW w:w="6521" w:type="dxa"/>
          </w:tcPr>
          <w:p w:rsidR="009A531A" w:rsidRDefault="009A531A" w14:paraId="1B6A9D8A" w14:textId="6797EB76">
            <w:r>
              <w:t>Welke lessen trekt de regering uit het feit dat veel doelen in het jaarverslag nog steeds niet SMART zijn geformuleerd, ondanks herhaalde aanbevelingen van de Algemene Rekenkamer?</w:t>
            </w:r>
          </w:p>
        </w:tc>
      </w:tr>
      <w:tr w:rsidR="009A531A" w:rsidTr="009A531A" w14:paraId="7EF452FC" w14:textId="77777777">
        <w:tc>
          <w:tcPr>
            <w:tcW w:w="567" w:type="dxa"/>
          </w:tcPr>
          <w:p w:rsidR="009A531A" w:rsidP="009355E3" w:rsidRDefault="009A531A" w14:paraId="2E3D31FC" w14:textId="550D3CC4">
            <w:r>
              <w:t>6</w:t>
            </w:r>
          </w:p>
        </w:tc>
        <w:tc>
          <w:tcPr>
            <w:tcW w:w="6521" w:type="dxa"/>
          </w:tcPr>
          <w:p w:rsidR="009A531A" w:rsidP="009355E3" w:rsidRDefault="009A531A" w14:paraId="7CB3552E" w14:textId="0C115C88">
            <w:r>
              <w:t>Bent u bereid het klantcontactsysteem Achilles beter te benutten om de langetermijneffecten van mkb-exporten te monitoren?</w:t>
            </w:r>
          </w:p>
        </w:tc>
      </w:tr>
      <w:tr w:rsidR="009A531A" w:rsidTr="009A531A" w14:paraId="0CE230B0" w14:textId="77777777">
        <w:tc>
          <w:tcPr>
            <w:tcW w:w="567" w:type="dxa"/>
          </w:tcPr>
          <w:p w:rsidR="009A531A" w:rsidRDefault="009A531A" w14:paraId="51F16A90" w14:textId="0EEA2467">
            <w:r>
              <w:t>7</w:t>
            </w:r>
          </w:p>
        </w:tc>
        <w:tc>
          <w:tcPr>
            <w:tcW w:w="6521" w:type="dxa"/>
          </w:tcPr>
          <w:p w:rsidR="009A531A" w:rsidRDefault="009A531A" w14:paraId="3591FC5E" w14:textId="6F2E80DB">
            <w:r>
              <w:t>Hoe beoordeelt de regering de constatering van de Rekenkamer dat de minister voor Buitenlandse Handel en Ontwikkelingshulp onvoldoende inzicht heeft in de doeltreffendheid van het internationaal klimaatbeleid?</w:t>
            </w:r>
          </w:p>
        </w:tc>
      </w:tr>
      <w:tr w:rsidR="009A531A" w:rsidTr="009A531A" w14:paraId="4A4D7BE9" w14:textId="77777777">
        <w:tc>
          <w:tcPr>
            <w:tcW w:w="567" w:type="dxa"/>
          </w:tcPr>
          <w:p w:rsidR="009A531A" w:rsidRDefault="009A531A" w14:paraId="5C7286DC" w14:textId="126D2361">
            <w:r>
              <w:t>8</w:t>
            </w:r>
          </w:p>
        </w:tc>
        <w:tc>
          <w:tcPr>
            <w:tcW w:w="6521" w:type="dxa"/>
          </w:tcPr>
          <w:p w:rsidR="009A531A" w:rsidRDefault="009A531A" w14:paraId="30AC853B" w14:textId="77777777">
            <w:r>
              <w:t>Waarom is de rapportage over klimaatbeleid van de IOB, hoewel conform RPE, volgens de Rekenkamer niet in staat om uitspraken te doen over effectiviteit? Is dit inmiddels opgepakt?</w:t>
            </w:r>
          </w:p>
        </w:tc>
      </w:tr>
      <w:tr w:rsidR="009A531A" w:rsidTr="009A531A" w14:paraId="42912F54" w14:textId="77777777">
        <w:tc>
          <w:tcPr>
            <w:tcW w:w="567" w:type="dxa"/>
          </w:tcPr>
          <w:p w:rsidR="009A531A" w:rsidRDefault="009A531A" w14:paraId="199764A7" w14:textId="2956A44E">
            <w:r>
              <w:t>9</w:t>
            </w:r>
          </w:p>
        </w:tc>
        <w:tc>
          <w:tcPr>
            <w:tcW w:w="6521" w:type="dxa"/>
          </w:tcPr>
          <w:p w:rsidR="009A531A" w:rsidRDefault="009A531A" w14:paraId="5FFD0753" w14:textId="41A4FCA2">
            <w:r>
              <w:t>Wat doet de regering met de IOB conclusie, onderstreept door de Rekenkamer, dat klimaatprojecten onvoldoende aandacht besteden aan kwetsbare groepen en klimaatrisico’s en dat het vaak ontbreekt aan goede analyses en strategieën op dat gebied? Wat doet de regering met de IOB-aanbeveling om klimaat structureel in programma’s te integreren en daarbij gebruik te maken van analyses van klimaatrisico’s en kwetsbaarheid van achtergestelde groepen? Hoe gaat de regering dit meenemen gezien de ambitie van de regering om klimaatinzet te halveren, en vooral op klimaat in te zetten binnen andere programma's?</w:t>
            </w:r>
          </w:p>
        </w:tc>
      </w:tr>
      <w:tr w:rsidR="009A531A" w:rsidTr="009A531A" w14:paraId="59929374" w14:textId="77777777">
        <w:tc>
          <w:tcPr>
            <w:tcW w:w="567" w:type="dxa"/>
          </w:tcPr>
          <w:p w:rsidR="009A531A" w:rsidRDefault="009A531A" w14:paraId="56D170C5" w14:textId="63B197F9">
            <w:r>
              <w:t>10</w:t>
            </w:r>
          </w:p>
        </w:tc>
        <w:tc>
          <w:tcPr>
            <w:tcW w:w="6521" w:type="dxa"/>
          </w:tcPr>
          <w:p w:rsidR="009A531A" w:rsidRDefault="009A531A" w14:paraId="3BE02BCE" w14:textId="77777777">
            <w:r>
              <w:t>Wat doet u met de constatering van de Rekenkamer dat de kabinetsreactie op de IOB niet ingaat op het kritiekpunt van de IOB bij klimaatfinanciering dat de financiering wordt betaald uit het bestaande ontwikkelingsbudget (ODA), terwijl bij de klimaatonderhandelingen is afgesproken dat klimaatsteun aan ontwikkelingslanden nieuw en additioneel zou zijn? Hoe gaat het kabinet alsnog voldoen aan deze internationale afspraak?</w:t>
            </w:r>
          </w:p>
        </w:tc>
      </w:tr>
      <w:tr w:rsidR="009A531A" w:rsidTr="009A531A" w14:paraId="13D0601B" w14:textId="77777777">
        <w:tc>
          <w:tcPr>
            <w:tcW w:w="567" w:type="dxa"/>
          </w:tcPr>
          <w:p w:rsidR="009A531A" w:rsidRDefault="009A531A" w14:paraId="672FA5D4" w14:textId="7DC80020">
            <w:r>
              <w:t>11</w:t>
            </w:r>
          </w:p>
        </w:tc>
        <w:tc>
          <w:tcPr>
            <w:tcW w:w="6521" w:type="dxa"/>
          </w:tcPr>
          <w:p w:rsidR="009A531A" w:rsidRDefault="009A531A" w14:paraId="29F99AF2" w14:textId="5519BFE7">
            <w:r>
              <w:t xml:space="preserve">Wat doet u met de bevinding van de IOB dat de aanname dat arme en kwetsbare </w:t>
            </w:r>
            <w:r>
              <w:lastRenderedPageBreak/>
              <w:t>groepen als vanzelf worden bereikt niet blijkt te kloppen?</w:t>
            </w:r>
          </w:p>
        </w:tc>
      </w:tr>
      <w:tr w:rsidR="009A531A" w:rsidTr="009A531A" w14:paraId="1843A193" w14:textId="77777777">
        <w:tc>
          <w:tcPr>
            <w:tcW w:w="567" w:type="dxa"/>
          </w:tcPr>
          <w:p w:rsidR="009A531A" w:rsidRDefault="009A531A" w14:paraId="3C03A4E8" w14:textId="008521E8">
            <w:r>
              <w:lastRenderedPageBreak/>
              <w:t>12</w:t>
            </w:r>
          </w:p>
        </w:tc>
        <w:tc>
          <w:tcPr>
            <w:tcW w:w="6521" w:type="dxa"/>
          </w:tcPr>
          <w:p w:rsidR="009A531A" w:rsidRDefault="009A531A" w14:paraId="72DA1B7D" w14:textId="2BF62D76">
            <w:r>
              <w:t>Wat is de reactie van de regering op het oordeel van de Rekenkamer dat het ministerie zelf onvoldoende zicht heeft op de resultaten van beleid?</w:t>
            </w:r>
          </w:p>
        </w:tc>
      </w:tr>
      <w:tr w:rsidR="009A531A" w:rsidTr="009A531A" w14:paraId="1BC52362" w14:textId="77777777">
        <w:tc>
          <w:tcPr>
            <w:tcW w:w="567" w:type="dxa"/>
          </w:tcPr>
          <w:p w:rsidR="009A531A" w:rsidRDefault="009A531A" w14:paraId="759A48F5" w14:textId="5566A5A3">
            <w:r>
              <w:t>13</w:t>
            </w:r>
          </w:p>
        </w:tc>
        <w:tc>
          <w:tcPr>
            <w:tcW w:w="6521" w:type="dxa"/>
          </w:tcPr>
          <w:p w:rsidR="009A531A" w:rsidRDefault="009A531A" w14:paraId="3AEDE6ED" w14:textId="77777777">
            <w:r>
              <w:t>Welke gevolgen heeft de door de Rekenkamer gesignaleerde zwakke financiële administratie bij Buitenlandse Zaken gehad voor de juistheid van de verantwoording door de minister voor Buitenlandse Handel en Ontwikkelingshulp?</w:t>
            </w:r>
          </w:p>
        </w:tc>
      </w:tr>
      <w:tr w:rsidR="009A531A" w:rsidTr="009A531A" w14:paraId="3FCA9974" w14:textId="77777777">
        <w:tc>
          <w:tcPr>
            <w:tcW w:w="567" w:type="dxa"/>
          </w:tcPr>
          <w:p w:rsidR="009A531A" w:rsidRDefault="009A531A" w14:paraId="74EB1F2B" w14:textId="6F48E158">
            <w:r>
              <w:t>14</w:t>
            </w:r>
          </w:p>
        </w:tc>
        <w:tc>
          <w:tcPr>
            <w:tcW w:w="6521" w:type="dxa"/>
          </w:tcPr>
          <w:p w:rsidR="009A531A" w:rsidRDefault="009A531A" w14:paraId="7B17BA24" w14:textId="1DDB094D">
            <w:r>
              <w:t xml:space="preserve">Waarom kiest u ervoor om de herhaalde aanbevelingen van de Algemene Rekenkamer met betrekking tot de </w:t>
            </w:r>
            <w:proofErr w:type="spellStart"/>
            <w:r>
              <w:t>revolverende</w:t>
            </w:r>
            <w:proofErr w:type="spellEnd"/>
            <w:r>
              <w:t xml:space="preserve"> fondsen Dutch </w:t>
            </w:r>
            <w:proofErr w:type="spellStart"/>
            <w:r>
              <w:t>Good</w:t>
            </w:r>
            <w:proofErr w:type="spellEnd"/>
            <w:r>
              <w:t xml:space="preserve"> </w:t>
            </w:r>
            <w:proofErr w:type="spellStart"/>
            <w:r>
              <w:t>Growth</w:t>
            </w:r>
            <w:proofErr w:type="spellEnd"/>
            <w:r>
              <w:t xml:space="preserve"> Fund (DGGF) en Dutch Trade </w:t>
            </w:r>
            <w:proofErr w:type="spellStart"/>
            <w:r>
              <w:t>and</w:t>
            </w:r>
            <w:proofErr w:type="spellEnd"/>
            <w:r>
              <w:t xml:space="preserve"> Investment Fund (DTIF) niet over te nemen en wat betekent dit voor het parlementaire zicht op effectiviteit en kosten?</w:t>
            </w:r>
          </w:p>
        </w:tc>
      </w:tr>
      <w:tr w:rsidR="009A531A" w:rsidTr="009A531A" w14:paraId="1406EF37" w14:textId="77777777">
        <w:tc>
          <w:tcPr>
            <w:tcW w:w="567" w:type="dxa"/>
          </w:tcPr>
          <w:p w:rsidR="009A531A" w:rsidRDefault="009A531A" w14:paraId="5A6DDDB7" w14:textId="5F3E3A15">
            <w:r>
              <w:t>15</w:t>
            </w:r>
          </w:p>
        </w:tc>
        <w:tc>
          <w:tcPr>
            <w:tcW w:w="6521" w:type="dxa"/>
          </w:tcPr>
          <w:p w:rsidR="009A531A" w:rsidRDefault="009A531A" w14:paraId="43DFA8DF" w14:textId="6A1D978A">
            <w:r>
              <w:t xml:space="preserve">Hoe verklaart de regering dat de informatievoorziening over de 12 </w:t>
            </w:r>
            <w:proofErr w:type="spellStart"/>
            <w:r>
              <w:t>revolverende</w:t>
            </w:r>
            <w:proofErr w:type="spellEnd"/>
            <w:r>
              <w:t xml:space="preserve"> fondsen – met een totale ministeriële bijdrage van €2,5 miljard – volgens de Rekenkamer tekortschiet?</w:t>
            </w:r>
          </w:p>
        </w:tc>
      </w:tr>
      <w:tr w:rsidR="009A531A" w:rsidTr="009A531A" w14:paraId="6C94D268" w14:textId="77777777">
        <w:tc>
          <w:tcPr>
            <w:tcW w:w="567" w:type="dxa"/>
          </w:tcPr>
          <w:p w:rsidR="009A531A" w:rsidRDefault="009A531A" w14:paraId="6913CECB" w14:textId="4F4D9091">
            <w:r>
              <w:t>16</w:t>
            </w:r>
          </w:p>
        </w:tc>
        <w:tc>
          <w:tcPr>
            <w:tcW w:w="6521" w:type="dxa"/>
          </w:tcPr>
          <w:p w:rsidR="009A531A" w:rsidRDefault="009A531A" w14:paraId="37F13C54" w14:textId="77777777">
            <w:r>
              <w:t xml:space="preserve">Wat is de reden dat het ministerie geen centraal en actueel overzicht beschikbaar heeft van de financiële stand van zaken van de </w:t>
            </w:r>
            <w:proofErr w:type="spellStart"/>
            <w:r>
              <w:t>revolverende</w:t>
            </w:r>
            <w:proofErr w:type="spellEnd"/>
            <w:r>
              <w:t xml:space="preserve"> fondsen?</w:t>
            </w:r>
          </w:p>
        </w:tc>
      </w:tr>
      <w:tr w:rsidR="009A531A" w:rsidTr="009A531A" w14:paraId="3A36AB95" w14:textId="77777777">
        <w:tc>
          <w:tcPr>
            <w:tcW w:w="567" w:type="dxa"/>
          </w:tcPr>
          <w:p w:rsidR="009A531A" w:rsidRDefault="009A531A" w14:paraId="2458DCFD" w14:textId="0F7CB206">
            <w:r>
              <w:t>17</w:t>
            </w:r>
          </w:p>
        </w:tc>
        <w:tc>
          <w:tcPr>
            <w:tcW w:w="6521" w:type="dxa"/>
          </w:tcPr>
          <w:p w:rsidR="009A531A" w:rsidRDefault="009A531A" w14:paraId="00229D79" w14:textId="7EA3BADB">
            <w:r>
              <w:t>Welke concrete acties onderneemt de regering om te zorgen dat in de toekomst niet alleen beleidsinzet maar ook de bereikte resultaten systematisch inzichtelijk worden gemaakt?</w:t>
            </w:r>
          </w:p>
        </w:tc>
      </w:tr>
    </w:tbl>
    <w:p w:rsidR="00FD778E" w:rsidRDefault="00FD778E" w14:paraId="5E614F97" w14:textId="77777777"/>
    <w:sectPr w:rsidR="00FD778E"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62F3" w14:textId="77777777" w:rsidR="001A47AF" w:rsidRDefault="001A47AF">
      <w:pPr>
        <w:spacing w:before="0" w:after="0"/>
      </w:pPr>
      <w:r>
        <w:separator/>
      </w:r>
    </w:p>
  </w:endnote>
  <w:endnote w:type="continuationSeparator" w:id="0">
    <w:p w14:paraId="41F459F3" w14:textId="77777777" w:rsidR="001A47AF" w:rsidRDefault="001A47AF">
      <w:pPr>
        <w:spacing w:before="0" w:after="0"/>
      </w:pPr>
      <w:r>
        <w:continuationSeparator/>
      </w:r>
    </w:p>
  </w:endnote>
  <w:endnote w:type="continuationNotice" w:id="1">
    <w:p w14:paraId="7BAE8FEA" w14:textId="77777777" w:rsidR="0036301C" w:rsidRDefault="003630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1481" w14:textId="26D910B2" w:rsidR="00FD778E"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D215" w14:textId="77777777" w:rsidR="001A47AF" w:rsidRDefault="001A47AF">
      <w:pPr>
        <w:spacing w:before="0" w:after="0"/>
      </w:pPr>
      <w:r>
        <w:separator/>
      </w:r>
    </w:p>
  </w:footnote>
  <w:footnote w:type="continuationSeparator" w:id="0">
    <w:p w14:paraId="7B198300" w14:textId="77777777" w:rsidR="001A47AF" w:rsidRDefault="001A47AF">
      <w:pPr>
        <w:spacing w:before="0" w:after="0"/>
      </w:pPr>
      <w:r>
        <w:continuationSeparator/>
      </w:r>
    </w:p>
  </w:footnote>
  <w:footnote w:type="continuationNotice" w:id="1">
    <w:p w14:paraId="4033ED30" w14:textId="77777777" w:rsidR="0036301C" w:rsidRDefault="0036301C">
      <w:pPr>
        <w:spacing w:before="0"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45519"/>
    <w:rsid w:val="00316874"/>
    <w:rsid w:val="0036301C"/>
    <w:rsid w:val="003D44DD"/>
    <w:rsid w:val="004E24DE"/>
    <w:rsid w:val="004F0DA4"/>
    <w:rsid w:val="005543A7"/>
    <w:rsid w:val="00634CBB"/>
    <w:rsid w:val="007834AE"/>
    <w:rsid w:val="00822ECE"/>
    <w:rsid w:val="00852E4D"/>
    <w:rsid w:val="00894624"/>
    <w:rsid w:val="008E6C81"/>
    <w:rsid w:val="009355E3"/>
    <w:rsid w:val="009A531A"/>
    <w:rsid w:val="00A77C3E"/>
    <w:rsid w:val="00B915EC"/>
    <w:rsid w:val="00E11A31"/>
    <w:rsid w:val="00E7153D"/>
    <w:rsid w:val="00FD37B3"/>
    <w:rsid w:val="00FD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3E06FB4"/>
  <w15:docId w15:val="{DDF95857-6248-4448-9CDD-1B0F1253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667</ap:Words>
  <ap:Characters>3671</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2025-06-02T12:57:00.0000000Z</dcterms:created>
  <dcterms:modified xsi:type="dcterms:W3CDTF">2025-06-02T12:57:00.0000000Z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4fba556a-2cdf-4fda-ab7c-3fc6acedf930</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ies>
</file>