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735E5" w:rsidRDefault="00340ECA" w14:paraId="1907ED9C" w14:textId="77777777"/>
    <w:p w:rsidR="00962C44" w:rsidP="001735E5" w:rsidRDefault="00962C44" w14:paraId="60332847" w14:textId="77777777"/>
    <w:p w:rsidR="00CE78E9" w:rsidP="001735E5" w:rsidRDefault="00CC2D5C" w14:paraId="259D04E2" w14:textId="77777777">
      <w:r>
        <w:t>Geachte Voorzitter,</w:t>
      </w:r>
      <w:r>
        <w:br/>
      </w:r>
    </w:p>
    <w:p w:rsidRPr="00F11E7C" w:rsidR="007F3645" w:rsidP="001735E5" w:rsidRDefault="00CC2D5C" w14:paraId="13D12AD2" w14:textId="6BF5D465">
      <w:pPr>
        <w:rPr>
          <w:szCs w:val="18"/>
        </w:rPr>
      </w:pPr>
      <w:r>
        <w:t>Hierbij zend</w:t>
      </w:r>
      <w:r w:rsidR="00E962ED">
        <w:t xml:space="preserve">t het kabinet </w:t>
      </w:r>
      <w:r>
        <w:t xml:space="preserve">u de antwoorden op de vragen van </w:t>
      </w:r>
      <w:r w:rsidRPr="004C61A5">
        <w:rPr>
          <w:szCs w:val="18"/>
        </w:rPr>
        <w:t>de leden Omtzigt en Postma (beiden Nieuw Sociaal Contract) aan de minister van Economische</w:t>
      </w:r>
      <w:r>
        <w:rPr>
          <w:szCs w:val="18"/>
        </w:rPr>
        <w:t xml:space="preserve"> </w:t>
      </w:r>
      <w:r w:rsidRPr="004C61A5">
        <w:rPr>
          <w:szCs w:val="18"/>
        </w:rPr>
        <w:t>Zaken over het artikel ‘ACM nagelt elf dure energieleveranciers aan de schandpaal’</w:t>
      </w:r>
      <w:r>
        <w:t xml:space="preserve">, kenmerk 2025Z07629, ingezonden op 16 april 2025. </w:t>
      </w:r>
    </w:p>
    <w:p w:rsidR="00423A19" w:rsidP="001735E5" w:rsidRDefault="00423A19" w14:paraId="5A647029" w14:textId="28F6946B"/>
    <w:p w:rsidR="00CC2D5C" w:rsidP="001735E5" w:rsidRDefault="00CC2D5C" w14:paraId="147C0F16" w14:textId="5E544A15">
      <w:pPr>
        <w:rPr>
          <w:szCs w:val="18"/>
        </w:rPr>
      </w:pPr>
    </w:p>
    <w:p w:rsidR="00CC2D5C" w:rsidP="001735E5" w:rsidRDefault="00CC2D5C" w14:paraId="3BAF06CB" w14:textId="77777777">
      <w:pPr>
        <w:rPr>
          <w:szCs w:val="18"/>
        </w:rPr>
      </w:pPr>
    </w:p>
    <w:p w:rsidR="00CC2D5C" w:rsidP="001735E5" w:rsidRDefault="00CC2D5C" w14:paraId="7BF8F97A" w14:textId="77777777">
      <w:pPr>
        <w:rPr>
          <w:szCs w:val="18"/>
        </w:rPr>
      </w:pPr>
    </w:p>
    <w:p w:rsidRPr="00747885" w:rsidR="0029019C" w:rsidP="001735E5" w:rsidRDefault="00CC2D5C" w14:paraId="75C1AC43" w14:textId="57488751">
      <w:pPr>
        <w:rPr>
          <w:szCs w:val="18"/>
        </w:rPr>
      </w:pPr>
      <w:r w:rsidRPr="005461DA">
        <w:rPr>
          <w:szCs w:val="18"/>
        </w:rPr>
        <w:t>Sophie Hermans</w:t>
      </w:r>
    </w:p>
    <w:p w:rsidRPr="005461DA" w:rsidR="004E505E" w:rsidP="001735E5" w:rsidRDefault="00CC2D5C" w14:paraId="21FA86EB" w14:textId="77777777">
      <w:pPr>
        <w:rPr>
          <w:szCs w:val="18"/>
        </w:rPr>
      </w:pPr>
      <w:r>
        <w:rPr>
          <w:szCs w:val="18"/>
        </w:rPr>
        <w:t>Minister van Klimaat en Groene Groei</w:t>
      </w:r>
    </w:p>
    <w:p w:rsidR="00EF6D37" w:rsidP="001735E5" w:rsidRDefault="00EF6D37" w14:paraId="2316B386" w14:textId="77777777">
      <w:pPr>
        <w:spacing w:after="200"/>
        <w:rPr>
          <w:b/>
        </w:rPr>
      </w:pPr>
    </w:p>
    <w:p w:rsidR="00EF6D37" w:rsidP="001735E5" w:rsidRDefault="00EF6D37" w14:paraId="38F1E077" w14:textId="77777777">
      <w:pPr>
        <w:spacing w:after="200"/>
        <w:rPr>
          <w:b/>
        </w:rPr>
      </w:pPr>
    </w:p>
    <w:p w:rsidR="00225675" w:rsidP="001735E5" w:rsidRDefault="00CC2D5C" w14:paraId="323D0554" w14:textId="77777777">
      <w:pPr>
        <w:spacing w:after="200"/>
        <w:rPr>
          <w:b/>
        </w:rPr>
      </w:pPr>
      <w:r>
        <w:rPr>
          <w:b/>
        </w:rPr>
        <w:br w:type="page"/>
      </w:r>
    </w:p>
    <w:p w:rsidR="00CC2D5C" w:rsidP="001735E5" w:rsidRDefault="00CC2D5C" w14:paraId="4D3BD92B" w14:textId="3BD2FC67">
      <w:pPr>
        <w:rPr>
          <w:b/>
          <w:bCs/>
          <w:szCs w:val="18"/>
        </w:rPr>
      </w:pPr>
      <w:r w:rsidRPr="00CC2D5C">
        <w:rPr>
          <w:b/>
          <w:bCs/>
          <w:szCs w:val="18"/>
        </w:rPr>
        <w:lastRenderedPageBreak/>
        <w:t>2025Z07629</w:t>
      </w:r>
    </w:p>
    <w:p w:rsidRPr="00CC2D5C" w:rsidR="001735E5" w:rsidP="001735E5" w:rsidRDefault="001735E5" w14:paraId="3D9FA9E7" w14:textId="77777777">
      <w:pPr>
        <w:rPr>
          <w:b/>
          <w:bCs/>
          <w:szCs w:val="18"/>
        </w:rPr>
      </w:pPr>
    </w:p>
    <w:p w:rsidR="001735E5" w:rsidP="001735E5" w:rsidRDefault="00CC2D5C" w14:paraId="6F2BF180" w14:textId="77777777">
      <w:pPr>
        <w:rPr>
          <w:szCs w:val="18"/>
        </w:rPr>
      </w:pPr>
      <w:r w:rsidRPr="004C61A5">
        <w:rPr>
          <w:szCs w:val="18"/>
        </w:rPr>
        <w:t>1</w:t>
      </w:r>
    </w:p>
    <w:p w:rsidR="00CC2D5C" w:rsidP="001735E5" w:rsidRDefault="00CC2D5C" w14:paraId="761CFB57" w14:textId="0D5664CF">
      <w:pPr>
        <w:rPr>
          <w:szCs w:val="18"/>
        </w:rPr>
      </w:pPr>
      <w:r w:rsidRPr="004C61A5">
        <w:rPr>
          <w:szCs w:val="18"/>
        </w:rPr>
        <w:t>Bent u bekend met de berichtgeving in De Telegraaf van 9 april 2025 over het feit dat elf</w:t>
      </w:r>
      <w:r>
        <w:rPr>
          <w:szCs w:val="18"/>
        </w:rPr>
        <w:t xml:space="preserve"> </w:t>
      </w:r>
      <w:r w:rsidRPr="004C61A5">
        <w:rPr>
          <w:szCs w:val="18"/>
        </w:rPr>
        <w:t>energieleveranciers volgens de ACM (Autoriteit Consument en Markt) structureel aanzienlijk hogere tarieven</w:t>
      </w:r>
      <w:r>
        <w:rPr>
          <w:szCs w:val="18"/>
        </w:rPr>
        <w:t xml:space="preserve"> </w:t>
      </w:r>
      <w:r w:rsidRPr="004C61A5">
        <w:rPr>
          <w:szCs w:val="18"/>
        </w:rPr>
        <w:t>rekenen dan andere aanbieders, en dat overstappen consumenten tot wel €900 per jaar kan schelen?</w:t>
      </w:r>
    </w:p>
    <w:p w:rsidR="00CC2D5C" w:rsidP="001735E5" w:rsidRDefault="00CC2D5C" w14:paraId="50E32A7F" w14:textId="77777777">
      <w:pPr>
        <w:rPr>
          <w:szCs w:val="18"/>
        </w:rPr>
      </w:pPr>
    </w:p>
    <w:p w:rsidRPr="00CC2D5C" w:rsidR="00CC2D5C" w:rsidP="001735E5" w:rsidRDefault="00CC2D5C" w14:paraId="35E22793" w14:textId="77777777">
      <w:pPr>
        <w:rPr>
          <w:szCs w:val="18"/>
        </w:rPr>
      </w:pPr>
      <w:r w:rsidRPr="00CC2D5C">
        <w:rPr>
          <w:szCs w:val="18"/>
        </w:rPr>
        <w:t>Antwoord</w:t>
      </w:r>
    </w:p>
    <w:p w:rsidRPr="004C61A5" w:rsidR="00CC2D5C" w:rsidP="001735E5" w:rsidRDefault="00CC2D5C" w14:paraId="4014F949" w14:textId="77777777">
      <w:pPr>
        <w:rPr>
          <w:szCs w:val="18"/>
        </w:rPr>
      </w:pPr>
      <w:r>
        <w:rPr>
          <w:szCs w:val="18"/>
        </w:rPr>
        <w:t>Ja.</w:t>
      </w:r>
    </w:p>
    <w:p w:rsidR="00CC2D5C" w:rsidP="001735E5" w:rsidRDefault="00CC2D5C" w14:paraId="7FAC38E9" w14:textId="77777777">
      <w:pPr>
        <w:rPr>
          <w:szCs w:val="18"/>
        </w:rPr>
      </w:pPr>
    </w:p>
    <w:p w:rsidR="001735E5" w:rsidP="001735E5" w:rsidRDefault="00CC2D5C" w14:paraId="4376FCBE" w14:textId="77777777">
      <w:pPr>
        <w:rPr>
          <w:szCs w:val="18"/>
        </w:rPr>
      </w:pPr>
      <w:r w:rsidRPr="6E88B490">
        <w:rPr>
          <w:szCs w:val="18"/>
        </w:rPr>
        <w:t>2</w:t>
      </w:r>
    </w:p>
    <w:p w:rsidR="00CC2D5C" w:rsidP="001735E5" w:rsidRDefault="00CC2D5C" w14:paraId="0D104938" w14:textId="19509529">
      <w:pPr>
        <w:rPr>
          <w:szCs w:val="18"/>
        </w:rPr>
      </w:pPr>
      <w:r w:rsidRPr="6E88B490">
        <w:rPr>
          <w:szCs w:val="18"/>
        </w:rPr>
        <w:t>Klopt het dat deze aanbieders ondanks een verplicht modelcontract met een variabel tarief, systematisch fors duurder zijn dan andere aanbieders met exact dezelfde levering en vergelijkbare inkoopkosten</w:t>
      </w:r>
      <w:r>
        <w:rPr>
          <w:szCs w:val="18"/>
        </w:rPr>
        <w:t xml:space="preserve">? </w:t>
      </w:r>
    </w:p>
    <w:p w:rsidR="00CC2D5C" w:rsidP="001735E5" w:rsidRDefault="00CC2D5C" w14:paraId="44D5A583" w14:textId="77777777">
      <w:pPr>
        <w:rPr>
          <w:b/>
          <w:bCs/>
          <w:szCs w:val="18"/>
        </w:rPr>
      </w:pPr>
    </w:p>
    <w:p w:rsidRPr="00CC2D5C" w:rsidR="00CC2D5C" w:rsidP="001735E5" w:rsidRDefault="00CC2D5C" w14:paraId="533B66F5" w14:textId="77777777">
      <w:pPr>
        <w:rPr>
          <w:szCs w:val="18"/>
        </w:rPr>
      </w:pPr>
      <w:r w:rsidRPr="00CC2D5C">
        <w:rPr>
          <w:szCs w:val="18"/>
        </w:rPr>
        <w:t>Antwoord</w:t>
      </w:r>
    </w:p>
    <w:p w:rsidR="00A650B2" w:rsidP="001735E5" w:rsidRDefault="00CC2D5C" w14:paraId="7F21A258" w14:textId="644C4A4F">
      <w:pPr>
        <w:rPr>
          <w:szCs w:val="18"/>
        </w:rPr>
      </w:pPr>
      <w:r w:rsidRPr="6E88B490">
        <w:rPr>
          <w:szCs w:val="18"/>
        </w:rPr>
        <w:t xml:space="preserve">Nee, </w:t>
      </w:r>
      <w:r w:rsidR="00AE0840">
        <w:rPr>
          <w:szCs w:val="18"/>
        </w:rPr>
        <w:t>h</w:t>
      </w:r>
      <w:r w:rsidRPr="6E88B490">
        <w:rPr>
          <w:szCs w:val="18"/>
        </w:rPr>
        <w:t>et gaat</w:t>
      </w:r>
      <w:r w:rsidRPr="005304A3" w:rsidR="005304A3">
        <w:rPr>
          <w:szCs w:val="18"/>
        </w:rPr>
        <w:t xml:space="preserve"> bij de voorbeelden in de publicatie van de contracten die aangeboden worden door deze aanbieders</w:t>
      </w:r>
      <w:r w:rsidRPr="6E88B490">
        <w:rPr>
          <w:szCs w:val="18"/>
        </w:rPr>
        <w:t xml:space="preserve"> om een indicatie van </w:t>
      </w:r>
      <w:r>
        <w:rPr>
          <w:szCs w:val="18"/>
        </w:rPr>
        <w:t>de prijsverschillen tussen contracten, waarbij de uiteindelijke prijs voor de consument lager kan zijn door bijv</w:t>
      </w:r>
      <w:r w:rsidR="001735E5">
        <w:rPr>
          <w:szCs w:val="18"/>
        </w:rPr>
        <w:t>oorbeeld</w:t>
      </w:r>
      <w:r>
        <w:rPr>
          <w:szCs w:val="18"/>
        </w:rPr>
        <w:t xml:space="preserve"> kortingen</w:t>
      </w:r>
      <w:r w:rsidRPr="6E88B490">
        <w:rPr>
          <w:szCs w:val="18"/>
        </w:rPr>
        <w:t>.</w:t>
      </w:r>
    </w:p>
    <w:p w:rsidR="00A650B2" w:rsidP="001735E5" w:rsidRDefault="00A650B2" w14:paraId="34610312" w14:textId="77777777">
      <w:pPr>
        <w:rPr>
          <w:szCs w:val="18"/>
        </w:rPr>
      </w:pPr>
    </w:p>
    <w:p w:rsidR="00CC2D5C" w:rsidP="001735E5" w:rsidRDefault="00CC2D5C" w14:paraId="2887B339" w14:textId="770FCE0F">
      <w:pPr>
        <w:rPr>
          <w:szCs w:val="18"/>
        </w:rPr>
      </w:pPr>
      <w:r w:rsidRPr="000D48D3">
        <w:rPr>
          <w:szCs w:val="18"/>
        </w:rPr>
        <w:t>Bij de vergelijking van de prijzen is per contracttype (variabel, kort vast en lang vast) gekeken naar de laagst en hoogst geprijsde contracten.</w:t>
      </w:r>
      <w:r>
        <w:rPr>
          <w:szCs w:val="18"/>
        </w:rPr>
        <w:t xml:space="preserve"> Daarnaast</w:t>
      </w:r>
      <w:r w:rsidRPr="6E88B490">
        <w:rPr>
          <w:szCs w:val="18"/>
        </w:rPr>
        <w:t xml:space="preserve"> betreft </w:t>
      </w:r>
      <w:r>
        <w:rPr>
          <w:szCs w:val="18"/>
        </w:rPr>
        <w:t xml:space="preserve">het </w:t>
      </w:r>
      <w:r w:rsidRPr="6E88B490">
        <w:rPr>
          <w:szCs w:val="18"/>
        </w:rPr>
        <w:t>hier een momentopname waarbij is gekeken naar de prijzen van verschillende typen contracten die vergeleken zijn met elkaar.</w:t>
      </w:r>
    </w:p>
    <w:p w:rsidR="00CC2D5C" w:rsidP="001735E5" w:rsidRDefault="00CC2D5C" w14:paraId="78F36AF2" w14:textId="77777777">
      <w:pPr>
        <w:rPr>
          <w:szCs w:val="18"/>
        </w:rPr>
      </w:pPr>
    </w:p>
    <w:p w:rsidR="00CC2D5C" w:rsidP="001735E5" w:rsidRDefault="00CC2D5C" w14:paraId="2D5AAC91" w14:textId="505D108B">
      <w:pPr>
        <w:rPr>
          <w:szCs w:val="18"/>
        </w:rPr>
      </w:pPr>
      <w:proofErr w:type="spellStart"/>
      <w:r w:rsidRPr="6E88B490">
        <w:rPr>
          <w:szCs w:val="18"/>
        </w:rPr>
        <w:t>Vergunninghoudende</w:t>
      </w:r>
      <w:proofErr w:type="spellEnd"/>
      <w:r w:rsidRPr="6E88B490">
        <w:rPr>
          <w:szCs w:val="18"/>
        </w:rPr>
        <w:t xml:space="preserve"> leveranciers zijn verplicht om een modelcontract met variabele tarieven voor onbepaalde tijd aan te bieden. Bij de inwerkingtreding van de Energiewet moeten alle </w:t>
      </w:r>
      <w:proofErr w:type="spellStart"/>
      <w:r w:rsidRPr="6E88B490">
        <w:rPr>
          <w:szCs w:val="18"/>
        </w:rPr>
        <w:t>vergunninghoudende</w:t>
      </w:r>
      <w:proofErr w:type="spellEnd"/>
      <w:r w:rsidRPr="6E88B490">
        <w:rPr>
          <w:szCs w:val="18"/>
        </w:rPr>
        <w:t xml:space="preserve"> leveranciers daarnaast een modelcontract met vaste tarieven voor bepaalde tijd (ten minste twaalf maanden) gaan aanbieden. Modelcont</w:t>
      </w:r>
      <w:r w:rsidR="00E962ED">
        <w:rPr>
          <w:szCs w:val="18"/>
        </w:rPr>
        <w:t>r</w:t>
      </w:r>
      <w:r w:rsidRPr="6E88B490">
        <w:rPr>
          <w:szCs w:val="18"/>
        </w:rPr>
        <w:t>acten zijn standaardcontracten, waarbij de voorwaarden worden vastgesteld door de ACM. De opzet en voorwaarden zijn voor alle leveranciers gelijk. Dit biedt consumenten de mogelijkheid om bij iedere leverancier een contract met variabele tarieven voor onbepaalde tijd en een contract met vaste tarieven voor bepaalde tijd (ten minste twaalf maanden) voor de levering van gas en elektriciteit af te sluiten. Doordat de voorwaarden bij alle leveranciers voor deze contracten gelijk zijn, kunnen klanten verschillende modelcontracten direct met elkaar vergelijken.</w:t>
      </w:r>
    </w:p>
    <w:p w:rsidRPr="00660182" w:rsidR="00CC2D5C" w:rsidP="001735E5" w:rsidRDefault="00CC2D5C" w14:paraId="0A9B0AD3" w14:textId="77777777">
      <w:pPr>
        <w:rPr>
          <w:szCs w:val="18"/>
        </w:rPr>
      </w:pPr>
    </w:p>
    <w:p w:rsidRPr="00660182" w:rsidR="00CC2D5C" w:rsidP="001735E5" w:rsidRDefault="00CC2D5C" w14:paraId="78FAF373" w14:textId="32087295">
      <w:pPr>
        <w:rPr>
          <w:szCs w:val="18"/>
        </w:rPr>
      </w:pPr>
      <w:r w:rsidRPr="6E88B490">
        <w:rPr>
          <w:szCs w:val="18"/>
        </w:rPr>
        <w:t xml:space="preserve">Het is </w:t>
      </w:r>
      <w:r>
        <w:rPr>
          <w:szCs w:val="18"/>
        </w:rPr>
        <w:t xml:space="preserve">aannemelijk </w:t>
      </w:r>
      <w:r w:rsidRPr="6E88B490">
        <w:rPr>
          <w:szCs w:val="18"/>
        </w:rPr>
        <w:t xml:space="preserve">dat het aanbieden van het modelcontract specifieke kosten </w:t>
      </w:r>
      <w:r w:rsidR="00E962ED">
        <w:rPr>
          <w:szCs w:val="18"/>
        </w:rPr>
        <w:t xml:space="preserve">meebrengt </w:t>
      </w:r>
      <w:r w:rsidRPr="6E88B490">
        <w:rPr>
          <w:szCs w:val="18"/>
        </w:rPr>
        <w:t xml:space="preserve">voor energieleveranciers die zich </w:t>
      </w:r>
      <w:r w:rsidR="00E962ED">
        <w:rPr>
          <w:szCs w:val="18"/>
        </w:rPr>
        <w:t xml:space="preserve">toeleggen </w:t>
      </w:r>
      <w:r w:rsidRPr="6E88B490">
        <w:rPr>
          <w:szCs w:val="18"/>
        </w:rPr>
        <w:t>op dynamische contracten, omdat het niet goed aansluit op hun bedrijfsmodel en systemen.</w:t>
      </w:r>
      <w:r>
        <w:rPr>
          <w:szCs w:val="18"/>
        </w:rPr>
        <w:t xml:space="preserve"> Dit verklaart waarom de kosten van het modelcontract van deze leveranciers relatief hoog kunnen uitvallen.</w:t>
      </w:r>
      <w:r w:rsidRPr="6E88B490">
        <w:rPr>
          <w:szCs w:val="18"/>
        </w:rPr>
        <w:t xml:space="preserve"> De ACM houdt toezicht op de redelijkheid van tarieven en kan ingrijpen als er sprake is van onredelijk hoge tarieven. </w:t>
      </w:r>
      <w:r>
        <w:rPr>
          <w:szCs w:val="18"/>
        </w:rPr>
        <w:t>De ACM richt haar toezicht risico-gestuurd in, waarbij zij kijkt naar waar haar toezicht de meeste impact heeft.</w:t>
      </w:r>
    </w:p>
    <w:p w:rsidRPr="00660182" w:rsidR="00CC2D5C" w:rsidP="001735E5" w:rsidRDefault="00CC2D5C" w14:paraId="4E5A88D3" w14:textId="77777777">
      <w:pPr>
        <w:rPr>
          <w:szCs w:val="18"/>
        </w:rPr>
      </w:pPr>
    </w:p>
    <w:p w:rsidRPr="00660182" w:rsidR="00CC2D5C" w:rsidP="001735E5" w:rsidRDefault="00CC2D5C" w14:paraId="023FDED9" w14:textId="77777777">
      <w:pPr>
        <w:rPr>
          <w:szCs w:val="18"/>
        </w:rPr>
      </w:pPr>
      <w:r w:rsidRPr="6E88B490">
        <w:rPr>
          <w:szCs w:val="18"/>
        </w:rPr>
        <w:lastRenderedPageBreak/>
        <w:t xml:space="preserve">Naast het modelcontract mogen leveranciers uiteraard ook andere contracten aanbieden. Zij mogen zelf </w:t>
      </w:r>
      <w:r>
        <w:rPr>
          <w:szCs w:val="18"/>
        </w:rPr>
        <w:t>de voorwaarden van</w:t>
      </w:r>
      <w:r w:rsidRPr="6E88B490">
        <w:rPr>
          <w:szCs w:val="18"/>
        </w:rPr>
        <w:t xml:space="preserve"> deze contracten </w:t>
      </w:r>
      <w:r>
        <w:rPr>
          <w:szCs w:val="18"/>
        </w:rPr>
        <w:t>bepalen</w:t>
      </w:r>
      <w:r w:rsidRPr="6E88B490">
        <w:rPr>
          <w:szCs w:val="18"/>
        </w:rPr>
        <w:t>.</w:t>
      </w:r>
      <w:r>
        <w:rPr>
          <w:szCs w:val="18"/>
        </w:rPr>
        <w:t xml:space="preserve"> L</w:t>
      </w:r>
      <w:r w:rsidRPr="00724AC6">
        <w:rPr>
          <w:szCs w:val="18"/>
        </w:rPr>
        <w:t xml:space="preserve">everanciers </w:t>
      </w:r>
      <w:r>
        <w:rPr>
          <w:szCs w:val="18"/>
        </w:rPr>
        <w:t xml:space="preserve">kunnen daarom deze contracten </w:t>
      </w:r>
      <w:r w:rsidRPr="00724AC6">
        <w:rPr>
          <w:szCs w:val="18"/>
        </w:rPr>
        <w:t>vaak goedkoper aanbieden</w:t>
      </w:r>
      <w:r>
        <w:rPr>
          <w:szCs w:val="18"/>
        </w:rPr>
        <w:t xml:space="preserve"> dan het modelcontract.</w:t>
      </w:r>
    </w:p>
    <w:p w:rsidR="00CC2D5C" w:rsidP="001735E5" w:rsidRDefault="00CC2D5C" w14:paraId="6754D64A" w14:textId="77777777">
      <w:pPr>
        <w:rPr>
          <w:szCs w:val="18"/>
        </w:rPr>
      </w:pPr>
    </w:p>
    <w:p w:rsidR="001735E5" w:rsidP="001735E5" w:rsidRDefault="00CC2D5C" w14:paraId="372B446C" w14:textId="77777777">
      <w:pPr>
        <w:rPr>
          <w:szCs w:val="18"/>
        </w:rPr>
      </w:pPr>
      <w:r w:rsidRPr="004C61A5">
        <w:rPr>
          <w:szCs w:val="18"/>
        </w:rPr>
        <w:t>3</w:t>
      </w:r>
    </w:p>
    <w:p w:rsidR="00CC2D5C" w:rsidP="001735E5" w:rsidRDefault="00CC2D5C" w14:paraId="3CADBC36" w14:textId="3EC2184E">
      <w:pPr>
        <w:rPr>
          <w:szCs w:val="18"/>
        </w:rPr>
      </w:pPr>
      <w:r w:rsidRPr="004C61A5">
        <w:rPr>
          <w:szCs w:val="18"/>
        </w:rPr>
        <w:t>Kunt u uitsluiten dat hier sprake is van misbruik van marktmacht of informatie-asymmetrie ten nadele van</w:t>
      </w:r>
      <w:r>
        <w:rPr>
          <w:szCs w:val="18"/>
        </w:rPr>
        <w:t xml:space="preserve"> </w:t>
      </w:r>
      <w:r w:rsidRPr="004C61A5">
        <w:rPr>
          <w:szCs w:val="18"/>
        </w:rPr>
        <w:t>consumenten?</w:t>
      </w:r>
    </w:p>
    <w:p w:rsidR="00CC2D5C" w:rsidP="001735E5" w:rsidRDefault="00CC2D5C" w14:paraId="701A409A" w14:textId="77777777">
      <w:pPr>
        <w:rPr>
          <w:szCs w:val="18"/>
        </w:rPr>
      </w:pPr>
    </w:p>
    <w:p w:rsidRPr="00CC2D5C" w:rsidR="00CC2D5C" w:rsidP="001735E5" w:rsidRDefault="00CC2D5C" w14:paraId="3A2D3DBF" w14:textId="77777777">
      <w:pPr>
        <w:rPr>
          <w:szCs w:val="18"/>
        </w:rPr>
      </w:pPr>
      <w:r w:rsidRPr="00CC2D5C">
        <w:rPr>
          <w:szCs w:val="18"/>
        </w:rPr>
        <w:t>Antwoord</w:t>
      </w:r>
    </w:p>
    <w:p w:rsidRPr="00CC2D5C" w:rsidR="00CC2D5C" w:rsidP="001735E5" w:rsidRDefault="00CC2D5C" w14:paraId="34A7FF67" w14:textId="716C92F8">
      <w:pPr>
        <w:rPr>
          <w:szCs w:val="18"/>
        </w:rPr>
      </w:pPr>
      <w:r w:rsidRPr="00CC2D5C">
        <w:rPr>
          <w:szCs w:val="18"/>
        </w:rPr>
        <w:t xml:space="preserve">Misbruik van marktmacht ligt in de huidige markt met veel verschillende aanbieders niet voor de hand, al blijft alertheid geboden. Informatie-asymmetrie kan wel voorkomen, omdat energieproducten complex zijn. Zo kan het voor consumenten lastig zijn om energiecontracten te vergelijken. Daarbij vraagt de keuze voor een energiecontract </w:t>
      </w:r>
      <w:r w:rsidR="00A650B2">
        <w:rPr>
          <w:szCs w:val="18"/>
        </w:rPr>
        <w:t xml:space="preserve">ook een </w:t>
      </w:r>
      <w:r w:rsidRPr="00CC2D5C">
        <w:rPr>
          <w:szCs w:val="18"/>
        </w:rPr>
        <w:t>inschatting</w:t>
      </w:r>
      <w:r w:rsidR="00A650B2">
        <w:rPr>
          <w:szCs w:val="18"/>
        </w:rPr>
        <w:t xml:space="preserve"> van</w:t>
      </w:r>
      <w:r w:rsidRPr="00CC2D5C">
        <w:rPr>
          <w:szCs w:val="18"/>
        </w:rPr>
        <w:t xml:space="preserve"> toekomstige ontwikkelingen, zoals prijsfluctuaties. Bij modelcontracten </w:t>
      </w:r>
      <w:r w:rsidR="00A650B2">
        <w:rPr>
          <w:szCs w:val="18"/>
        </w:rPr>
        <w:t xml:space="preserve">is </w:t>
      </w:r>
      <w:r w:rsidRPr="00CC2D5C">
        <w:rPr>
          <w:szCs w:val="18"/>
        </w:rPr>
        <w:t xml:space="preserve">de vergelijkbaarheid </w:t>
      </w:r>
      <w:r w:rsidR="00A650B2">
        <w:rPr>
          <w:szCs w:val="18"/>
        </w:rPr>
        <w:t>gemakkelijker</w:t>
      </w:r>
      <w:r w:rsidRPr="00CC2D5C">
        <w:rPr>
          <w:szCs w:val="18"/>
        </w:rPr>
        <w:t>, omdat de contractvoorwaarden van alle modelcontracten gelijk zijn, alleen de prijzen variëren.</w:t>
      </w:r>
    </w:p>
    <w:p w:rsidRPr="00CC2D5C" w:rsidR="00CC2D5C" w:rsidP="001735E5" w:rsidRDefault="00CC2D5C" w14:paraId="2BFDE3DE" w14:textId="77777777">
      <w:pPr>
        <w:rPr>
          <w:szCs w:val="18"/>
          <w:highlight w:val="yellow"/>
        </w:rPr>
      </w:pPr>
    </w:p>
    <w:p w:rsidR="001735E5" w:rsidP="001735E5" w:rsidRDefault="00CC2D5C" w14:paraId="58B98B0F" w14:textId="77777777">
      <w:pPr>
        <w:rPr>
          <w:szCs w:val="18"/>
        </w:rPr>
      </w:pPr>
      <w:r w:rsidRPr="00CC2D5C">
        <w:rPr>
          <w:szCs w:val="18"/>
        </w:rPr>
        <w:t>4</w:t>
      </w:r>
    </w:p>
    <w:p w:rsidRPr="00CC2D5C" w:rsidR="00CC2D5C" w:rsidP="001735E5" w:rsidRDefault="00CC2D5C" w14:paraId="280F72F1" w14:textId="7309C438">
      <w:pPr>
        <w:rPr>
          <w:szCs w:val="18"/>
        </w:rPr>
      </w:pPr>
      <w:r w:rsidRPr="00CC2D5C">
        <w:rPr>
          <w:szCs w:val="18"/>
        </w:rPr>
        <w:t>Hoe verklaart u dat consumenten blijkbaar geen effectieve bescherming hebben tegen zulke</w:t>
      </w:r>
      <w:r w:rsidR="00A650B2">
        <w:rPr>
          <w:szCs w:val="18"/>
        </w:rPr>
        <w:t xml:space="preserve"> </w:t>
      </w:r>
      <w:r w:rsidRPr="00CC2D5C">
        <w:rPr>
          <w:szCs w:val="18"/>
        </w:rPr>
        <w:t>prijsverschillen, zelfs binnen modelcontracten die juist bedoeld zijn als ‘basiscontract’?</w:t>
      </w:r>
    </w:p>
    <w:p w:rsidRPr="00CC2D5C" w:rsidR="00CC2D5C" w:rsidP="001735E5" w:rsidRDefault="00CC2D5C" w14:paraId="73B9522D" w14:textId="77777777">
      <w:pPr>
        <w:rPr>
          <w:szCs w:val="18"/>
        </w:rPr>
      </w:pPr>
      <w:r w:rsidRPr="00CC2D5C">
        <w:rPr>
          <w:szCs w:val="18"/>
        </w:rPr>
        <w:br/>
        <w:t xml:space="preserve">Antwoord </w:t>
      </w:r>
    </w:p>
    <w:p w:rsidRPr="00CC2D5C" w:rsidR="00CC2D5C" w:rsidP="001735E5" w:rsidRDefault="00FF6A06" w14:paraId="27928541" w14:textId="76FF1481">
      <w:pPr>
        <w:rPr>
          <w:szCs w:val="18"/>
        </w:rPr>
      </w:pPr>
      <w:r w:rsidRPr="00CC2D5C">
        <w:rPr>
          <w:szCs w:val="18"/>
        </w:rPr>
        <w:t>Consumenten kunnen de hoge tarieven vermijden door voor een ander contract te kiezen. Daarnaast houdt de ACM risico-gestuurd toezicht op de redelijkheid van tarieven.</w:t>
      </w:r>
      <w:r>
        <w:rPr>
          <w:szCs w:val="18"/>
        </w:rPr>
        <w:t xml:space="preserve"> </w:t>
      </w:r>
      <w:r w:rsidRPr="00CC2D5C" w:rsidR="00CC2D5C">
        <w:rPr>
          <w:szCs w:val="18"/>
        </w:rPr>
        <w:t xml:space="preserve">In de energiemarkt geldt het principe van vrije prijsvorming voor energieleveranciers. Leveranciers kunnen op prijs concurreren en hebben bijvoorbeeld verschillend inkoopbeleid, wat leidt tot verschil in tarieven. Bij het modelcontract zijn de contractvoorwaarden gelijk, maar de prijsvorming is vrij. Zeker bij het modelcontract kunnen de prijzen erg verschillend zijn, onder meer omdat bij dynamische leveranciers het modelcontract niet aansluit bij hun bedrijfsmodel. </w:t>
      </w:r>
    </w:p>
    <w:p w:rsidRPr="00CC2D5C" w:rsidR="00CC2D5C" w:rsidP="001735E5" w:rsidRDefault="00CC2D5C" w14:paraId="3B0EE0A9" w14:textId="77777777">
      <w:pPr>
        <w:rPr>
          <w:szCs w:val="18"/>
        </w:rPr>
      </w:pPr>
    </w:p>
    <w:p w:rsidR="001735E5" w:rsidP="001735E5" w:rsidRDefault="00CC2D5C" w14:paraId="0BB47FAB" w14:textId="77777777">
      <w:pPr>
        <w:rPr>
          <w:szCs w:val="18"/>
        </w:rPr>
      </w:pPr>
      <w:r w:rsidRPr="00CC2D5C">
        <w:rPr>
          <w:szCs w:val="18"/>
        </w:rPr>
        <w:t>5</w:t>
      </w:r>
    </w:p>
    <w:p w:rsidRPr="00CC2D5C" w:rsidR="00CC2D5C" w:rsidP="001735E5" w:rsidRDefault="00CC2D5C" w14:paraId="44CD8943" w14:textId="2D9D6EE8">
      <w:pPr>
        <w:rPr>
          <w:szCs w:val="18"/>
        </w:rPr>
      </w:pPr>
      <w:r w:rsidRPr="00CC2D5C">
        <w:rPr>
          <w:szCs w:val="18"/>
        </w:rPr>
        <w:t>Acht u het wenselijk dat dergelijke prijsverschillen tussen modelcontracten van leveranciers überhaupt mogelijk zijn? Acht u aanvullende regulering van modelcontracten nodig?</w:t>
      </w:r>
    </w:p>
    <w:p w:rsidRPr="00CC2D5C" w:rsidR="00CC2D5C" w:rsidP="001735E5" w:rsidRDefault="00CC2D5C" w14:paraId="1C17AF53" w14:textId="77777777">
      <w:pPr>
        <w:rPr>
          <w:szCs w:val="18"/>
        </w:rPr>
      </w:pPr>
    </w:p>
    <w:p w:rsidRPr="00CC2D5C" w:rsidR="00CC2D5C" w:rsidP="001735E5" w:rsidRDefault="00CC2D5C" w14:paraId="53ADD0C7" w14:textId="77777777">
      <w:pPr>
        <w:rPr>
          <w:szCs w:val="18"/>
        </w:rPr>
      </w:pPr>
      <w:r w:rsidRPr="00CC2D5C">
        <w:rPr>
          <w:szCs w:val="18"/>
        </w:rPr>
        <w:t>Antwoord</w:t>
      </w:r>
    </w:p>
    <w:p w:rsidRPr="00CC2D5C" w:rsidR="00CC2D5C" w:rsidP="001735E5" w:rsidRDefault="00CC2D5C" w14:paraId="4E2F4306" w14:textId="77777777">
      <w:pPr>
        <w:rPr>
          <w:rFonts w:eastAsia="Calibri"/>
          <w:szCs w:val="18"/>
        </w:rPr>
      </w:pPr>
      <w:r w:rsidRPr="00CC2D5C">
        <w:rPr>
          <w:rFonts w:eastAsia="Calibri"/>
          <w:szCs w:val="18"/>
        </w:rPr>
        <w:t xml:space="preserve">De kosten die leveranciers maken, waaronder de inkoopkosten, kunnen onderling verschillen. Daarnaast sluit het modelcontract niet goed aan bij het bedrijfsmodel van leveranciers die uitsluitend dynamische contracten aanbieden, daardoor maken zij relatief hogere kosten. Het is daarom logisch dat de prijzen op de markt ook kunnen verschillen. Er is immers sprake van vrije prijsvorming op grond van Europese regelgeving. </w:t>
      </w:r>
      <w:r w:rsidRPr="00CC2D5C">
        <w:rPr>
          <w:rFonts w:eastAsia="Verdana" w:cs="Verdana"/>
          <w:szCs w:val="18"/>
        </w:rPr>
        <w:t xml:space="preserve">Gelet op de prijsverschillen loont het voor consumenten om contracten goed te vergelijken, bijvoorbeeld via een </w:t>
      </w:r>
      <w:proofErr w:type="spellStart"/>
      <w:r w:rsidRPr="00CC2D5C">
        <w:rPr>
          <w:rFonts w:eastAsia="Verdana" w:cs="Verdana"/>
          <w:szCs w:val="18"/>
        </w:rPr>
        <w:t>prijsvergelijker</w:t>
      </w:r>
      <w:proofErr w:type="spellEnd"/>
      <w:r w:rsidRPr="00CC2D5C">
        <w:rPr>
          <w:rFonts w:eastAsia="Verdana" w:cs="Verdana"/>
          <w:szCs w:val="18"/>
        </w:rPr>
        <w:t xml:space="preserve">, en over te stappen. </w:t>
      </w:r>
      <w:r w:rsidRPr="00CC2D5C">
        <w:rPr>
          <w:rFonts w:eastAsia="Calibri"/>
          <w:szCs w:val="18"/>
        </w:rPr>
        <w:t xml:space="preserve">Wel is het wenselijk dat er toezicht is om onredelijke prijzen te kunnen </w:t>
      </w:r>
      <w:r w:rsidRPr="00CC2D5C">
        <w:rPr>
          <w:rFonts w:eastAsia="Calibri"/>
          <w:szCs w:val="18"/>
        </w:rPr>
        <w:lastRenderedPageBreak/>
        <w:t xml:space="preserve">voorkomen. Daartoe kan de ACM onderzoek doen en zo nodig handhaven, op basis van de wettelijke bepalingen. </w:t>
      </w:r>
    </w:p>
    <w:p w:rsidRPr="00CC2D5C" w:rsidR="00CC2D5C" w:rsidP="001735E5" w:rsidRDefault="00CC2D5C" w14:paraId="062B2A21" w14:textId="77777777">
      <w:pPr>
        <w:rPr>
          <w:rFonts w:eastAsia="Calibri"/>
          <w:szCs w:val="18"/>
        </w:rPr>
      </w:pPr>
    </w:p>
    <w:p w:rsidRPr="00CC2D5C" w:rsidR="00CC2D5C" w:rsidP="001735E5" w:rsidRDefault="00CC2D5C" w14:paraId="40FBEB83" w14:textId="77777777">
      <w:pPr>
        <w:rPr>
          <w:rFonts w:eastAsia="Calibri"/>
          <w:szCs w:val="18"/>
        </w:rPr>
      </w:pPr>
      <w:r w:rsidRPr="00CC2D5C">
        <w:rPr>
          <w:rFonts w:eastAsia="Calibri"/>
          <w:szCs w:val="18"/>
        </w:rPr>
        <w:t xml:space="preserve">De wettelijke bepalingen op grond waarvan de ACM toeziet op redelijkheid van de tarieven en voorwaarden gelden voor alle contracten die aangeboden worden door </w:t>
      </w:r>
      <w:proofErr w:type="spellStart"/>
      <w:r w:rsidRPr="00CC2D5C">
        <w:rPr>
          <w:rFonts w:eastAsia="Calibri"/>
          <w:szCs w:val="18"/>
        </w:rPr>
        <w:t>vergunninghoudende</w:t>
      </w:r>
      <w:proofErr w:type="spellEnd"/>
      <w:r w:rsidRPr="00CC2D5C">
        <w:rPr>
          <w:rFonts w:eastAsia="Calibri"/>
          <w:szCs w:val="18"/>
        </w:rPr>
        <w:t xml:space="preserve"> leveranciers en dus ook het modelcontract. Daarom acht het Kabinet aanvullende regulering van modelcontracten niet nodig. </w:t>
      </w:r>
    </w:p>
    <w:p w:rsidRPr="00CC2D5C" w:rsidR="00CC2D5C" w:rsidP="001735E5" w:rsidRDefault="00CC2D5C" w14:paraId="1B86CAEC" w14:textId="77777777">
      <w:pPr>
        <w:rPr>
          <w:szCs w:val="18"/>
        </w:rPr>
      </w:pPr>
    </w:p>
    <w:p w:rsidR="001735E5" w:rsidP="001735E5" w:rsidRDefault="00CC2D5C" w14:paraId="153F621F" w14:textId="77777777">
      <w:pPr>
        <w:rPr>
          <w:szCs w:val="18"/>
        </w:rPr>
      </w:pPr>
      <w:r w:rsidRPr="00CC2D5C">
        <w:rPr>
          <w:szCs w:val="18"/>
        </w:rPr>
        <w:t>6</w:t>
      </w:r>
    </w:p>
    <w:p w:rsidRPr="00CC2D5C" w:rsidR="00CC2D5C" w:rsidP="001735E5" w:rsidRDefault="00CC2D5C" w14:paraId="1D237A68" w14:textId="18411E98">
      <w:pPr>
        <w:rPr>
          <w:szCs w:val="18"/>
        </w:rPr>
      </w:pPr>
      <w:r w:rsidRPr="00CC2D5C">
        <w:rPr>
          <w:szCs w:val="18"/>
        </w:rPr>
        <w:t>Herkent u het beeld dat in energiecontracten, net als in internetabonnementen en bankproducten, prijsvergelijking door consumenten bemoeilijkt wordt door complexe voorwaarden, verborgen kosten en ondoorzichtige prijspagina’s?</w:t>
      </w:r>
    </w:p>
    <w:p w:rsidRPr="00CC2D5C" w:rsidR="00CC2D5C" w:rsidP="001735E5" w:rsidRDefault="00CC2D5C" w14:paraId="751BA3DF" w14:textId="77777777">
      <w:pPr>
        <w:rPr>
          <w:szCs w:val="18"/>
        </w:rPr>
      </w:pPr>
    </w:p>
    <w:p w:rsidRPr="00CC2D5C" w:rsidR="00CC2D5C" w:rsidP="001735E5" w:rsidRDefault="00CC2D5C" w14:paraId="406A95C7" w14:textId="77777777">
      <w:pPr>
        <w:rPr>
          <w:szCs w:val="18"/>
        </w:rPr>
      </w:pPr>
      <w:r w:rsidRPr="00CC2D5C">
        <w:rPr>
          <w:szCs w:val="18"/>
        </w:rPr>
        <w:t>Antwoord</w:t>
      </w:r>
    </w:p>
    <w:p w:rsidRPr="00CC2D5C" w:rsidR="00CC2D5C" w:rsidP="001735E5" w:rsidRDefault="00CC2D5C" w14:paraId="5400BF32" w14:textId="0D549A89">
      <w:pPr>
        <w:rPr>
          <w:szCs w:val="18"/>
        </w:rPr>
      </w:pPr>
      <w:r w:rsidRPr="00CC2D5C">
        <w:rPr>
          <w:szCs w:val="18"/>
        </w:rPr>
        <w:t xml:space="preserve">Het </w:t>
      </w:r>
      <w:r w:rsidR="00E962ED">
        <w:rPr>
          <w:szCs w:val="18"/>
        </w:rPr>
        <w:t>k</w:t>
      </w:r>
      <w:r w:rsidRPr="00CC2D5C">
        <w:rPr>
          <w:szCs w:val="18"/>
        </w:rPr>
        <w:t xml:space="preserve">abinet erkent dat het lastig kan zijn om energiecontracten te vergelijken voor consumenten. Mede daarom gelden voor de energiemarkt specifieke regels ter bescherming van de consument, die zien op de vergelijkbaarheid van contracten. Het </w:t>
      </w:r>
      <w:r w:rsidR="00B60B83">
        <w:rPr>
          <w:szCs w:val="18"/>
        </w:rPr>
        <w:t>k</w:t>
      </w:r>
      <w:r w:rsidRPr="00CC2D5C">
        <w:rPr>
          <w:szCs w:val="18"/>
        </w:rPr>
        <w:t>abinet acht het van groot belang dat energiecontracten transparant en vergelijkbaar zijn.</w:t>
      </w:r>
    </w:p>
    <w:p w:rsidRPr="00CC2D5C" w:rsidR="00CC2D5C" w:rsidP="001735E5" w:rsidRDefault="00CC2D5C" w14:paraId="3BB3BB14" w14:textId="77777777">
      <w:pPr>
        <w:rPr>
          <w:szCs w:val="18"/>
        </w:rPr>
      </w:pPr>
    </w:p>
    <w:p w:rsidRPr="00CC2D5C" w:rsidR="00CC2D5C" w:rsidP="001735E5" w:rsidRDefault="00CC2D5C" w14:paraId="791CC6E7" w14:textId="01B93DE2">
      <w:pPr>
        <w:rPr>
          <w:szCs w:val="18"/>
        </w:rPr>
      </w:pPr>
      <w:r w:rsidRPr="00CC2D5C">
        <w:rPr>
          <w:szCs w:val="18"/>
        </w:rPr>
        <w:t xml:space="preserve">In de nieuwe Energiewet, die </w:t>
      </w:r>
      <w:r w:rsidR="00E962ED">
        <w:rPr>
          <w:szCs w:val="18"/>
        </w:rPr>
        <w:t xml:space="preserve">vorig jaar </w:t>
      </w:r>
      <w:r w:rsidRPr="00CC2D5C">
        <w:rPr>
          <w:szCs w:val="18"/>
        </w:rPr>
        <w:t xml:space="preserve">door beide Kamers is aangenomen, wordt consumentenbescherming bij de levering van elektriciteit en gas aan huishoudens en micro-ondernemingen vanaf 1 januari 2026 steviger wettelijk verankerd. Specifiek ten aanzien van transparantie geldt dat in de Energiewet is opgenomen dat energieleveranciers elektriciteit en gas aan deze consumenten moeten leveren tegen transparante en redelijke prijzen en onder transparante en redelijke voorwaarden. Een energieleverancier die elektriciteit of gas levert aan een consument moet bovendien zijn prijzen en voorwaarden </w:t>
      </w:r>
      <w:r w:rsidR="00E962ED">
        <w:rPr>
          <w:szCs w:val="18"/>
        </w:rPr>
        <w:t xml:space="preserve">zo </w:t>
      </w:r>
      <w:r w:rsidRPr="00CC2D5C">
        <w:rPr>
          <w:szCs w:val="18"/>
        </w:rPr>
        <w:t xml:space="preserve">presenteren dat consumenten voor het sluiten van een overeenkomst prijzen en voorwaarden van verschillende leveranciers onderling </w:t>
      </w:r>
      <w:r w:rsidR="00E962ED">
        <w:rPr>
          <w:szCs w:val="18"/>
        </w:rPr>
        <w:t xml:space="preserve">kunnen </w:t>
      </w:r>
      <w:r w:rsidRPr="00CC2D5C">
        <w:rPr>
          <w:szCs w:val="18"/>
        </w:rPr>
        <w:t xml:space="preserve">vergelijken. </w:t>
      </w:r>
    </w:p>
    <w:p w:rsidRPr="00CC2D5C" w:rsidR="00CC2D5C" w:rsidP="001735E5" w:rsidRDefault="00CC2D5C" w14:paraId="6007878C" w14:textId="77777777">
      <w:pPr>
        <w:rPr>
          <w:szCs w:val="18"/>
        </w:rPr>
      </w:pPr>
    </w:p>
    <w:p w:rsidRPr="00CC2D5C" w:rsidR="00CC2D5C" w:rsidP="001735E5" w:rsidRDefault="00CC2D5C" w14:paraId="1BE7FAFA" w14:textId="77777777">
      <w:pPr>
        <w:rPr>
          <w:szCs w:val="18"/>
        </w:rPr>
      </w:pPr>
      <w:r w:rsidRPr="00CC2D5C">
        <w:rPr>
          <w:szCs w:val="18"/>
        </w:rPr>
        <w:t>Ook wordt het belang van transparantie en vergelijkbaarheid van energiecontracten steviger verankerd in het recht voor huishoudelijke eindafnemers en micro-ondernemingen, waaronder consumenten, op kosteloze toegang tot ten minste één onafhankelijk vergelijkingsinstrument dat de gehele markt bestrijkt, of meerdere vergelijkingsinstrumenten die in voldoende mate de markt bestrijken.</w:t>
      </w:r>
    </w:p>
    <w:p w:rsidRPr="00CC2D5C" w:rsidR="00CC2D5C" w:rsidP="001735E5" w:rsidRDefault="00CC2D5C" w14:paraId="2D93F8A0" w14:textId="77777777">
      <w:pPr>
        <w:rPr>
          <w:szCs w:val="18"/>
        </w:rPr>
      </w:pPr>
    </w:p>
    <w:p w:rsidRPr="00CC2D5C" w:rsidR="00CC2D5C" w:rsidP="001735E5" w:rsidRDefault="00CC2D5C" w14:paraId="20B5E79F" w14:textId="77777777">
      <w:pPr>
        <w:rPr>
          <w:szCs w:val="18"/>
        </w:rPr>
      </w:pPr>
      <w:r w:rsidRPr="00CC2D5C">
        <w:rPr>
          <w:szCs w:val="18"/>
        </w:rPr>
        <w:t>In het kader van betere vergelijkbaarheid van energiecontracten is in de AMvB onder de Energiewet tevens een nieuwe bepaling opgenomen die voorschrijft dat bonussen enkel in geldelijke vorm mogen worden gegeven door energieleveranciers. Dit zorgt ervoor dat energiecontracten beter vergelijkbaar worden en voor consumenten duidelijker is hoeveel zij voor hun energiecontract gaan betalen.</w:t>
      </w:r>
    </w:p>
    <w:p w:rsidRPr="00CC2D5C" w:rsidR="00CC2D5C" w:rsidP="001735E5" w:rsidRDefault="00CC2D5C" w14:paraId="7D837BE6" w14:textId="77777777">
      <w:pPr>
        <w:rPr>
          <w:szCs w:val="18"/>
        </w:rPr>
      </w:pPr>
    </w:p>
    <w:p w:rsidRPr="00CC2D5C" w:rsidR="00CC2D5C" w:rsidP="001735E5" w:rsidRDefault="00CC2D5C" w14:paraId="38352F26" w14:textId="29C2E374">
      <w:pPr>
        <w:rPr>
          <w:szCs w:val="18"/>
        </w:rPr>
      </w:pPr>
      <w:r w:rsidRPr="00CC2D5C">
        <w:rPr>
          <w:szCs w:val="18"/>
        </w:rPr>
        <w:t xml:space="preserve">Bij elkaar wordt hiermee met de komst van de nieuwe Energiewet van leveranciers </w:t>
      </w:r>
      <w:r w:rsidR="00E962ED">
        <w:rPr>
          <w:szCs w:val="18"/>
        </w:rPr>
        <w:t xml:space="preserve">vereist </w:t>
      </w:r>
      <w:r w:rsidRPr="00CC2D5C">
        <w:rPr>
          <w:szCs w:val="18"/>
        </w:rPr>
        <w:t>dat zij een transparant aanbod aan contracten op de markt brengen</w:t>
      </w:r>
      <w:r w:rsidR="00E962ED">
        <w:rPr>
          <w:szCs w:val="18"/>
        </w:rPr>
        <w:t xml:space="preserve">. Ook wordt </w:t>
      </w:r>
      <w:r w:rsidRPr="00CC2D5C">
        <w:rPr>
          <w:szCs w:val="18"/>
        </w:rPr>
        <w:t xml:space="preserve">verzekerd dat iedere consument de mogelijkheid heeft om dit </w:t>
      </w:r>
      <w:r w:rsidRPr="00CC2D5C">
        <w:rPr>
          <w:szCs w:val="18"/>
        </w:rPr>
        <w:lastRenderedPageBreak/>
        <w:t>aanbod onderling te vergelijken om een bewuste keuze te kunnen te maken die past bij zijn of haar voorkeuren en situatie.</w:t>
      </w:r>
    </w:p>
    <w:p w:rsidRPr="00CC2D5C" w:rsidR="00CC2D5C" w:rsidP="001735E5" w:rsidRDefault="00CC2D5C" w14:paraId="6B5EA3BD" w14:textId="77777777">
      <w:pPr>
        <w:rPr>
          <w:szCs w:val="18"/>
        </w:rPr>
      </w:pPr>
    </w:p>
    <w:p w:rsidR="001735E5" w:rsidP="001735E5" w:rsidRDefault="00CC2D5C" w14:paraId="1899BF20" w14:textId="77777777">
      <w:pPr>
        <w:rPr>
          <w:szCs w:val="18"/>
        </w:rPr>
      </w:pPr>
      <w:r w:rsidRPr="00CC2D5C">
        <w:rPr>
          <w:szCs w:val="18"/>
        </w:rPr>
        <w:t>7</w:t>
      </w:r>
    </w:p>
    <w:p w:rsidRPr="00CC2D5C" w:rsidR="00CC2D5C" w:rsidP="001735E5" w:rsidRDefault="00CC2D5C" w14:paraId="28BC68D2" w14:textId="3A46B276">
      <w:pPr>
        <w:rPr>
          <w:szCs w:val="18"/>
        </w:rPr>
      </w:pPr>
      <w:r w:rsidRPr="00CC2D5C">
        <w:rPr>
          <w:szCs w:val="18"/>
        </w:rPr>
        <w:t>Deelt u de analyse uit de initiatiefnota 'Minder inflatie, meer bestaanszekerheid' dat disfunctionele markten, een gebrek aan transparantie en onvoldoende concurrentie leiden tot structureel hogere prijzen voor essentiële diensten zoals energie?</w:t>
      </w:r>
    </w:p>
    <w:p w:rsidRPr="00CC2D5C" w:rsidR="00CC2D5C" w:rsidP="001735E5" w:rsidRDefault="00CC2D5C" w14:paraId="5F0E0E23" w14:textId="77777777">
      <w:pPr>
        <w:rPr>
          <w:szCs w:val="18"/>
        </w:rPr>
      </w:pPr>
    </w:p>
    <w:p w:rsidRPr="00CC2D5C" w:rsidR="00CC2D5C" w:rsidP="001735E5" w:rsidRDefault="00CC2D5C" w14:paraId="39414A5A" w14:textId="3CDD7A7D">
      <w:pPr>
        <w:rPr>
          <w:szCs w:val="18"/>
        </w:rPr>
      </w:pPr>
      <w:r w:rsidRPr="00CC2D5C">
        <w:rPr>
          <w:szCs w:val="18"/>
        </w:rPr>
        <w:t>Antwoord</w:t>
      </w:r>
      <w:r w:rsidRPr="00CC2D5C">
        <w:br/>
      </w:r>
      <w:r w:rsidR="00AE0840">
        <w:rPr>
          <w:szCs w:val="18"/>
        </w:rPr>
        <w:t xml:space="preserve">De hogere prijzen hebben </w:t>
      </w:r>
      <w:r w:rsidRPr="00CC2D5C">
        <w:rPr>
          <w:szCs w:val="18"/>
        </w:rPr>
        <w:t xml:space="preserve">vooral te maken met geopolitieke ontwikkelingen waardoor hogere inkoopkosten en grotere inkooprisico’s zijn ontstaan voor leveranciers. </w:t>
      </w:r>
    </w:p>
    <w:p w:rsidRPr="00CC2D5C" w:rsidR="00CC2D5C" w:rsidP="001735E5" w:rsidRDefault="00CC2D5C" w14:paraId="18CE3F48" w14:textId="77777777">
      <w:pPr>
        <w:rPr>
          <w:szCs w:val="18"/>
        </w:rPr>
      </w:pPr>
    </w:p>
    <w:p w:rsidRPr="00CC2D5C" w:rsidR="00CC2D5C" w:rsidP="001735E5" w:rsidRDefault="00CC2D5C" w14:paraId="3B5E65CD" w14:textId="77777777">
      <w:pPr>
        <w:rPr>
          <w:rFonts w:eastAsia="Verdana" w:cs="Verdana"/>
          <w:szCs w:val="18"/>
        </w:rPr>
      </w:pPr>
      <w:r w:rsidRPr="00CC2D5C">
        <w:rPr>
          <w:rFonts w:eastAsia="Verdana" w:cs="Verdana"/>
          <w:szCs w:val="18"/>
        </w:rPr>
        <w:t>Sinds 2021 zien we een forse toename in de groothandelsprijs van energie die is aangewakkerd door geopolitieke ontwikkelingen. De ACM heeft zes energieleveranciers onderzocht die tussen januari 2021 tot en met juni 2023 geen hogere brutomarge bleken te verdienen dan gebruikelijk en waarbij de prijzen redelijk bleken te zijn ondanks de hoogte hiervan.</w:t>
      </w:r>
      <w:r w:rsidRPr="00CC2D5C">
        <w:rPr>
          <w:rStyle w:val="Voetnootmarkering"/>
          <w:rFonts w:eastAsia="Verdana" w:cs="Verdana"/>
          <w:szCs w:val="18"/>
        </w:rPr>
        <w:footnoteReference w:id="1"/>
      </w:r>
      <w:r w:rsidRPr="00CC2D5C">
        <w:rPr>
          <w:rFonts w:eastAsia="Verdana" w:cs="Verdana"/>
          <w:szCs w:val="18"/>
        </w:rPr>
        <w:t xml:space="preserve"> </w:t>
      </w:r>
      <w:r w:rsidRPr="00CC2D5C">
        <w:rPr>
          <w:szCs w:val="18"/>
        </w:rPr>
        <w:t xml:space="preserve">Door de ACM is in het najaar van 2024 ook onderzoek gedaan om de vraag te beantwoorden of het fenomeen van </w:t>
      </w:r>
      <w:proofErr w:type="spellStart"/>
      <w:r w:rsidRPr="00CC2D5C">
        <w:rPr>
          <w:szCs w:val="18"/>
        </w:rPr>
        <w:t>rockets</w:t>
      </w:r>
      <w:proofErr w:type="spellEnd"/>
      <w:r w:rsidRPr="00CC2D5C">
        <w:rPr>
          <w:szCs w:val="18"/>
        </w:rPr>
        <w:t xml:space="preserve"> &amp; </w:t>
      </w:r>
      <w:proofErr w:type="spellStart"/>
      <w:r w:rsidRPr="00CC2D5C">
        <w:rPr>
          <w:szCs w:val="18"/>
        </w:rPr>
        <w:t>feathers</w:t>
      </w:r>
      <w:proofErr w:type="spellEnd"/>
      <w:r w:rsidRPr="00CC2D5C">
        <w:rPr>
          <w:szCs w:val="18"/>
        </w:rPr>
        <w:t xml:space="preserve"> zich voordoet op de Nederlandse energiemarkt, waarbij</w:t>
      </w:r>
      <w:r w:rsidRPr="00CC2D5C">
        <w:rPr>
          <w:rFonts w:eastAsia="Verdana" w:cs="Verdana"/>
          <w:szCs w:val="18"/>
        </w:rPr>
        <w:t xml:space="preserve"> bedrijven kostenstijgingen sneller aan de klant doorberekenen dan kostendalingen.</w:t>
      </w:r>
      <w:r w:rsidRPr="00CC2D5C">
        <w:rPr>
          <w:rStyle w:val="Voetnootmarkering"/>
          <w:rFonts w:eastAsia="Verdana" w:cs="Verdana"/>
          <w:szCs w:val="18"/>
        </w:rPr>
        <w:footnoteReference w:id="2"/>
      </w:r>
      <w:r w:rsidRPr="00CC2D5C">
        <w:rPr>
          <w:rFonts w:eastAsia="Verdana" w:cs="Verdana"/>
          <w:szCs w:val="18"/>
        </w:rPr>
        <w:t xml:space="preserve"> Uit dit onderzoek is gebleken dat prijzen meebewegen met de groothandelsmarkt en dat prijzen vooral zijn gestegen door toename in risico’s voor leveranciers. </w:t>
      </w:r>
    </w:p>
    <w:p w:rsidRPr="00CC2D5C" w:rsidR="00CC2D5C" w:rsidP="001735E5" w:rsidRDefault="00CC2D5C" w14:paraId="2F744F9A" w14:textId="77777777">
      <w:pPr>
        <w:rPr>
          <w:rFonts w:eastAsia="Verdana" w:cs="Verdana"/>
          <w:szCs w:val="18"/>
        </w:rPr>
      </w:pPr>
    </w:p>
    <w:p w:rsidRPr="00CC2D5C" w:rsidR="00CC2D5C" w:rsidP="001735E5" w:rsidRDefault="00CC2D5C" w14:paraId="1C1E9087" w14:textId="77777777">
      <w:pPr>
        <w:rPr>
          <w:rFonts w:eastAsia="Verdana" w:cs="Verdana"/>
          <w:szCs w:val="18"/>
        </w:rPr>
      </w:pPr>
      <w:r w:rsidRPr="00CC2D5C">
        <w:rPr>
          <w:rFonts w:eastAsia="Verdana" w:cs="Verdana"/>
          <w:szCs w:val="18"/>
        </w:rPr>
        <w:t xml:space="preserve">Wel kan het zo zijn dat individuele leveranciers hogere prijzen hanteren, gezien leveranciers verschillende bedrijfsmodellen hebben en ook verschillende contracten aanbieden. Daarom loont het voor consumenten om contracten goed te vergelijken, bijvoorbeeld via een </w:t>
      </w:r>
      <w:proofErr w:type="spellStart"/>
      <w:r w:rsidRPr="00CC2D5C">
        <w:rPr>
          <w:rFonts w:eastAsia="Verdana" w:cs="Verdana"/>
          <w:szCs w:val="18"/>
        </w:rPr>
        <w:t>prijsvergelijker</w:t>
      </w:r>
      <w:proofErr w:type="spellEnd"/>
      <w:r w:rsidRPr="00CC2D5C">
        <w:rPr>
          <w:rFonts w:eastAsia="Verdana" w:cs="Verdana"/>
          <w:szCs w:val="18"/>
        </w:rPr>
        <w:t xml:space="preserve">, en over te stappen. </w:t>
      </w:r>
    </w:p>
    <w:p w:rsidRPr="00CC2D5C" w:rsidR="00CC2D5C" w:rsidP="001735E5" w:rsidRDefault="00CC2D5C" w14:paraId="5B9B4CC1" w14:textId="77777777">
      <w:pPr>
        <w:rPr>
          <w:rFonts w:eastAsia="Verdana" w:cs="Verdana"/>
          <w:szCs w:val="18"/>
        </w:rPr>
      </w:pPr>
    </w:p>
    <w:p w:rsidR="001735E5" w:rsidP="001735E5" w:rsidRDefault="00CC2D5C" w14:paraId="0F08AE33" w14:textId="77777777">
      <w:pPr>
        <w:rPr>
          <w:szCs w:val="18"/>
        </w:rPr>
      </w:pPr>
      <w:r w:rsidRPr="00CC2D5C">
        <w:rPr>
          <w:szCs w:val="18"/>
        </w:rPr>
        <w:t>8</w:t>
      </w:r>
    </w:p>
    <w:p w:rsidRPr="00CC2D5C" w:rsidR="00CC2D5C" w:rsidP="001735E5" w:rsidRDefault="00CC2D5C" w14:paraId="6FDC6D6A" w14:textId="21BA9C3E">
      <w:pPr>
        <w:rPr>
          <w:szCs w:val="18"/>
        </w:rPr>
      </w:pPr>
      <w:r w:rsidRPr="00CC2D5C">
        <w:rPr>
          <w:szCs w:val="18"/>
        </w:rPr>
        <w:t>Waarom zijn energieleveranciers op dit moment niet verplicht om hun prijsopbouw en gemiddelde marges per contractvorm transparant te publiceren in een gestandaardiseerd format, zoals in de initiatiefnota wordt voorgesteld?</w:t>
      </w:r>
    </w:p>
    <w:p w:rsidRPr="00CC2D5C" w:rsidR="00CC2D5C" w:rsidP="001735E5" w:rsidRDefault="00CC2D5C" w14:paraId="765E6B86" w14:textId="77777777">
      <w:pPr>
        <w:rPr>
          <w:szCs w:val="18"/>
        </w:rPr>
      </w:pPr>
    </w:p>
    <w:p w:rsidR="001735E5" w:rsidP="001735E5" w:rsidRDefault="00CC2D5C" w14:paraId="51468FF8" w14:textId="77777777">
      <w:pPr>
        <w:rPr>
          <w:szCs w:val="18"/>
        </w:rPr>
      </w:pPr>
      <w:r w:rsidRPr="00CC2D5C">
        <w:rPr>
          <w:szCs w:val="18"/>
        </w:rPr>
        <w:t>9</w:t>
      </w:r>
    </w:p>
    <w:p w:rsidRPr="00CC2D5C" w:rsidR="00CC2D5C" w:rsidP="001735E5" w:rsidRDefault="00CC2D5C" w14:paraId="1F4FE2CD" w14:textId="0A073345">
      <w:pPr>
        <w:rPr>
          <w:szCs w:val="18"/>
        </w:rPr>
      </w:pPr>
      <w:r w:rsidRPr="00CC2D5C">
        <w:rPr>
          <w:szCs w:val="18"/>
        </w:rPr>
        <w:t>Bent u bereid om alsnog over te gaan tot een wettelijke verplichting tot periodieke transparantie over prijsopbouw en marges voor energieleveranciers, vergelijkbaar met het voorstel uit de initiatiefnota (beslispunt 4)?</w:t>
      </w:r>
    </w:p>
    <w:p w:rsidRPr="00CC2D5C" w:rsidR="00CC2D5C" w:rsidP="001735E5" w:rsidRDefault="00CC2D5C" w14:paraId="56BC9455" w14:textId="77777777">
      <w:pPr>
        <w:rPr>
          <w:szCs w:val="18"/>
        </w:rPr>
      </w:pPr>
    </w:p>
    <w:p w:rsidRPr="00CC2D5C" w:rsidR="00CC2D5C" w:rsidP="001735E5" w:rsidRDefault="00CC2D5C" w14:paraId="1B93741F" w14:textId="77777777">
      <w:pPr>
        <w:rPr>
          <w:szCs w:val="18"/>
        </w:rPr>
      </w:pPr>
      <w:r w:rsidRPr="00CC2D5C">
        <w:rPr>
          <w:szCs w:val="18"/>
        </w:rPr>
        <w:t>Antwoord 8 en 9</w:t>
      </w:r>
    </w:p>
    <w:p w:rsidRPr="00CC2D5C" w:rsidR="00CC2D5C" w:rsidP="001735E5" w:rsidRDefault="00CC2D5C" w14:paraId="02DA8AAE" w14:textId="77777777">
      <w:pPr>
        <w:rPr>
          <w:szCs w:val="18"/>
        </w:rPr>
      </w:pPr>
      <w:r w:rsidRPr="00CC2D5C">
        <w:rPr>
          <w:szCs w:val="18"/>
        </w:rPr>
        <w:lastRenderedPageBreak/>
        <w:t>Gedetailleerde prijsopbouw en marges betreft concurrentiegevoelige informatie. Als deze informatie publiek wordt, neemt het risico op (prijs)afstemming toe. Daarom is een dergelijke publicatieverplichting niet wenselijk. Wel kan de ACM bij het huidige tarieventoezicht toezien op verschillende componenten van het gehanteerde tarief. Zo krijgt zij maandelijks informatie over de inkoopkosten, de risicopremies en de brutomarge van energieleveranciers. De tarieven van leveranciers kunnen om verschillende redenen afwijken, het is aan de onafhankelijke toezichthouder ACM om erop toe te zien dat er geen onredelijke tarieven worden gehanteerd.</w:t>
      </w:r>
    </w:p>
    <w:p w:rsidRPr="00CC2D5C" w:rsidR="00CC2D5C" w:rsidP="001735E5" w:rsidRDefault="00CC2D5C" w14:paraId="1506D848" w14:textId="77777777">
      <w:pPr>
        <w:rPr>
          <w:szCs w:val="18"/>
        </w:rPr>
      </w:pPr>
    </w:p>
    <w:p w:rsidRPr="00CC2D5C" w:rsidR="00CC2D5C" w:rsidP="001735E5" w:rsidRDefault="00CC2D5C" w14:paraId="42A3F5EF" w14:textId="77777777">
      <w:pPr>
        <w:rPr>
          <w:szCs w:val="18"/>
        </w:rPr>
      </w:pPr>
      <w:r w:rsidRPr="00CC2D5C">
        <w:rPr>
          <w:szCs w:val="18"/>
        </w:rPr>
        <w:t xml:space="preserve">De Energiewet verplicht leveranciers om de relevante informatie aan te leveren wanneer een tarief wijzigt of er een nieuw product wordt aangeboden, opdat de ACM haar wettelijke taak zorgvuldig kan uitvoeren. Zoals hiervoor benoemd, geldt bovendien dat in de Energiewet is opgenomen dat een energieleverancier die elektriciteit of gas levert aan een consument zijn prijzen en voorwaarden op een dusdanige wijze moet presenteren dat consumenten in staat zijn om voor het sluiten van een overeenkomst prijzen en voorwaarden van verschillende leveranciers onderling te vergelijken. Deze grondslagen zorgen er tezamen voor dat transparantie over prijsopbouw voldoende geborgd is in de Energiewet. </w:t>
      </w:r>
    </w:p>
    <w:p w:rsidRPr="00CC2D5C" w:rsidR="00CC2D5C" w:rsidP="001735E5" w:rsidRDefault="00CC2D5C" w14:paraId="271EB003" w14:textId="77777777">
      <w:pPr>
        <w:rPr>
          <w:szCs w:val="18"/>
        </w:rPr>
      </w:pPr>
    </w:p>
    <w:p w:rsidR="001735E5" w:rsidP="001735E5" w:rsidRDefault="00CC2D5C" w14:paraId="42483097" w14:textId="77777777">
      <w:pPr>
        <w:rPr>
          <w:szCs w:val="18"/>
        </w:rPr>
      </w:pPr>
      <w:r w:rsidRPr="00CC2D5C">
        <w:rPr>
          <w:szCs w:val="18"/>
        </w:rPr>
        <w:t>10</w:t>
      </w:r>
    </w:p>
    <w:p w:rsidRPr="00CC2D5C" w:rsidR="00CC2D5C" w:rsidP="001735E5" w:rsidRDefault="00CC2D5C" w14:paraId="5F5322ED" w14:textId="3AAAB756">
      <w:pPr>
        <w:rPr>
          <w:szCs w:val="18"/>
        </w:rPr>
      </w:pPr>
      <w:r w:rsidRPr="00CC2D5C">
        <w:rPr>
          <w:szCs w:val="18"/>
        </w:rPr>
        <w:t>Wat doet de ACM momenteel met de constateringen over deze dure leveranciers? Wordt hierop gehandhaafd, en zo ja, op welke wijze?</w:t>
      </w:r>
    </w:p>
    <w:p w:rsidRPr="00CC2D5C" w:rsidR="00CC2D5C" w:rsidP="001735E5" w:rsidRDefault="00CC2D5C" w14:paraId="136FD503" w14:textId="77777777">
      <w:pPr>
        <w:rPr>
          <w:szCs w:val="18"/>
        </w:rPr>
      </w:pPr>
    </w:p>
    <w:p w:rsidRPr="00CC2D5C" w:rsidR="00CC2D5C" w:rsidP="001735E5" w:rsidRDefault="00CC2D5C" w14:paraId="444B91AE" w14:textId="77777777">
      <w:pPr>
        <w:rPr>
          <w:szCs w:val="18"/>
        </w:rPr>
      </w:pPr>
      <w:r w:rsidRPr="00CC2D5C">
        <w:rPr>
          <w:szCs w:val="18"/>
        </w:rPr>
        <w:t>Antwoord</w:t>
      </w:r>
    </w:p>
    <w:p w:rsidRPr="00CC2D5C" w:rsidR="00CC2D5C" w:rsidP="001735E5" w:rsidRDefault="00CC2D5C" w14:paraId="2220A5E4" w14:textId="77777777">
      <w:pPr>
        <w:rPr>
          <w:szCs w:val="18"/>
        </w:rPr>
      </w:pPr>
      <w:r w:rsidRPr="00CC2D5C">
        <w:rPr>
          <w:szCs w:val="18"/>
        </w:rPr>
        <w:t xml:space="preserve">Het uitgangspunt van de regelgeving en het toezicht van de ACM is dat energieleveranciers de kosten die zij maken, mogen doorberekenen aan hun klanten. Zij mogen hierbij zelf hun prijs bepalen, mits deze redelijk is. De ACM kan handhavend optreden bij onredelijke tarieven, daartoe kan de ACM verschillende instrumenten inzetten, zoals een bindende aanwijzing of een boete. Hierbij speelt mede een rol hoeveel klanten op een bepaald contract zitten.  </w:t>
      </w:r>
    </w:p>
    <w:p w:rsidRPr="00CC2D5C" w:rsidR="00CC2D5C" w:rsidP="001735E5" w:rsidRDefault="00CC2D5C" w14:paraId="5988E1F6" w14:textId="77777777"/>
    <w:p w:rsidR="001735E5" w:rsidP="001735E5" w:rsidRDefault="00CC2D5C" w14:paraId="4748C41E" w14:textId="77777777">
      <w:pPr>
        <w:rPr>
          <w:szCs w:val="18"/>
        </w:rPr>
      </w:pPr>
      <w:r w:rsidRPr="00CC2D5C">
        <w:rPr>
          <w:szCs w:val="18"/>
        </w:rPr>
        <w:t>11</w:t>
      </w:r>
    </w:p>
    <w:p w:rsidRPr="00CC2D5C" w:rsidR="00CC2D5C" w:rsidP="001735E5" w:rsidRDefault="00CC2D5C" w14:paraId="16FAE5E5" w14:textId="27496F8A">
      <w:pPr>
        <w:rPr>
          <w:szCs w:val="18"/>
        </w:rPr>
      </w:pPr>
      <w:r w:rsidRPr="00CC2D5C">
        <w:rPr>
          <w:szCs w:val="18"/>
        </w:rPr>
        <w:t>Bent u bereid een maximale marge of prijsplafond te overwegen voor modelcontracten in de</w:t>
      </w:r>
      <w:r w:rsidR="00332386">
        <w:rPr>
          <w:szCs w:val="18"/>
        </w:rPr>
        <w:t xml:space="preserve"> </w:t>
      </w:r>
      <w:r w:rsidRPr="00CC2D5C">
        <w:rPr>
          <w:szCs w:val="18"/>
        </w:rPr>
        <w:t>energiemarkt, gezien het gebrek aan transparantie en het maatschappelijke belang van toegang tot betaalbare energie?</w:t>
      </w:r>
    </w:p>
    <w:p w:rsidRPr="00CC2D5C" w:rsidR="00CC2D5C" w:rsidP="001735E5" w:rsidRDefault="00CC2D5C" w14:paraId="32523AC3" w14:textId="77777777">
      <w:pPr>
        <w:rPr>
          <w:szCs w:val="18"/>
        </w:rPr>
      </w:pPr>
    </w:p>
    <w:p w:rsidRPr="00CC2D5C" w:rsidR="00CC2D5C" w:rsidP="001735E5" w:rsidRDefault="00CC2D5C" w14:paraId="17A52A00" w14:textId="77777777">
      <w:pPr>
        <w:rPr>
          <w:szCs w:val="18"/>
        </w:rPr>
      </w:pPr>
      <w:r w:rsidRPr="00CC2D5C">
        <w:rPr>
          <w:szCs w:val="18"/>
        </w:rPr>
        <w:t>Antwoord</w:t>
      </w:r>
    </w:p>
    <w:p w:rsidRPr="00CC2D5C" w:rsidR="00CC2D5C" w:rsidP="001735E5" w:rsidRDefault="00CC2D5C" w14:paraId="36490FB4" w14:textId="02741582">
      <w:pPr>
        <w:rPr>
          <w:szCs w:val="18"/>
        </w:rPr>
      </w:pPr>
      <w:r w:rsidRPr="00CC2D5C">
        <w:rPr>
          <w:szCs w:val="18"/>
        </w:rPr>
        <w:t xml:space="preserve">Het principe van de introductie van het modelcontract, dat door alle </w:t>
      </w:r>
      <w:proofErr w:type="spellStart"/>
      <w:r w:rsidRPr="00CC2D5C">
        <w:rPr>
          <w:szCs w:val="18"/>
        </w:rPr>
        <w:t>vergunninghoudende</w:t>
      </w:r>
      <w:proofErr w:type="spellEnd"/>
      <w:r w:rsidRPr="00CC2D5C">
        <w:rPr>
          <w:szCs w:val="18"/>
        </w:rPr>
        <w:t xml:space="preserve"> energieleveranciers aan kleinverbruikers wordt aangeboden, is dat er voor consumenten een basis in de markt is aan vergelijkbare energiecontracten. Transparantie staat daarbij voorop: het modelcontract bevat voor elke leverancier dezelfde voorwaarden. Omdat in de modelcontracten geen ruimte is voor energieleveranciers voor eigen invulling, bijvoorbeeld ten aanzien van frequentie van tariefwijzigingen, biedt deze contractvorm minder kansen ten aanzien van concurrentie tussen energieleveranciers, waardoor de tarieven hoger kunnen uitvallen. Net als bij alle andere contractvormen, ziet de ACM erop toe of de tarieven in de modelcontracten redelijk zijn.</w:t>
      </w:r>
    </w:p>
    <w:p w:rsidRPr="00CC2D5C" w:rsidR="00CC2D5C" w:rsidP="001735E5" w:rsidRDefault="00CC2D5C" w14:paraId="2BEC2DBB" w14:textId="77777777">
      <w:pPr>
        <w:rPr>
          <w:szCs w:val="18"/>
        </w:rPr>
      </w:pPr>
    </w:p>
    <w:p w:rsidRPr="00CC2D5C" w:rsidR="00CC2D5C" w:rsidP="001735E5" w:rsidRDefault="00CC2D5C" w14:paraId="1EA32166" w14:textId="77777777">
      <w:pPr>
        <w:rPr>
          <w:szCs w:val="18"/>
        </w:rPr>
      </w:pPr>
      <w:r w:rsidRPr="00CC2D5C">
        <w:rPr>
          <w:szCs w:val="18"/>
        </w:rPr>
        <w:lastRenderedPageBreak/>
        <w:t xml:space="preserve">Het opleggen van een maximale marge of prijsplafond is strijdig met de Europese regelgeving over energiemarkten gezien dit niet passend is binnen het principe van vrije prijsvorming. </w:t>
      </w:r>
    </w:p>
    <w:p w:rsidRPr="00CC2D5C" w:rsidR="00CC2D5C" w:rsidP="001735E5" w:rsidRDefault="00CC2D5C" w14:paraId="7344FDF3" w14:textId="77777777">
      <w:pPr>
        <w:rPr>
          <w:szCs w:val="18"/>
        </w:rPr>
      </w:pPr>
    </w:p>
    <w:p w:rsidR="001735E5" w:rsidP="001735E5" w:rsidRDefault="00CC2D5C" w14:paraId="27EFC512" w14:textId="77777777">
      <w:pPr>
        <w:rPr>
          <w:szCs w:val="18"/>
        </w:rPr>
      </w:pPr>
      <w:r w:rsidRPr="00CC2D5C">
        <w:rPr>
          <w:szCs w:val="18"/>
        </w:rPr>
        <w:t>12</w:t>
      </w:r>
    </w:p>
    <w:p w:rsidRPr="00CC2D5C" w:rsidR="00CC2D5C" w:rsidP="001735E5" w:rsidRDefault="00CC2D5C" w14:paraId="38CF4073" w14:textId="0947F0DB">
      <w:pPr>
        <w:rPr>
          <w:szCs w:val="18"/>
        </w:rPr>
      </w:pPr>
      <w:r w:rsidRPr="00CC2D5C">
        <w:rPr>
          <w:szCs w:val="18"/>
        </w:rPr>
        <w:t>Bent u voornemens om structureel maandelijks een overzicht te publiceren van deze prijsverschillen, niet alleen ter vergelijking, maar met vermelding van gemiddelde marges en beleidsaanbevelingen? Zo nee, waarom niet?</w:t>
      </w:r>
    </w:p>
    <w:p w:rsidRPr="00CC2D5C" w:rsidR="00CC2D5C" w:rsidP="001735E5" w:rsidRDefault="00CC2D5C" w14:paraId="01E84849" w14:textId="77777777">
      <w:pPr>
        <w:rPr>
          <w:szCs w:val="18"/>
        </w:rPr>
      </w:pPr>
    </w:p>
    <w:p w:rsidRPr="00CC2D5C" w:rsidR="00CC2D5C" w:rsidP="001735E5" w:rsidRDefault="00CC2D5C" w14:paraId="2661CB65" w14:textId="7B770E41">
      <w:pPr>
        <w:rPr>
          <w:szCs w:val="18"/>
        </w:rPr>
      </w:pPr>
      <w:r w:rsidRPr="00CC2D5C">
        <w:rPr>
          <w:szCs w:val="18"/>
        </w:rPr>
        <w:t>Antwoord</w:t>
      </w:r>
      <w:r w:rsidRPr="00CC2D5C">
        <w:br/>
      </w:r>
      <w:r w:rsidRPr="00CC2D5C">
        <w:rPr>
          <w:szCs w:val="18"/>
        </w:rPr>
        <w:t xml:space="preserve">De maandelijkse Energiemonitor van de ACM voorziet hier reeds in. In deze maandelijkse Energiemonitor worden maandelijks diverse marktontwikkelingen gepresenteerd, zoals prijsverschillen tussen energiecontracten, maar ook de kostenopbouw van energiecontracten. </w:t>
      </w:r>
    </w:p>
    <w:sectPr w:rsidRPr="00CC2D5C" w:rsidR="00CC2D5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D989" w14:textId="77777777" w:rsidR="009A690B" w:rsidRDefault="009A690B">
      <w:r>
        <w:separator/>
      </w:r>
    </w:p>
    <w:p w14:paraId="4E5B145E" w14:textId="77777777" w:rsidR="009A690B" w:rsidRDefault="009A690B"/>
  </w:endnote>
  <w:endnote w:type="continuationSeparator" w:id="0">
    <w:p w14:paraId="21749154" w14:textId="77777777" w:rsidR="009A690B" w:rsidRDefault="009A690B">
      <w:r>
        <w:continuationSeparator/>
      </w:r>
    </w:p>
    <w:p w14:paraId="0FF7FFFC" w14:textId="77777777" w:rsidR="009A690B" w:rsidRDefault="009A6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4E5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B4289" w14:paraId="75CBAF6D" w14:textId="77777777" w:rsidTr="00CA6A25">
      <w:trPr>
        <w:trHeight w:hRule="exact" w:val="240"/>
      </w:trPr>
      <w:tc>
        <w:tcPr>
          <w:tcW w:w="7601" w:type="dxa"/>
          <w:shd w:val="clear" w:color="auto" w:fill="auto"/>
        </w:tcPr>
        <w:p w14:paraId="36797876" w14:textId="77777777" w:rsidR="00527BD4" w:rsidRDefault="00527BD4" w:rsidP="003F1F6B">
          <w:pPr>
            <w:pStyle w:val="Huisstijl-Rubricering"/>
          </w:pPr>
        </w:p>
      </w:tc>
      <w:tc>
        <w:tcPr>
          <w:tcW w:w="2156" w:type="dxa"/>
        </w:tcPr>
        <w:p w14:paraId="6D0F0F52" w14:textId="39D89B93" w:rsidR="00527BD4" w:rsidRPr="00645414" w:rsidRDefault="00CC2D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21568">
              <w:t>7</w:t>
            </w:r>
          </w:fldSimple>
        </w:p>
      </w:tc>
    </w:tr>
  </w:tbl>
  <w:p w14:paraId="2215E58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B4289" w14:paraId="45ECFAA9" w14:textId="77777777" w:rsidTr="00CA6A25">
      <w:trPr>
        <w:trHeight w:hRule="exact" w:val="240"/>
      </w:trPr>
      <w:tc>
        <w:tcPr>
          <w:tcW w:w="7601" w:type="dxa"/>
          <w:shd w:val="clear" w:color="auto" w:fill="auto"/>
        </w:tcPr>
        <w:p w14:paraId="7A7FC129" w14:textId="77777777" w:rsidR="00527BD4" w:rsidRDefault="00527BD4" w:rsidP="008C356D">
          <w:pPr>
            <w:pStyle w:val="Huisstijl-Rubricering"/>
          </w:pPr>
        </w:p>
      </w:tc>
      <w:tc>
        <w:tcPr>
          <w:tcW w:w="2170" w:type="dxa"/>
        </w:tcPr>
        <w:p w14:paraId="122238E2" w14:textId="43000C85" w:rsidR="00527BD4" w:rsidRPr="00ED539E" w:rsidRDefault="00CC2D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21568">
              <w:t>7</w:t>
            </w:r>
          </w:fldSimple>
        </w:p>
      </w:tc>
    </w:tr>
  </w:tbl>
  <w:p w14:paraId="2F5906F4" w14:textId="77777777" w:rsidR="00527BD4" w:rsidRPr="00BC3B53" w:rsidRDefault="00527BD4" w:rsidP="008C356D">
    <w:pPr>
      <w:pStyle w:val="Voettekst"/>
      <w:spacing w:line="240" w:lineRule="auto"/>
      <w:rPr>
        <w:sz w:val="2"/>
        <w:szCs w:val="2"/>
      </w:rPr>
    </w:pPr>
  </w:p>
  <w:p w14:paraId="056C852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DA2F" w14:textId="77777777" w:rsidR="009A690B" w:rsidRDefault="009A690B">
      <w:r>
        <w:separator/>
      </w:r>
    </w:p>
    <w:p w14:paraId="4F42EFE0" w14:textId="77777777" w:rsidR="009A690B" w:rsidRDefault="009A690B"/>
  </w:footnote>
  <w:footnote w:type="continuationSeparator" w:id="0">
    <w:p w14:paraId="56B4CB90" w14:textId="77777777" w:rsidR="009A690B" w:rsidRDefault="009A690B">
      <w:r>
        <w:continuationSeparator/>
      </w:r>
    </w:p>
    <w:p w14:paraId="70F24487" w14:textId="77777777" w:rsidR="009A690B" w:rsidRDefault="009A690B"/>
  </w:footnote>
  <w:footnote w:id="1">
    <w:p w14:paraId="294B0967" w14:textId="77777777" w:rsidR="00CC2D5C" w:rsidRDefault="00CC2D5C" w:rsidP="00CC2D5C">
      <w:pPr>
        <w:pStyle w:val="Voetnoottekst"/>
      </w:pPr>
      <w:r w:rsidRPr="6E88B490">
        <w:rPr>
          <w:rStyle w:val="Voetnootmarkering"/>
        </w:rPr>
        <w:footnoteRef/>
      </w:r>
      <w:r>
        <w:t xml:space="preserve"> ACM, 4 mi 2023, documentnummer ACM/</w:t>
      </w:r>
      <w:r w:rsidRPr="00EA3063">
        <w:t>UIT/595561</w:t>
      </w:r>
      <w:r>
        <w:t xml:space="preserve"> ‘</w:t>
      </w:r>
      <w:hyperlink r:id="rId1">
        <w:r w:rsidRPr="6E88B490">
          <w:rPr>
            <w:rStyle w:val="Hyperlink"/>
          </w:rPr>
          <w:t xml:space="preserve">Geen onredelijke prijzen Budget Thuis, </w:t>
        </w:r>
        <w:proofErr w:type="spellStart"/>
        <w:r w:rsidRPr="6E88B490">
          <w:rPr>
            <w:rStyle w:val="Hyperlink"/>
          </w:rPr>
          <w:t>Greenchoice</w:t>
        </w:r>
        <w:proofErr w:type="spellEnd"/>
        <w:r w:rsidRPr="6E88B490">
          <w:rPr>
            <w:rStyle w:val="Hyperlink"/>
          </w:rPr>
          <w:t xml:space="preserve"> en ENGIE</w:t>
        </w:r>
      </w:hyperlink>
      <w:r>
        <w:t xml:space="preserve">’, </w:t>
      </w:r>
      <w:r w:rsidRPr="6E88B490">
        <w:t>en</w:t>
      </w:r>
      <w:r>
        <w:t xml:space="preserve"> ACM, 1 mei 2023, ‘</w:t>
      </w:r>
      <w:hyperlink r:id="rId2" w:history="1">
        <w:r w:rsidRPr="00577F1C">
          <w:rPr>
            <w:rStyle w:val="Hyperlink"/>
          </w:rPr>
          <w:t>https://www.acm.nl/nl/publicaties/acm-3-grootste-energieleveranciers-hanteren-geen-onredelijke-tarieven</w:t>
        </w:r>
      </w:hyperlink>
      <w:r>
        <w:t xml:space="preserve">’. </w:t>
      </w:r>
    </w:p>
  </w:footnote>
  <w:footnote w:id="2">
    <w:p w14:paraId="3EB47F6C" w14:textId="77777777" w:rsidR="00CC2D5C" w:rsidRDefault="00CC2D5C" w:rsidP="00CC2D5C">
      <w:pPr>
        <w:pStyle w:val="Voetnoottekst"/>
      </w:pPr>
      <w:r w:rsidRPr="6E88B490">
        <w:rPr>
          <w:rStyle w:val="Voetnootmarkering"/>
        </w:rPr>
        <w:footnoteRef/>
      </w:r>
      <w:r>
        <w:t xml:space="preserve"> ACM, 29 oktober 2024, ‘</w:t>
      </w:r>
      <w:r w:rsidRPr="00C51D98">
        <w:t>Geen abnormale winsten energieleveranciers tijdens energiecrisis</w:t>
      </w:r>
      <w:r>
        <w:t>’ (</w:t>
      </w:r>
      <w:proofErr w:type="spellStart"/>
      <w:r>
        <w:fldChar w:fldCharType="begin"/>
      </w:r>
      <w:r>
        <w:instrText>HYPERLINK "https://www.acm.nl/system/files/documents/rockets-feathers-onderzoek-energiemarkt-acm.pdf" \h</w:instrText>
      </w:r>
      <w:r>
        <w:fldChar w:fldCharType="separate"/>
      </w:r>
      <w:r w:rsidRPr="6E88B490">
        <w:rPr>
          <w:rStyle w:val="Hyperlink"/>
        </w:rPr>
        <w:t>Rockets Feathers Onderzoek Energiemarkt ACM webteam.</w:t>
      </w:r>
      <w:r>
        <w:fldChar w:fldCharType="end"/>
      </w:r>
      <w:proofErr w:type="spellEnd"/>
      <w:r>
        <w:t>)</w:t>
      </w:r>
      <w:r w:rsidRPr="6E88B4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B4289" w14:paraId="0107C8AA" w14:textId="77777777" w:rsidTr="00A50CF6">
      <w:tc>
        <w:tcPr>
          <w:tcW w:w="2156" w:type="dxa"/>
          <w:shd w:val="clear" w:color="auto" w:fill="auto"/>
        </w:tcPr>
        <w:p w14:paraId="7AF41648" w14:textId="77777777" w:rsidR="00527BD4" w:rsidRPr="005819CE" w:rsidRDefault="00CC2D5C" w:rsidP="00A50CF6">
          <w:pPr>
            <w:pStyle w:val="Huisstijl-Adres"/>
            <w:rPr>
              <w:b/>
            </w:rPr>
          </w:pPr>
          <w:r>
            <w:rPr>
              <w:b/>
            </w:rPr>
            <w:t>Directoraat-generaal Klimaat en Energie</w:t>
          </w:r>
          <w:r w:rsidRPr="005819CE">
            <w:rPr>
              <w:b/>
            </w:rPr>
            <w:br/>
          </w:r>
          <w:r>
            <w:t>Directie Energiemarkt</w:t>
          </w:r>
        </w:p>
      </w:tc>
    </w:tr>
    <w:tr w:rsidR="006B4289" w14:paraId="690CE8F8" w14:textId="77777777" w:rsidTr="00A50CF6">
      <w:trPr>
        <w:trHeight w:hRule="exact" w:val="200"/>
      </w:trPr>
      <w:tc>
        <w:tcPr>
          <w:tcW w:w="2156" w:type="dxa"/>
          <w:shd w:val="clear" w:color="auto" w:fill="auto"/>
        </w:tcPr>
        <w:p w14:paraId="22A9D995" w14:textId="77777777" w:rsidR="00527BD4" w:rsidRPr="005819CE" w:rsidRDefault="00527BD4" w:rsidP="00A50CF6"/>
      </w:tc>
    </w:tr>
    <w:tr w:rsidR="006B4289" w14:paraId="3086E232" w14:textId="77777777" w:rsidTr="00502512">
      <w:trPr>
        <w:trHeight w:hRule="exact" w:val="774"/>
      </w:trPr>
      <w:tc>
        <w:tcPr>
          <w:tcW w:w="2156" w:type="dxa"/>
          <w:shd w:val="clear" w:color="auto" w:fill="auto"/>
        </w:tcPr>
        <w:p w14:paraId="2F524E25" w14:textId="77777777" w:rsidR="00527BD4" w:rsidRDefault="00CC2D5C" w:rsidP="003A5290">
          <w:pPr>
            <w:pStyle w:val="Huisstijl-Kopje"/>
          </w:pPr>
          <w:r>
            <w:t>Ons kenmerk</w:t>
          </w:r>
        </w:p>
        <w:p w14:paraId="038CADB9" w14:textId="56CC59F5" w:rsidR="00502512" w:rsidRPr="00502512" w:rsidRDefault="00CC2D5C" w:rsidP="003A5290">
          <w:pPr>
            <w:pStyle w:val="Huisstijl-Kopje"/>
            <w:rPr>
              <w:b w:val="0"/>
            </w:rPr>
          </w:pPr>
          <w:r>
            <w:rPr>
              <w:b w:val="0"/>
            </w:rPr>
            <w:t>DGKE-DE</w:t>
          </w:r>
          <w:r w:rsidRPr="00502512">
            <w:rPr>
              <w:b w:val="0"/>
            </w:rPr>
            <w:t xml:space="preserve"> / </w:t>
          </w:r>
          <w:sdt>
            <w:sdtPr>
              <w:rPr>
                <w:b w:val="0"/>
              </w:rPr>
              <w:alias w:val="documentId"/>
              <w:id w:val="762191242"/>
              <w:placeholder>
                <w:docPart w:val="DefaultPlaceholder_-1854013440"/>
              </w:placeholder>
            </w:sdtPr>
            <w:sdtEndPr/>
            <w:sdtContent>
              <w:r w:rsidR="001735E5" w:rsidRPr="001735E5">
                <w:rPr>
                  <w:b w:val="0"/>
                </w:rPr>
                <w:t>98921108</w:t>
              </w:r>
            </w:sdtContent>
          </w:sdt>
        </w:p>
        <w:p w14:paraId="46F1423C" w14:textId="77777777" w:rsidR="00527BD4" w:rsidRPr="005819CE" w:rsidRDefault="00527BD4" w:rsidP="00361A56">
          <w:pPr>
            <w:pStyle w:val="Huisstijl-Kopje"/>
          </w:pPr>
        </w:p>
      </w:tc>
    </w:tr>
  </w:tbl>
  <w:p w14:paraId="41A06F4E" w14:textId="77777777" w:rsidR="00527BD4" w:rsidRDefault="00527BD4" w:rsidP="008C356D">
    <w:pPr>
      <w:pStyle w:val="Koptekst"/>
      <w:rPr>
        <w:rFonts w:cs="Verdana-Bold"/>
        <w:b/>
        <w:bCs/>
        <w:smallCaps/>
        <w:szCs w:val="18"/>
      </w:rPr>
    </w:pPr>
  </w:p>
  <w:p w14:paraId="42DAE6B1" w14:textId="77777777" w:rsidR="00527BD4" w:rsidRDefault="00527BD4" w:rsidP="008C356D"/>
  <w:p w14:paraId="62D0E898" w14:textId="77777777" w:rsidR="00527BD4" w:rsidRPr="00740712" w:rsidRDefault="00527BD4" w:rsidP="008C356D"/>
  <w:p w14:paraId="0377F653" w14:textId="77777777" w:rsidR="00527BD4" w:rsidRPr="00217880" w:rsidRDefault="00527BD4" w:rsidP="008C356D">
    <w:pPr>
      <w:spacing w:line="0" w:lineRule="atLeast"/>
      <w:rPr>
        <w:sz w:val="2"/>
        <w:szCs w:val="2"/>
      </w:rPr>
    </w:pPr>
  </w:p>
  <w:p w14:paraId="2C317F3B" w14:textId="77777777" w:rsidR="00527BD4" w:rsidRDefault="00527BD4" w:rsidP="004F44C2">
    <w:pPr>
      <w:pStyle w:val="Koptekst"/>
      <w:rPr>
        <w:rFonts w:cs="Verdana-Bold"/>
        <w:b/>
        <w:bCs/>
        <w:smallCaps/>
        <w:szCs w:val="18"/>
      </w:rPr>
    </w:pPr>
  </w:p>
  <w:p w14:paraId="01EAD34D" w14:textId="77777777" w:rsidR="00527BD4" w:rsidRDefault="00527BD4" w:rsidP="004F44C2"/>
  <w:p w14:paraId="28B8F4C9" w14:textId="77777777" w:rsidR="00527BD4" w:rsidRPr="00740712" w:rsidRDefault="00527BD4" w:rsidP="004F44C2"/>
  <w:p w14:paraId="5A93854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B4289" w14:paraId="5FFE5E46" w14:textId="77777777" w:rsidTr="00751A6A">
      <w:trPr>
        <w:trHeight w:val="2636"/>
      </w:trPr>
      <w:tc>
        <w:tcPr>
          <w:tcW w:w="737" w:type="dxa"/>
          <w:shd w:val="clear" w:color="auto" w:fill="auto"/>
        </w:tcPr>
        <w:p w14:paraId="03C35B8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89A9092" w14:textId="77777777" w:rsidR="00527BD4" w:rsidRDefault="00CC2D5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6E479B0" wp14:editId="661D3AE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CA92507" w14:textId="77777777" w:rsidR="00F4553F" w:rsidRDefault="00F4553F" w:rsidP="00651CEE">
          <w:pPr>
            <w:framePr w:w="6340" w:h="2750" w:hRule="exact" w:hSpace="180" w:wrap="around" w:vAnchor="page" w:hAnchor="text" w:x="3873" w:y="-140"/>
            <w:spacing w:line="240" w:lineRule="auto"/>
          </w:pPr>
        </w:p>
      </w:tc>
    </w:tr>
  </w:tbl>
  <w:p w14:paraId="3C739060" w14:textId="77777777" w:rsidR="00527BD4" w:rsidRDefault="00527BD4" w:rsidP="00D0609E">
    <w:pPr>
      <w:framePr w:w="6340" w:h="2750" w:hRule="exact" w:hSpace="180" w:wrap="around" w:vAnchor="page" w:hAnchor="text" w:x="3873" w:y="-140"/>
    </w:pPr>
  </w:p>
  <w:p w14:paraId="387690C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B4289" w:rsidRPr="00CC2D5C" w14:paraId="1255BCBD" w14:textId="77777777" w:rsidTr="00A50CF6">
      <w:tc>
        <w:tcPr>
          <w:tcW w:w="2160" w:type="dxa"/>
          <w:shd w:val="clear" w:color="auto" w:fill="auto"/>
        </w:tcPr>
        <w:p w14:paraId="379C532B" w14:textId="77777777" w:rsidR="00527BD4" w:rsidRPr="005819CE" w:rsidRDefault="00CC2D5C" w:rsidP="00A50CF6">
          <w:pPr>
            <w:pStyle w:val="Huisstijl-Adres"/>
            <w:rPr>
              <w:b/>
            </w:rPr>
          </w:pPr>
          <w:r>
            <w:rPr>
              <w:b/>
            </w:rPr>
            <w:t>Directoraat-generaal Klimaat en Energie</w:t>
          </w:r>
          <w:r w:rsidRPr="005819CE">
            <w:rPr>
              <w:b/>
            </w:rPr>
            <w:br/>
          </w:r>
          <w:r>
            <w:t>Directie Energiemarkt</w:t>
          </w:r>
        </w:p>
        <w:p w14:paraId="032F79A8" w14:textId="77777777" w:rsidR="00527BD4" w:rsidRPr="00BE5ED9" w:rsidRDefault="00CC2D5C" w:rsidP="00A50CF6">
          <w:pPr>
            <w:pStyle w:val="Huisstijl-Adres"/>
          </w:pPr>
          <w:r>
            <w:rPr>
              <w:b/>
            </w:rPr>
            <w:t>Bezoekadres</w:t>
          </w:r>
          <w:r>
            <w:rPr>
              <w:b/>
            </w:rPr>
            <w:br/>
          </w:r>
          <w:r>
            <w:t>Bezuidenhoutseweg 73</w:t>
          </w:r>
          <w:r w:rsidRPr="005819CE">
            <w:br/>
          </w:r>
          <w:r>
            <w:t>2594 AC Den Haag</w:t>
          </w:r>
        </w:p>
        <w:p w14:paraId="4F5ADE20" w14:textId="77777777" w:rsidR="00EF495B" w:rsidRDefault="00CC2D5C" w:rsidP="0098788A">
          <w:pPr>
            <w:pStyle w:val="Huisstijl-Adres"/>
          </w:pPr>
          <w:r>
            <w:rPr>
              <w:b/>
            </w:rPr>
            <w:t>Postadres</w:t>
          </w:r>
          <w:r>
            <w:rPr>
              <w:b/>
            </w:rPr>
            <w:br/>
          </w:r>
          <w:r>
            <w:t>Postbus 20401</w:t>
          </w:r>
          <w:r w:rsidRPr="005819CE">
            <w:br/>
            <w:t>2500 E</w:t>
          </w:r>
          <w:r>
            <w:t>K</w:t>
          </w:r>
          <w:r w:rsidRPr="005819CE">
            <w:t xml:space="preserve"> Den Haag</w:t>
          </w:r>
        </w:p>
        <w:p w14:paraId="6C083F07" w14:textId="77777777" w:rsidR="00EF495B" w:rsidRPr="005B3814" w:rsidRDefault="00CC2D5C" w:rsidP="0098788A">
          <w:pPr>
            <w:pStyle w:val="Huisstijl-Adres"/>
          </w:pPr>
          <w:r>
            <w:rPr>
              <w:b/>
            </w:rPr>
            <w:t>Overheidsidentificatienr</w:t>
          </w:r>
          <w:r>
            <w:rPr>
              <w:b/>
            </w:rPr>
            <w:br/>
          </w:r>
          <w:r w:rsidR="002D0DDB" w:rsidRPr="002D0DDB">
            <w:t>00000003952069570000</w:t>
          </w:r>
        </w:p>
        <w:p w14:paraId="1366D260" w14:textId="77777777" w:rsidR="00EF495B" w:rsidRPr="0079551B" w:rsidRDefault="00CC2D5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4F588792" w14:textId="571D0BE5" w:rsidR="00527BD4" w:rsidRPr="00CC2D5C" w:rsidRDefault="00527BD4" w:rsidP="00A50CF6">
          <w:pPr>
            <w:pStyle w:val="Huisstijl-Adres"/>
          </w:pPr>
        </w:p>
      </w:tc>
    </w:tr>
    <w:tr w:rsidR="006B4289" w:rsidRPr="00CC2D5C" w14:paraId="089490E0" w14:textId="77777777" w:rsidTr="00A50CF6">
      <w:trPr>
        <w:trHeight w:hRule="exact" w:val="200"/>
      </w:trPr>
      <w:tc>
        <w:tcPr>
          <w:tcW w:w="2160" w:type="dxa"/>
          <w:shd w:val="clear" w:color="auto" w:fill="auto"/>
        </w:tcPr>
        <w:p w14:paraId="7E366A2F" w14:textId="77777777" w:rsidR="00527BD4" w:rsidRPr="00CC2D5C" w:rsidRDefault="00527BD4" w:rsidP="00A50CF6"/>
      </w:tc>
    </w:tr>
    <w:tr w:rsidR="006B4289" w14:paraId="763DD9B1" w14:textId="77777777" w:rsidTr="00A50CF6">
      <w:tc>
        <w:tcPr>
          <w:tcW w:w="2160" w:type="dxa"/>
          <w:shd w:val="clear" w:color="auto" w:fill="auto"/>
        </w:tcPr>
        <w:p w14:paraId="4686A855" w14:textId="77777777" w:rsidR="000C0163" w:rsidRPr="005819CE" w:rsidRDefault="00CC2D5C" w:rsidP="000C0163">
          <w:pPr>
            <w:pStyle w:val="Huisstijl-Kopje"/>
          </w:pPr>
          <w:r>
            <w:t>Ons kenmerk</w:t>
          </w:r>
          <w:r w:rsidRPr="005819CE">
            <w:t xml:space="preserve"> </w:t>
          </w:r>
        </w:p>
        <w:p w14:paraId="36F49F3E" w14:textId="5AFA4513" w:rsidR="000C0163" w:rsidRPr="005819CE" w:rsidRDefault="00CC2D5C" w:rsidP="000C0163">
          <w:pPr>
            <w:pStyle w:val="Huisstijl-Gegeven"/>
          </w:pPr>
          <w:r>
            <w:t>DGKE-DE</w:t>
          </w:r>
          <w:r w:rsidR="00926AE2">
            <w:t xml:space="preserve"> /</w:t>
          </w:r>
          <w:r w:rsidR="00EB4E8D">
            <w:t xml:space="preserve"> </w:t>
          </w:r>
          <w:r w:rsidR="001735E5" w:rsidRPr="001735E5">
            <w:t>98921108</w:t>
          </w:r>
        </w:p>
        <w:p w14:paraId="618DE99C" w14:textId="77777777" w:rsidR="00527BD4" w:rsidRPr="005819CE" w:rsidRDefault="00CC2D5C" w:rsidP="00A50CF6">
          <w:pPr>
            <w:pStyle w:val="Huisstijl-Kopje"/>
          </w:pPr>
          <w:r>
            <w:t>Uw kenmerk</w:t>
          </w:r>
        </w:p>
        <w:p w14:paraId="1C47E894" w14:textId="77777777" w:rsidR="00527BD4" w:rsidRPr="005819CE" w:rsidRDefault="00CC2D5C" w:rsidP="00A50CF6">
          <w:pPr>
            <w:pStyle w:val="Huisstijl-Gegeven"/>
          </w:pPr>
          <w:r>
            <w:t>2025Z07629</w:t>
          </w:r>
        </w:p>
        <w:p w14:paraId="0B4BCE81" w14:textId="77777777" w:rsidR="00527BD4" w:rsidRPr="005819CE" w:rsidRDefault="00527BD4" w:rsidP="001735E5">
          <w:pPr>
            <w:pStyle w:val="Huisstijl-Kopje"/>
          </w:pPr>
        </w:p>
      </w:tc>
    </w:tr>
  </w:tbl>
  <w:p w14:paraId="3DD5494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B4289" w14:paraId="04501EBB" w14:textId="77777777" w:rsidTr="007610AA">
      <w:trPr>
        <w:trHeight w:val="400"/>
      </w:trPr>
      <w:tc>
        <w:tcPr>
          <w:tcW w:w="7520" w:type="dxa"/>
          <w:gridSpan w:val="2"/>
          <w:shd w:val="clear" w:color="auto" w:fill="auto"/>
        </w:tcPr>
        <w:p w14:paraId="3A69B4F6" w14:textId="77777777" w:rsidR="00527BD4" w:rsidRPr="00BC3B53" w:rsidRDefault="00CC2D5C" w:rsidP="00A50CF6">
          <w:pPr>
            <w:pStyle w:val="Huisstijl-Retouradres"/>
          </w:pPr>
          <w:r>
            <w:t>&gt; Retouradres Postbus 20401 2500 EK Den Haag</w:t>
          </w:r>
        </w:p>
      </w:tc>
    </w:tr>
    <w:tr w:rsidR="006B4289" w14:paraId="71487B58" w14:textId="77777777" w:rsidTr="007610AA">
      <w:tc>
        <w:tcPr>
          <w:tcW w:w="7520" w:type="dxa"/>
          <w:gridSpan w:val="2"/>
          <w:shd w:val="clear" w:color="auto" w:fill="auto"/>
        </w:tcPr>
        <w:p w14:paraId="10B7ABDA" w14:textId="77777777" w:rsidR="00527BD4" w:rsidRPr="00983E8F" w:rsidRDefault="00527BD4" w:rsidP="00A50CF6">
          <w:pPr>
            <w:pStyle w:val="Huisstijl-Rubricering"/>
          </w:pPr>
        </w:p>
      </w:tc>
    </w:tr>
    <w:tr w:rsidR="006B4289" w14:paraId="4F94D36B" w14:textId="77777777" w:rsidTr="007610AA">
      <w:trPr>
        <w:trHeight w:hRule="exact" w:val="2440"/>
      </w:trPr>
      <w:tc>
        <w:tcPr>
          <w:tcW w:w="7520" w:type="dxa"/>
          <w:gridSpan w:val="2"/>
          <w:shd w:val="clear" w:color="auto" w:fill="auto"/>
        </w:tcPr>
        <w:p w14:paraId="04B0E52B" w14:textId="77777777" w:rsidR="00527BD4" w:rsidRDefault="00CC2D5C" w:rsidP="00A50CF6">
          <w:pPr>
            <w:pStyle w:val="Huisstijl-NAW"/>
          </w:pPr>
          <w:r>
            <w:t xml:space="preserve">De Voorzitter van de Tweede Kamer </w:t>
          </w:r>
        </w:p>
        <w:p w14:paraId="11546263" w14:textId="77777777" w:rsidR="00D87195" w:rsidRDefault="00CC2D5C" w:rsidP="00D87195">
          <w:pPr>
            <w:pStyle w:val="Huisstijl-NAW"/>
          </w:pPr>
          <w:r>
            <w:t>der Staten-Generaal</w:t>
          </w:r>
        </w:p>
        <w:p w14:paraId="6D4F398B" w14:textId="77777777" w:rsidR="00EA0F13" w:rsidRDefault="00CC2D5C" w:rsidP="00EA0F13">
          <w:pPr>
            <w:rPr>
              <w:szCs w:val="18"/>
            </w:rPr>
          </w:pPr>
          <w:r>
            <w:rPr>
              <w:szCs w:val="18"/>
            </w:rPr>
            <w:t>Prinses Irenestraat 6</w:t>
          </w:r>
        </w:p>
        <w:p w14:paraId="135F7193" w14:textId="77777777" w:rsidR="00985E56" w:rsidRDefault="00CC2D5C" w:rsidP="00EA0F13">
          <w:r>
            <w:rPr>
              <w:szCs w:val="18"/>
            </w:rPr>
            <w:t>2595 BD  DEN HAAG</w:t>
          </w:r>
        </w:p>
      </w:tc>
    </w:tr>
    <w:tr w:rsidR="006B4289" w14:paraId="05714CB3" w14:textId="77777777" w:rsidTr="007610AA">
      <w:trPr>
        <w:trHeight w:hRule="exact" w:val="400"/>
      </w:trPr>
      <w:tc>
        <w:tcPr>
          <w:tcW w:w="7520" w:type="dxa"/>
          <w:gridSpan w:val="2"/>
          <w:shd w:val="clear" w:color="auto" w:fill="auto"/>
        </w:tcPr>
        <w:p w14:paraId="1B7F807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B4289" w14:paraId="56547BE5" w14:textId="77777777" w:rsidTr="007610AA">
      <w:trPr>
        <w:trHeight w:val="240"/>
      </w:trPr>
      <w:tc>
        <w:tcPr>
          <w:tcW w:w="900" w:type="dxa"/>
          <w:shd w:val="clear" w:color="auto" w:fill="auto"/>
        </w:tcPr>
        <w:p w14:paraId="66982A38" w14:textId="77777777" w:rsidR="00527BD4" w:rsidRPr="007709EF" w:rsidRDefault="00CC2D5C" w:rsidP="00A50CF6">
          <w:pPr>
            <w:rPr>
              <w:szCs w:val="18"/>
            </w:rPr>
          </w:pPr>
          <w:r>
            <w:rPr>
              <w:szCs w:val="18"/>
            </w:rPr>
            <w:t>Datum</w:t>
          </w:r>
        </w:p>
      </w:tc>
      <w:tc>
        <w:tcPr>
          <w:tcW w:w="6620" w:type="dxa"/>
          <w:shd w:val="clear" w:color="auto" w:fill="auto"/>
        </w:tcPr>
        <w:p w14:paraId="76989336" w14:textId="6F95C89B" w:rsidR="00527BD4" w:rsidRPr="007709EF" w:rsidRDefault="005F59D1" w:rsidP="00A50CF6">
          <w:r>
            <w:t>28 mei 2025</w:t>
          </w:r>
        </w:p>
      </w:tc>
    </w:tr>
    <w:tr w:rsidR="006B4289" w14:paraId="675D8DCB" w14:textId="77777777" w:rsidTr="007610AA">
      <w:trPr>
        <w:trHeight w:val="240"/>
      </w:trPr>
      <w:tc>
        <w:tcPr>
          <w:tcW w:w="900" w:type="dxa"/>
          <w:shd w:val="clear" w:color="auto" w:fill="auto"/>
        </w:tcPr>
        <w:p w14:paraId="0221F502" w14:textId="77777777" w:rsidR="00527BD4" w:rsidRPr="007709EF" w:rsidRDefault="00CC2D5C" w:rsidP="00A50CF6">
          <w:pPr>
            <w:rPr>
              <w:szCs w:val="18"/>
            </w:rPr>
          </w:pPr>
          <w:r>
            <w:rPr>
              <w:szCs w:val="18"/>
            </w:rPr>
            <w:t>Betreft</w:t>
          </w:r>
        </w:p>
      </w:tc>
      <w:tc>
        <w:tcPr>
          <w:tcW w:w="6620" w:type="dxa"/>
          <w:shd w:val="clear" w:color="auto" w:fill="auto"/>
        </w:tcPr>
        <w:p w14:paraId="6BC10805" w14:textId="054C907D" w:rsidR="00527BD4" w:rsidRPr="007709EF" w:rsidRDefault="00CC2D5C" w:rsidP="00A50CF6">
          <w:r>
            <w:t>Beantwoording Kamervragen over het artikel 'ACM nagelt elf dure energieleveranciers aan de schandpaal'</w:t>
          </w:r>
        </w:p>
      </w:tc>
    </w:tr>
  </w:tbl>
  <w:p w14:paraId="0B159DC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330CAEC">
      <w:start w:val="1"/>
      <w:numFmt w:val="bullet"/>
      <w:pStyle w:val="Lijstopsomteken"/>
      <w:lvlText w:val="•"/>
      <w:lvlJc w:val="left"/>
      <w:pPr>
        <w:tabs>
          <w:tab w:val="num" w:pos="227"/>
        </w:tabs>
        <w:ind w:left="227" w:hanging="227"/>
      </w:pPr>
      <w:rPr>
        <w:rFonts w:ascii="Verdana" w:hAnsi="Verdana" w:hint="default"/>
        <w:sz w:val="18"/>
        <w:szCs w:val="18"/>
      </w:rPr>
    </w:lvl>
    <w:lvl w:ilvl="1" w:tplc="743A6F0A" w:tentative="1">
      <w:start w:val="1"/>
      <w:numFmt w:val="bullet"/>
      <w:lvlText w:val="o"/>
      <w:lvlJc w:val="left"/>
      <w:pPr>
        <w:tabs>
          <w:tab w:val="num" w:pos="1440"/>
        </w:tabs>
        <w:ind w:left="1440" w:hanging="360"/>
      </w:pPr>
      <w:rPr>
        <w:rFonts w:ascii="Courier New" w:hAnsi="Courier New" w:cs="Courier New" w:hint="default"/>
      </w:rPr>
    </w:lvl>
    <w:lvl w:ilvl="2" w:tplc="35EC0A66" w:tentative="1">
      <w:start w:val="1"/>
      <w:numFmt w:val="bullet"/>
      <w:lvlText w:val=""/>
      <w:lvlJc w:val="left"/>
      <w:pPr>
        <w:tabs>
          <w:tab w:val="num" w:pos="2160"/>
        </w:tabs>
        <w:ind w:left="2160" w:hanging="360"/>
      </w:pPr>
      <w:rPr>
        <w:rFonts w:ascii="Wingdings" w:hAnsi="Wingdings" w:hint="default"/>
      </w:rPr>
    </w:lvl>
    <w:lvl w:ilvl="3" w:tplc="3E00F8B4" w:tentative="1">
      <w:start w:val="1"/>
      <w:numFmt w:val="bullet"/>
      <w:lvlText w:val=""/>
      <w:lvlJc w:val="left"/>
      <w:pPr>
        <w:tabs>
          <w:tab w:val="num" w:pos="2880"/>
        </w:tabs>
        <w:ind w:left="2880" w:hanging="360"/>
      </w:pPr>
      <w:rPr>
        <w:rFonts w:ascii="Symbol" w:hAnsi="Symbol" w:hint="default"/>
      </w:rPr>
    </w:lvl>
    <w:lvl w:ilvl="4" w:tplc="CDBADF06" w:tentative="1">
      <w:start w:val="1"/>
      <w:numFmt w:val="bullet"/>
      <w:lvlText w:val="o"/>
      <w:lvlJc w:val="left"/>
      <w:pPr>
        <w:tabs>
          <w:tab w:val="num" w:pos="3600"/>
        </w:tabs>
        <w:ind w:left="3600" w:hanging="360"/>
      </w:pPr>
      <w:rPr>
        <w:rFonts w:ascii="Courier New" w:hAnsi="Courier New" w:cs="Courier New" w:hint="default"/>
      </w:rPr>
    </w:lvl>
    <w:lvl w:ilvl="5" w:tplc="8918D69C" w:tentative="1">
      <w:start w:val="1"/>
      <w:numFmt w:val="bullet"/>
      <w:lvlText w:val=""/>
      <w:lvlJc w:val="left"/>
      <w:pPr>
        <w:tabs>
          <w:tab w:val="num" w:pos="4320"/>
        </w:tabs>
        <w:ind w:left="4320" w:hanging="360"/>
      </w:pPr>
      <w:rPr>
        <w:rFonts w:ascii="Wingdings" w:hAnsi="Wingdings" w:hint="default"/>
      </w:rPr>
    </w:lvl>
    <w:lvl w:ilvl="6" w:tplc="BCC0809C" w:tentative="1">
      <w:start w:val="1"/>
      <w:numFmt w:val="bullet"/>
      <w:lvlText w:val=""/>
      <w:lvlJc w:val="left"/>
      <w:pPr>
        <w:tabs>
          <w:tab w:val="num" w:pos="5040"/>
        </w:tabs>
        <w:ind w:left="5040" w:hanging="360"/>
      </w:pPr>
      <w:rPr>
        <w:rFonts w:ascii="Symbol" w:hAnsi="Symbol" w:hint="default"/>
      </w:rPr>
    </w:lvl>
    <w:lvl w:ilvl="7" w:tplc="4BB499EC" w:tentative="1">
      <w:start w:val="1"/>
      <w:numFmt w:val="bullet"/>
      <w:lvlText w:val="o"/>
      <w:lvlJc w:val="left"/>
      <w:pPr>
        <w:tabs>
          <w:tab w:val="num" w:pos="5760"/>
        </w:tabs>
        <w:ind w:left="5760" w:hanging="360"/>
      </w:pPr>
      <w:rPr>
        <w:rFonts w:ascii="Courier New" w:hAnsi="Courier New" w:cs="Courier New" w:hint="default"/>
      </w:rPr>
    </w:lvl>
    <w:lvl w:ilvl="8" w:tplc="807C9E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A84899A">
      <w:start w:val="1"/>
      <w:numFmt w:val="bullet"/>
      <w:pStyle w:val="Lijstopsomteken2"/>
      <w:lvlText w:val="–"/>
      <w:lvlJc w:val="left"/>
      <w:pPr>
        <w:tabs>
          <w:tab w:val="num" w:pos="227"/>
        </w:tabs>
        <w:ind w:left="227" w:firstLine="0"/>
      </w:pPr>
      <w:rPr>
        <w:rFonts w:ascii="Verdana" w:hAnsi="Verdana" w:hint="default"/>
      </w:rPr>
    </w:lvl>
    <w:lvl w:ilvl="1" w:tplc="56F8E10E" w:tentative="1">
      <w:start w:val="1"/>
      <w:numFmt w:val="bullet"/>
      <w:lvlText w:val="o"/>
      <w:lvlJc w:val="left"/>
      <w:pPr>
        <w:tabs>
          <w:tab w:val="num" w:pos="1440"/>
        </w:tabs>
        <w:ind w:left="1440" w:hanging="360"/>
      </w:pPr>
      <w:rPr>
        <w:rFonts w:ascii="Courier New" w:hAnsi="Courier New" w:cs="Courier New" w:hint="default"/>
      </w:rPr>
    </w:lvl>
    <w:lvl w:ilvl="2" w:tplc="99CA6F30" w:tentative="1">
      <w:start w:val="1"/>
      <w:numFmt w:val="bullet"/>
      <w:lvlText w:val=""/>
      <w:lvlJc w:val="left"/>
      <w:pPr>
        <w:tabs>
          <w:tab w:val="num" w:pos="2160"/>
        </w:tabs>
        <w:ind w:left="2160" w:hanging="360"/>
      </w:pPr>
      <w:rPr>
        <w:rFonts w:ascii="Wingdings" w:hAnsi="Wingdings" w:hint="default"/>
      </w:rPr>
    </w:lvl>
    <w:lvl w:ilvl="3" w:tplc="F942EA1C" w:tentative="1">
      <w:start w:val="1"/>
      <w:numFmt w:val="bullet"/>
      <w:lvlText w:val=""/>
      <w:lvlJc w:val="left"/>
      <w:pPr>
        <w:tabs>
          <w:tab w:val="num" w:pos="2880"/>
        </w:tabs>
        <w:ind w:left="2880" w:hanging="360"/>
      </w:pPr>
      <w:rPr>
        <w:rFonts w:ascii="Symbol" w:hAnsi="Symbol" w:hint="default"/>
      </w:rPr>
    </w:lvl>
    <w:lvl w:ilvl="4" w:tplc="D5A482EE" w:tentative="1">
      <w:start w:val="1"/>
      <w:numFmt w:val="bullet"/>
      <w:lvlText w:val="o"/>
      <w:lvlJc w:val="left"/>
      <w:pPr>
        <w:tabs>
          <w:tab w:val="num" w:pos="3600"/>
        </w:tabs>
        <w:ind w:left="3600" w:hanging="360"/>
      </w:pPr>
      <w:rPr>
        <w:rFonts w:ascii="Courier New" w:hAnsi="Courier New" w:cs="Courier New" w:hint="default"/>
      </w:rPr>
    </w:lvl>
    <w:lvl w:ilvl="5" w:tplc="6922D38A" w:tentative="1">
      <w:start w:val="1"/>
      <w:numFmt w:val="bullet"/>
      <w:lvlText w:val=""/>
      <w:lvlJc w:val="left"/>
      <w:pPr>
        <w:tabs>
          <w:tab w:val="num" w:pos="4320"/>
        </w:tabs>
        <w:ind w:left="4320" w:hanging="360"/>
      </w:pPr>
      <w:rPr>
        <w:rFonts w:ascii="Wingdings" w:hAnsi="Wingdings" w:hint="default"/>
      </w:rPr>
    </w:lvl>
    <w:lvl w:ilvl="6" w:tplc="CDB2CD04" w:tentative="1">
      <w:start w:val="1"/>
      <w:numFmt w:val="bullet"/>
      <w:lvlText w:val=""/>
      <w:lvlJc w:val="left"/>
      <w:pPr>
        <w:tabs>
          <w:tab w:val="num" w:pos="5040"/>
        </w:tabs>
        <w:ind w:left="5040" w:hanging="360"/>
      </w:pPr>
      <w:rPr>
        <w:rFonts w:ascii="Symbol" w:hAnsi="Symbol" w:hint="default"/>
      </w:rPr>
    </w:lvl>
    <w:lvl w:ilvl="7" w:tplc="BD642E64" w:tentative="1">
      <w:start w:val="1"/>
      <w:numFmt w:val="bullet"/>
      <w:lvlText w:val="o"/>
      <w:lvlJc w:val="left"/>
      <w:pPr>
        <w:tabs>
          <w:tab w:val="num" w:pos="5760"/>
        </w:tabs>
        <w:ind w:left="5760" w:hanging="360"/>
      </w:pPr>
      <w:rPr>
        <w:rFonts w:ascii="Courier New" w:hAnsi="Courier New" w:cs="Courier New" w:hint="default"/>
      </w:rPr>
    </w:lvl>
    <w:lvl w:ilvl="8" w:tplc="20F010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3456704">
    <w:abstractNumId w:val="10"/>
  </w:num>
  <w:num w:numId="2" w16cid:durableId="1687360775">
    <w:abstractNumId w:val="7"/>
  </w:num>
  <w:num w:numId="3" w16cid:durableId="2066835788">
    <w:abstractNumId w:val="6"/>
  </w:num>
  <w:num w:numId="4" w16cid:durableId="812217912">
    <w:abstractNumId w:val="5"/>
  </w:num>
  <w:num w:numId="5" w16cid:durableId="2059545361">
    <w:abstractNumId w:val="4"/>
  </w:num>
  <w:num w:numId="6" w16cid:durableId="1980570208">
    <w:abstractNumId w:val="8"/>
  </w:num>
  <w:num w:numId="7" w16cid:durableId="852035708">
    <w:abstractNumId w:val="3"/>
  </w:num>
  <w:num w:numId="8" w16cid:durableId="1886481893">
    <w:abstractNumId w:val="2"/>
  </w:num>
  <w:num w:numId="9" w16cid:durableId="1905483787">
    <w:abstractNumId w:val="1"/>
  </w:num>
  <w:num w:numId="10" w16cid:durableId="712466377">
    <w:abstractNumId w:val="0"/>
  </w:num>
  <w:num w:numId="11" w16cid:durableId="759133070">
    <w:abstractNumId w:val="9"/>
  </w:num>
  <w:num w:numId="12" w16cid:durableId="450242450">
    <w:abstractNumId w:val="11"/>
  </w:num>
  <w:num w:numId="13" w16cid:durableId="1175996752">
    <w:abstractNumId w:val="13"/>
  </w:num>
  <w:num w:numId="14" w16cid:durableId="59975184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5E5"/>
    <w:rsid w:val="00173C51"/>
    <w:rsid w:val="00174CC2"/>
    <w:rsid w:val="00176CC6"/>
    <w:rsid w:val="00181BE4"/>
    <w:rsid w:val="00185576"/>
    <w:rsid w:val="00185951"/>
    <w:rsid w:val="00196B8B"/>
    <w:rsid w:val="0019703F"/>
    <w:rsid w:val="001A2BEA"/>
    <w:rsid w:val="001A6D93"/>
    <w:rsid w:val="001C32EC"/>
    <w:rsid w:val="001C38BD"/>
    <w:rsid w:val="001C4D5A"/>
    <w:rsid w:val="001D58F6"/>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404"/>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2386"/>
    <w:rsid w:val="0033326F"/>
    <w:rsid w:val="00334154"/>
    <w:rsid w:val="003372C4"/>
    <w:rsid w:val="00340A95"/>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2460"/>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5E0"/>
    <w:rsid w:val="003F07C6"/>
    <w:rsid w:val="003F1F6B"/>
    <w:rsid w:val="003F3757"/>
    <w:rsid w:val="003F38BD"/>
    <w:rsid w:val="003F44B7"/>
    <w:rsid w:val="004008E9"/>
    <w:rsid w:val="00413D48"/>
    <w:rsid w:val="00421568"/>
    <w:rsid w:val="00423A19"/>
    <w:rsid w:val="00441AC2"/>
    <w:rsid w:val="0044249B"/>
    <w:rsid w:val="004440EF"/>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00F5"/>
    <w:rsid w:val="00516022"/>
    <w:rsid w:val="00521CEE"/>
    <w:rsid w:val="00524FB4"/>
    <w:rsid w:val="00527BD4"/>
    <w:rsid w:val="005304A3"/>
    <w:rsid w:val="0053118A"/>
    <w:rsid w:val="00532FC1"/>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59D1"/>
    <w:rsid w:val="005F62D3"/>
    <w:rsid w:val="005F6D11"/>
    <w:rsid w:val="00600CF0"/>
    <w:rsid w:val="00601B66"/>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289"/>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5F58"/>
    <w:rsid w:val="00735D88"/>
    <w:rsid w:val="0073720D"/>
    <w:rsid w:val="00737507"/>
    <w:rsid w:val="00740712"/>
    <w:rsid w:val="00742AB9"/>
    <w:rsid w:val="00745C2A"/>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3DC6"/>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A690B"/>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25B3"/>
    <w:rsid w:val="00A56946"/>
    <w:rsid w:val="00A6170E"/>
    <w:rsid w:val="00A63B8C"/>
    <w:rsid w:val="00A650B2"/>
    <w:rsid w:val="00A715F8"/>
    <w:rsid w:val="00A77F6F"/>
    <w:rsid w:val="00A831FD"/>
    <w:rsid w:val="00A83352"/>
    <w:rsid w:val="00A850A2"/>
    <w:rsid w:val="00A91FA3"/>
    <w:rsid w:val="00A927D3"/>
    <w:rsid w:val="00AA0C1B"/>
    <w:rsid w:val="00AA7FC9"/>
    <w:rsid w:val="00AB237D"/>
    <w:rsid w:val="00AB5933"/>
    <w:rsid w:val="00AE00E0"/>
    <w:rsid w:val="00AE013D"/>
    <w:rsid w:val="00AE0840"/>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0B83"/>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2D5C"/>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7603"/>
    <w:rsid w:val="00E51469"/>
    <w:rsid w:val="00E634E3"/>
    <w:rsid w:val="00E717C4"/>
    <w:rsid w:val="00E77E18"/>
    <w:rsid w:val="00E77F89"/>
    <w:rsid w:val="00E80330"/>
    <w:rsid w:val="00E806C5"/>
    <w:rsid w:val="00E80E71"/>
    <w:rsid w:val="00E850D3"/>
    <w:rsid w:val="00E853D6"/>
    <w:rsid w:val="00E876B9"/>
    <w:rsid w:val="00E962ED"/>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A6E"/>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F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CC2D5C"/>
    <w:rPr>
      <w:vertAlign w:val="superscript"/>
    </w:rPr>
  </w:style>
  <w:style w:type="paragraph" w:styleId="Revisie">
    <w:name w:val="Revision"/>
    <w:hidden/>
    <w:uiPriority w:val="99"/>
    <w:semiHidden/>
    <w:rsid w:val="001D58F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cm.nl/nl/publicaties/acm-3-grootste-energieleveranciers-hanteren-geen-onredelijke-tarieven" TargetMode="External"/><Relationship Id="rId1" Type="http://schemas.openxmlformats.org/officeDocument/2006/relationships/hyperlink" Target="https://www.acm.nl/system/files/documents/geen-onredelijke-prijzen-budget-thuis-greenchoice-en-engi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F3FC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A3849"/>
    <w:rsid w:val="001F3FC4"/>
    <w:rsid w:val="00292404"/>
    <w:rsid w:val="00323CDC"/>
    <w:rsid w:val="003B3E22"/>
    <w:rsid w:val="003C6239"/>
    <w:rsid w:val="004C4F26"/>
    <w:rsid w:val="005100F5"/>
    <w:rsid w:val="00532FC1"/>
    <w:rsid w:val="00725F58"/>
    <w:rsid w:val="00736771"/>
    <w:rsid w:val="00745C2A"/>
    <w:rsid w:val="00913DC6"/>
    <w:rsid w:val="00A22FC5"/>
    <w:rsid w:val="00A525B3"/>
    <w:rsid w:val="00AE00E0"/>
    <w:rsid w:val="00B23C77"/>
    <w:rsid w:val="00DC66E7"/>
    <w:rsid w:val="00EF1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2141</ap:Words>
  <ap:Characters>11778</ap:Characters>
  <ap:DocSecurity>0</ap:DocSecurity>
  <ap:Lines>98</ap:Lines>
  <ap:Paragraphs>27</ap:Paragraphs>
  <ap:ScaleCrop>false</ap:ScaleCrop>
  <ap:LinksUpToDate>false</ap:LinksUpToDate>
  <ap:CharactersWithSpaces>13892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2025-05-28T13:04:00.0000000Z</dcterms:created>
  <dcterms:modified xsi:type="dcterms:W3CDTF">2025-05-28T13:04:00.0000000Z</dcterms:modified>
  <dc:description>------------------------</dc:description>
  <dc:subject/>
  <keywords/>
  <version/>
  <category/>
</coreProperties>
</file>