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346B" w:rsidR="00C72C96" w:rsidRDefault="00C72C96" w14:paraId="424F21AF" w14:textId="77777777">
      <w:pPr>
        <w:spacing w:after="600"/>
        <w:rPr>
          <w:rFonts w:cs="Arial"/>
          <w:lang w:val="en-GB"/>
        </w:rPr>
      </w:pPr>
    </w:p>
    <w:tbl>
      <w:tblPr>
        <w:tblW w:w="907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7428"/>
        <w:gridCol w:w="1418"/>
      </w:tblGrid>
      <w:tr w:rsidRPr="009B346B" w:rsidR="00881A61" w:rsidTr="00EB6619" w14:paraId="64A5AE89" w14:textId="77777777">
        <w:trPr>
          <w:cantSplit/>
        </w:trPr>
        <w:tc>
          <w:tcPr>
            <w:tcW w:w="227" w:type="dxa"/>
            <w:tcBorders>
              <w:bottom w:val="single" w:color="auto" w:sz="6" w:space="0"/>
            </w:tcBorders>
            <w:tcMar>
              <w:bottom w:w="85" w:type="dxa"/>
            </w:tcMar>
            <w:vAlign w:val="bottom"/>
          </w:tcPr>
          <w:p w:rsidRPr="009B346B" w:rsidR="00881A61" w:rsidRDefault="002664AB" w14:paraId="55247BF7" w14:textId="77777777">
            <w:pPr>
              <w:pStyle w:val="tabeltekst"/>
              <w:spacing w:after="40"/>
              <w:rPr>
                <w:rFonts w:cs="Arial"/>
              </w:rPr>
            </w:pPr>
            <w:r w:rsidRPr="009B346B">
              <w:rPr>
                <w:rFonts w:cs="Arial"/>
                <w:noProof/>
                <w:szCs w:val="20"/>
                <w:lang w:eastAsia="nl-BE"/>
              </w:rPr>
              <w:drawing>
                <wp:inline distT="0" distB="0" distL="0" distR="0" wp14:anchorId="6B4EF735" wp14:editId="4F6E9275">
                  <wp:extent cx="66675" cy="123825"/>
                  <wp:effectExtent l="0" t="0" r="0" b="0"/>
                  <wp:docPr id="1" name="Picture 1" descr="IBZ-pijltje rap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BZ-pijltje rap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tcBorders>
              <w:bottom w:val="single" w:color="auto" w:sz="6" w:space="0"/>
            </w:tcBorders>
            <w:tcMar>
              <w:bottom w:w="85" w:type="dxa"/>
            </w:tcMar>
            <w:vAlign w:val="bottom"/>
          </w:tcPr>
          <w:p w:rsidRPr="009B346B" w:rsidR="00881A61" w:rsidRDefault="00006FCE" w14:paraId="73B4891F" w14:textId="6908ABDA">
            <w:pPr>
              <w:pStyle w:val="tabeltekst"/>
              <w:rPr>
                <w:rFonts w:cs="Arial"/>
              </w:rPr>
            </w:pPr>
            <w:r w:rsidRPr="009B346B">
              <w:rPr>
                <w:rFonts w:cs="Arial"/>
                <w:b/>
                <w:bCs/>
                <w:sz w:val="28"/>
              </w:rPr>
              <w:t>Non-paper</w:t>
            </w:r>
            <w:r w:rsidR="00566021">
              <w:rPr>
                <w:rFonts w:cs="Arial"/>
                <w:b/>
                <w:bCs/>
                <w:sz w:val="28"/>
              </w:rPr>
              <w:t xml:space="preserve"> </w:t>
            </w:r>
            <w:r w:rsidRPr="009B346B" w:rsidR="00EB6619">
              <w:rPr>
                <w:rFonts w:cs="Arial"/>
                <w:b/>
                <w:bCs/>
                <w:sz w:val="28"/>
              </w:rPr>
              <w:t xml:space="preserve">– </w:t>
            </w:r>
            <w:r w:rsidRPr="009B346B">
              <w:rPr>
                <w:rFonts w:cs="Arial"/>
                <w:b/>
                <w:bCs/>
                <w:sz w:val="28"/>
              </w:rPr>
              <w:t>European Baseline Requirements</w:t>
            </w:r>
          </w:p>
        </w:tc>
        <w:tc>
          <w:tcPr>
            <w:tcW w:w="1418" w:type="dxa"/>
            <w:tcBorders>
              <w:bottom w:val="single" w:color="auto" w:sz="6" w:space="0"/>
            </w:tcBorders>
            <w:vAlign w:val="bottom"/>
          </w:tcPr>
          <w:p w:rsidRPr="009B346B" w:rsidR="00881A61" w:rsidRDefault="00225A75" w14:paraId="6FFD54A8" w14:textId="655B1EEA">
            <w:pPr>
              <w:spacing w:before="0" w:after="24"/>
              <w:jc w:val="right"/>
              <w:rPr>
                <w:rFonts w:cs="Arial"/>
                <w:lang w:val="en-GB"/>
              </w:rPr>
            </w:pPr>
            <w:r w:rsidRPr="009B346B">
              <w:rPr>
                <w:rFonts w:cs="Arial"/>
                <w:lang w:val="en-GB"/>
              </w:rPr>
              <w:fldChar w:fldCharType="begin"/>
            </w:r>
            <w:r w:rsidRPr="009B346B">
              <w:rPr>
                <w:rFonts w:cs="Arial"/>
                <w:lang w:val="en-GB"/>
              </w:rPr>
              <w:instrText xml:space="preserve"> DATE  \@ "d.MM.yyyy" </w:instrText>
            </w:r>
            <w:r w:rsidRPr="009B346B">
              <w:rPr>
                <w:rFonts w:cs="Arial"/>
                <w:lang w:val="en-GB"/>
              </w:rPr>
              <w:fldChar w:fldCharType="separate"/>
            </w:r>
            <w:r w:rsidR="00642020">
              <w:rPr>
                <w:rFonts w:cs="Arial"/>
                <w:noProof/>
                <w:lang w:val="en-GB"/>
              </w:rPr>
              <w:t>28.05.2025</w:t>
            </w:r>
            <w:r w:rsidRPr="009B346B">
              <w:rPr>
                <w:rFonts w:cs="Arial"/>
                <w:lang w:val="en-GB"/>
              </w:rPr>
              <w:fldChar w:fldCharType="end"/>
            </w:r>
          </w:p>
        </w:tc>
      </w:tr>
    </w:tbl>
    <w:p w:rsidRPr="009B346B" w:rsidR="00881A61" w:rsidRDefault="00881A61" w14:paraId="398FE467" w14:textId="77777777">
      <w:pPr>
        <w:spacing w:before="0" w:after="0" w:line="120" w:lineRule="exact"/>
        <w:rPr>
          <w:rFonts w:cs="Arial"/>
          <w:lang w:val="en-GB"/>
        </w:rPr>
        <w:sectPr w:rsidRPr="009B346B" w:rsidR="00881A61" w:rsidSect="00187D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92" w:right="1418" w:bottom="1758" w:left="1418" w:header="709" w:footer="709" w:gutter="0"/>
          <w:cols w:space="720"/>
          <w:docGrid w:linePitch="360"/>
        </w:sectPr>
      </w:pPr>
    </w:p>
    <w:p w:rsidRPr="00C72C96" w:rsidR="00630DFC" w:rsidP="00630DFC" w:rsidRDefault="00630DFC" w14:paraId="603A1E3B" w14:textId="77777777">
      <w:pPr>
        <w:rPr>
          <w:rFonts w:cs="Arial"/>
          <w:sz w:val="20"/>
          <w:szCs w:val="28"/>
          <w:lang w:val="en-GB"/>
        </w:rPr>
      </w:pPr>
    </w:p>
    <w:p w:rsidRPr="00C72C96" w:rsidR="00355F80" w:rsidP="00630DFC" w:rsidRDefault="00B317EC" w14:paraId="02E0A047" w14:textId="476E8FA0">
      <w:pPr>
        <w:rPr>
          <w:rFonts w:cs="Arial"/>
          <w:sz w:val="20"/>
          <w:szCs w:val="28"/>
          <w:lang w:val="en-GB"/>
        </w:rPr>
      </w:pPr>
      <w:bookmarkStart w:name="_Hlk193101792" w:id="0"/>
      <w:r w:rsidRPr="00C72C96">
        <w:rPr>
          <w:rFonts w:cs="Arial"/>
          <w:sz w:val="20"/>
          <w:szCs w:val="28"/>
          <w:lang w:val="en-GB"/>
        </w:rPr>
        <w:t xml:space="preserve">In light </w:t>
      </w:r>
      <w:r w:rsidR="006F71D6">
        <w:rPr>
          <w:rFonts w:cs="Arial"/>
          <w:sz w:val="20"/>
          <w:szCs w:val="28"/>
          <w:lang w:val="en-GB"/>
        </w:rPr>
        <w:t>o</w:t>
      </w:r>
      <w:r w:rsidRPr="00C72C96">
        <w:rPr>
          <w:rFonts w:cs="Arial"/>
          <w:sz w:val="20"/>
          <w:szCs w:val="28"/>
          <w:lang w:val="en-GB"/>
        </w:rPr>
        <w:t xml:space="preserve">f the European Commission’s </w:t>
      </w:r>
      <w:r w:rsidRPr="00C72C96">
        <w:rPr>
          <w:rFonts w:cs="Arial"/>
          <w:i/>
          <w:iCs/>
          <w:sz w:val="20"/>
          <w:szCs w:val="28"/>
          <w:lang w:val="en-GB"/>
        </w:rPr>
        <w:t xml:space="preserve">Preparedness </w:t>
      </w:r>
      <w:r w:rsidR="00943611">
        <w:rPr>
          <w:rFonts w:cs="Arial"/>
          <w:i/>
          <w:iCs/>
          <w:sz w:val="20"/>
          <w:szCs w:val="28"/>
          <w:lang w:val="en-GB"/>
        </w:rPr>
        <w:t xml:space="preserve">Union </w:t>
      </w:r>
      <w:r w:rsidRPr="00C72C96">
        <w:rPr>
          <w:rFonts w:cs="Arial"/>
          <w:i/>
          <w:iCs/>
          <w:sz w:val="20"/>
          <w:szCs w:val="28"/>
          <w:lang w:val="en-GB"/>
        </w:rPr>
        <w:t>Strategy</w:t>
      </w:r>
      <w:r w:rsidRPr="00C72C96">
        <w:rPr>
          <w:rFonts w:cs="Arial"/>
          <w:sz w:val="20"/>
          <w:szCs w:val="28"/>
          <w:lang w:val="en-GB"/>
        </w:rPr>
        <w:t xml:space="preserve">, </w:t>
      </w:r>
      <w:r w:rsidRPr="00C443CA">
        <w:rPr>
          <w:rFonts w:cs="Arial"/>
          <w:sz w:val="20"/>
          <w:szCs w:val="28"/>
          <w:lang w:val="en-GB"/>
        </w:rPr>
        <w:t>published on March 26</w:t>
      </w:r>
      <w:r w:rsidRPr="00C72C96">
        <w:rPr>
          <w:rFonts w:cs="Arial"/>
          <w:sz w:val="20"/>
          <w:szCs w:val="28"/>
          <w:lang w:val="en-GB"/>
        </w:rPr>
        <w:t xml:space="preserve">, </w:t>
      </w:r>
      <w:r w:rsidR="00813D6F">
        <w:rPr>
          <w:rFonts w:cs="Arial"/>
          <w:sz w:val="20"/>
          <w:szCs w:val="28"/>
          <w:lang w:val="en-GB"/>
        </w:rPr>
        <w:t xml:space="preserve">we, the countries of Belgium, Luxembourg, and </w:t>
      </w:r>
      <w:r w:rsidR="00081FF7">
        <w:rPr>
          <w:rFonts w:cs="Arial"/>
          <w:sz w:val="20"/>
          <w:szCs w:val="28"/>
          <w:lang w:val="en-GB"/>
        </w:rPr>
        <w:t xml:space="preserve">the Netherlands </w:t>
      </w:r>
      <w:r w:rsidRPr="00E071E3" w:rsidR="00B920BA">
        <w:rPr>
          <w:rFonts w:cs="Arial"/>
          <w:sz w:val="20"/>
          <w:szCs w:val="28"/>
          <w:lang w:val="en-GB"/>
        </w:rPr>
        <w:t xml:space="preserve">welcome </w:t>
      </w:r>
      <w:r w:rsidRPr="00341EB6">
        <w:rPr>
          <w:rFonts w:cs="Arial"/>
          <w:sz w:val="20"/>
          <w:szCs w:val="28"/>
          <w:lang w:val="en-GB"/>
        </w:rPr>
        <w:t xml:space="preserve">the </w:t>
      </w:r>
      <w:r w:rsidRPr="00341EB6" w:rsidR="001C360F">
        <w:rPr>
          <w:rFonts w:cs="Arial"/>
          <w:sz w:val="20"/>
          <w:szCs w:val="28"/>
          <w:lang w:val="en-GB"/>
        </w:rPr>
        <w:t>Commission’s ambition to</w:t>
      </w:r>
      <w:r w:rsidRPr="00341EB6" w:rsidR="00B920BA">
        <w:rPr>
          <w:rFonts w:cs="Arial"/>
          <w:sz w:val="20"/>
          <w:szCs w:val="28"/>
          <w:lang w:val="en-GB"/>
        </w:rPr>
        <w:t xml:space="preserve"> </w:t>
      </w:r>
      <w:r w:rsidR="0093636B">
        <w:rPr>
          <w:rFonts w:cs="Arial"/>
          <w:sz w:val="20"/>
          <w:szCs w:val="28"/>
          <w:lang w:val="en-GB"/>
        </w:rPr>
        <w:t>put forward recommendations on</w:t>
      </w:r>
      <w:r w:rsidRPr="00341EB6" w:rsidR="0093636B">
        <w:rPr>
          <w:rFonts w:cs="Arial"/>
          <w:sz w:val="20"/>
          <w:szCs w:val="28"/>
          <w:lang w:val="en-GB"/>
        </w:rPr>
        <w:t xml:space="preserve"> </w:t>
      </w:r>
      <w:r w:rsidRPr="00341EB6" w:rsidR="00B920BA">
        <w:rPr>
          <w:rFonts w:cs="Arial"/>
          <w:sz w:val="20"/>
          <w:szCs w:val="28"/>
          <w:lang w:val="en-GB"/>
        </w:rPr>
        <w:t xml:space="preserve">minimum preparedness requirements and </w:t>
      </w:r>
      <w:r w:rsidR="0093636B">
        <w:rPr>
          <w:rFonts w:cs="Arial"/>
          <w:sz w:val="20"/>
          <w:szCs w:val="28"/>
          <w:lang w:val="en-GB"/>
        </w:rPr>
        <w:t>suggest</w:t>
      </w:r>
      <w:r w:rsidRPr="00341EB6" w:rsidR="0093636B">
        <w:rPr>
          <w:rFonts w:cs="Arial"/>
          <w:sz w:val="20"/>
          <w:szCs w:val="28"/>
          <w:lang w:val="en-GB"/>
        </w:rPr>
        <w:t xml:space="preserve"> </w:t>
      </w:r>
      <w:r w:rsidRPr="00341EB6" w:rsidR="00B920BA">
        <w:rPr>
          <w:rFonts w:cs="Arial"/>
          <w:sz w:val="20"/>
          <w:szCs w:val="28"/>
          <w:lang w:val="en-GB"/>
        </w:rPr>
        <w:t xml:space="preserve">that these be developed in the form </w:t>
      </w:r>
      <w:r w:rsidRPr="00341EB6">
        <w:rPr>
          <w:rFonts w:cs="Arial"/>
          <w:sz w:val="20"/>
          <w:szCs w:val="28"/>
          <w:lang w:val="en-GB"/>
        </w:rPr>
        <w:t xml:space="preserve">of EU </w:t>
      </w:r>
      <w:r w:rsidRPr="00341EB6" w:rsidR="00600388">
        <w:rPr>
          <w:rFonts w:cs="Arial"/>
          <w:sz w:val="20"/>
          <w:szCs w:val="28"/>
          <w:lang w:val="en-GB"/>
        </w:rPr>
        <w:t>b</w:t>
      </w:r>
      <w:r w:rsidRPr="00341EB6">
        <w:rPr>
          <w:rFonts w:cs="Arial"/>
          <w:sz w:val="20"/>
          <w:szCs w:val="28"/>
          <w:lang w:val="en-GB"/>
        </w:rPr>
        <w:t xml:space="preserve">aseline </w:t>
      </w:r>
      <w:r w:rsidRPr="00341EB6" w:rsidR="00600388">
        <w:rPr>
          <w:rFonts w:cs="Arial"/>
          <w:sz w:val="20"/>
          <w:szCs w:val="28"/>
          <w:lang w:val="en-GB"/>
        </w:rPr>
        <w:t>r</w:t>
      </w:r>
      <w:r w:rsidRPr="00341EB6">
        <w:rPr>
          <w:rFonts w:cs="Arial"/>
          <w:sz w:val="20"/>
          <w:szCs w:val="28"/>
          <w:lang w:val="en-GB"/>
        </w:rPr>
        <w:t>equirements (EU BLR)</w:t>
      </w:r>
      <w:r w:rsidRPr="00C72C96">
        <w:rPr>
          <w:rFonts w:cs="Arial"/>
          <w:sz w:val="20"/>
          <w:szCs w:val="28"/>
          <w:lang w:val="en-GB"/>
        </w:rPr>
        <w:t xml:space="preserve"> to strengthen resilience across the Union. These </w:t>
      </w:r>
      <w:r w:rsidR="00DC0B96">
        <w:rPr>
          <w:rFonts w:cs="Arial"/>
          <w:sz w:val="20"/>
          <w:szCs w:val="20"/>
          <w:lang w:val="en-GB"/>
        </w:rPr>
        <w:t>non-binding</w:t>
      </w:r>
      <w:r w:rsidRPr="00C72C96" w:rsidR="00DC0B96">
        <w:rPr>
          <w:rFonts w:cs="Arial"/>
          <w:sz w:val="20"/>
          <w:szCs w:val="28"/>
          <w:lang w:val="en-GB"/>
        </w:rPr>
        <w:t xml:space="preserve"> </w:t>
      </w:r>
      <w:r w:rsidRPr="00C72C96">
        <w:rPr>
          <w:rFonts w:cs="Arial"/>
          <w:sz w:val="20"/>
          <w:szCs w:val="28"/>
          <w:lang w:val="en-GB"/>
        </w:rPr>
        <w:t xml:space="preserve">requirements should ensure the continuity of essential and vital functions within the EU and </w:t>
      </w:r>
      <w:r w:rsidR="001C360F">
        <w:rPr>
          <w:rFonts w:cs="Arial"/>
          <w:sz w:val="20"/>
          <w:szCs w:val="28"/>
          <w:lang w:val="en-GB"/>
        </w:rPr>
        <w:t xml:space="preserve">further the efforts of its Member States in this field. </w:t>
      </w:r>
      <w:r w:rsidR="00566021">
        <w:rPr>
          <w:rFonts w:cs="Arial"/>
          <w:sz w:val="20"/>
          <w:szCs w:val="28"/>
          <w:lang w:val="en-GB"/>
        </w:rPr>
        <w:t>Our</w:t>
      </w:r>
      <w:r w:rsidR="001C360F">
        <w:rPr>
          <w:rFonts w:cs="Arial"/>
          <w:sz w:val="20"/>
          <w:szCs w:val="28"/>
          <w:lang w:val="en-GB"/>
        </w:rPr>
        <w:t xml:space="preserve"> countries stress the importance of close alignment</w:t>
      </w:r>
      <w:r w:rsidR="00F3780A">
        <w:rPr>
          <w:rFonts w:cs="Arial"/>
          <w:sz w:val="20"/>
          <w:szCs w:val="28"/>
          <w:lang w:val="en-GB"/>
        </w:rPr>
        <w:t xml:space="preserve"> with</w:t>
      </w:r>
      <w:r w:rsidRPr="00C72C96">
        <w:rPr>
          <w:rFonts w:cs="Arial"/>
          <w:sz w:val="20"/>
          <w:szCs w:val="28"/>
          <w:lang w:val="en-GB"/>
        </w:rPr>
        <w:t xml:space="preserve"> NATO’s existing </w:t>
      </w:r>
      <w:r w:rsidRPr="00C72C96" w:rsidR="00600388">
        <w:rPr>
          <w:rFonts w:cs="Arial"/>
          <w:sz w:val="20"/>
          <w:szCs w:val="28"/>
          <w:lang w:val="en-GB"/>
        </w:rPr>
        <w:t>b</w:t>
      </w:r>
      <w:r w:rsidRPr="00C72C96">
        <w:rPr>
          <w:rFonts w:cs="Arial"/>
          <w:sz w:val="20"/>
          <w:szCs w:val="28"/>
          <w:lang w:val="en-GB"/>
        </w:rPr>
        <w:t xml:space="preserve">aseline </w:t>
      </w:r>
      <w:r w:rsidRPr="00C72C96" w:rsidR="00600388">
        <w:rPr>
          <w:rFonts w:cs="Arial"/>
          <w:sz w:val="20"/>
          <w:szCs w:val="28"/>
          <w:lang w:val="en-GB"/>
        </w:rPr>
        <w:t>r</w:t>
      </w:r>
      <w:r w:rsidRPr="00C72C96">
        <w:rPr>
          <w:rFonts w:cs="Arial"/>
          <w:sz w:val="20"/>
          <w:szCs w:val="28"/>
          <w:lang w:val="en-GB"/>
        </w:rPr>
        <w:t>equirements (NATO BLR)</w:t>
      </w:r>
      <w:r w:rsidR="00943611">
        <w:rPr>
          <w:rStyle w:val="Voetnootmarkering"/>
          <w:rFonts w:cs="Arial"/>
          <w:sz w:val="20"/>
          <w:szCs w:val="28"/>
          <w:lang w:val="en-GB"/>
        </w:rPr>
        <w:footnoteReference w:id="1"/>
      </w:r>
      <w:r w:rsidRPr="00F3780A" w:rsidR="00F3780A">
        <w:rPr>
          <w:rFonts w:cs="Arial"/>
          <w:sz w:val="20"/>
          <w:szCs w:val="28"/>
          <w:lang w:val="en-GB"/>
        </w:rPr>
        <w:t xml:space="preserve"> </w:t>
      </w:r>
      <w:r w:rsidR="00F3780A">
        <w:rPr>
          <w:rFonts w:cs="Arial"/>
          <w:sz w:val="20"/>
          <w:szCs w:val="28"/>
          <w:lang w:val="en-GB"/>
        </w:rPr>
        <w:t>to ensure coherence and strategic synergy</w:t>
      </w:r>
      <w:r w:rsidRPr="00C72C96">
        <w:rPr>
          <w:rFonts w:cs="Arial"/>
          <w:sz w:val="20"/>
          <w:szCs w:val="28"/>
          <w:lang w:val="en-GB"/>
        </w:rPr>
        <w:t>.</w:t>
      </w:r>
      <w:r w:rsidR="00922976">
        <w:rPr>
          <w:rFonts w:cs="Arial"/>
          <w:sz w:val="20"/>
          <w:szCs w:val="28"/>
          <w:lang w:val="en-GB"/>
        </w:rPr>
        <w:t xml:space="preserve"> </w:t>
      </w:r>
    </w:p>
    <w:p w:rsidR="00AF20B1" w:rsidP="00630DFC" w:rsidRDefault="00AF20B1" w14:paraId="320CCCC4" w14:textId="77777777">
      <w:pPr>
        <w:rPr>
          <w:rFonts w:cs="Arial"/>
          <w:sz w:val="20"/>
          <w:szCs w:val="28"/>
          <w:lang w:val="en-GB"/>
        </w:rPr>
      </w:pPr>
    </w:p>
    <w:p w:rsidRPr="0075403B" w:rsidR="0075403B" w:rsidP="0075403B" w:rsidRDefault="0075403B" w14:paraId="474A41B6" w14:textId="77777777">
      <w:pPr>
        <w:rPr>
          <w:rFonts w:cs="Arial"/>
          <w:b/>
          <w:bCs/>
          <w:sz w:val="20"/>
          <w:szCs w:val="28"/>
          <w:lang w:val="en-GB"/>
        </w:rPr>
      </w:pPr>
      <w:r w:rsidRPr="0075403B">
        <w:rPr>
          <w:rFonts w:cs="Arial"/>
          <w:b/>
          <w:bCs/>
          <w:sz w:val="20"/>
          <w:szCs w:val="28"/>
          <w:lang w:val="en-GB"/>
        </w:rPr>
        <w:t>EU Baseline Requirements</w:t>
      </w:r>
    </w:p>
    <w:p w:rsidR="00187C2E" w:rsidP="00630DFC" w:rsidRDefault="001C360F" w14:paraId="068EA619" w14:textId="02CDE77E">
      <w:pPr>
        <w:rPr>
          <w:rFonts w:cs="Arial"/>
          <w:sz w:val="20"/>
          <w:szCs w:val="28"/>
          <w:lang w:val="en-GB"/>
        </w:rPr>
      </w:pPr>
      <w:r>
        <w:rPr>
          <w:rFonts w:cs="Arial"/>
          <w:sz w:val="20"/>
          <w:szCs w:val="28"/>
          <w:lang w:val="en-GB"/>
        </w:rPr>
        <w:t xml:space="preserve">The </w:t>
      </w:r>
      <w:r>
        <w:rPr>
          <w:rFonts w:cs="Arial"/>
          <w:i/>
          <w:iCs/>
          <w:sz w:val="20"/>
          <w:szCs w:val="28"/>
          <w:lang w:val="en-GB"/>
        </w:rPr>
        <w:t xml:space="preserve">Preparedness Union </w:t>
      </w:r>
      <w:r w:rsidRPr="001C360F">
        <w:rPr>
          <w:rFonts w:cs="Arial"/>
          <w:i/>
          <w:iCs/>
          <w:sz w:val="20"/>
          <w:szCs w:val="28"/>
          <w:lang w:val="en-GB"/>
        </w:rPr>
        <w:t>Strategy</w:t>
      </w:r>
      <w:r>
        <w:rPr>
          <w:rFonts w:cs="Arial"/>
          <w:sz w:val="20"/>
          <w:szCs w:val="28"/>
          <w:lang w:val="en-GB"/>
        </w:rPr>
        <w:t xml:space="preserve"> proposes </w:t>
      </w:r>
      <w:r w:rsidR="0093636B">
        <w:rPr>
          <w:rFonts w:cs="Arial"/>
          <w:sz w:val="20"/>
          <w:szCs w:val="28"/>
          <w:lang w:val="en-GB"/>
        </w:rPr>
        <w:t>to put forward recommendations on</w:t>
      </w:r>
      <w:r>
        <w:rPr>
          <w:rFonts w:cs="Arial"/>
          <w:sz w:val="20"/>
          <w:szCs w:val="28"/>
          <w:lang w:val="en-GB"/>
        </w:rPr>
        <w:t xml:space="preserve"> minimum preparedness requirements, </w:t>
      </w:r>
      <w:r w:rsidR="0093636B">
        <w:rPr>
          <w:rFonts w:cs="Arial"/>
          <w:sz w:val="20"/>
          <w:szCs w:val="28"/>
          <w:lang w:val="en-GB"/>
        </w:rPr>
        <w:t xml:space="preserve">including a monitoring mechanism, </w:t>
      </w:r>
      <w:r>
        <w:rPr>
          <w:rFonts w:cs="Arial"/>
          <w:sz w:val="20"/>
          <w:szCs w:val="28"/>
          <w:lang w:val="en-GB"/>
        </w:rPr>
        <w:t>as set out in key action 7</w:t>
      </w:r>
      <w:r>
        <w:rPr>
          <w:rStyle w:val="Voetnootmarkering"/>
          <w:rFonts w:cs="Arial"/>
          <w:sz w:val="20"/>
          <w:szCs w:val="28"/>
          <w:lang w:val="en-GB"/>
        </w:rPr>
        <w:footnoteReference w:id="2"/>
      </w:r>
      <w:r>
        <w:rPr>
          <w:rFonts w:cs="Arial"/>
          <w:sz w:val="20"/>
          <w:szCs w:val="28"/>
          <w:lang w:val="en-GB"/>
        </w:rPr>
        <w:t xml:space="preserve">. </w:t>
      </w:r>
      <w:r>
        <w:rPr>
          <w:rFonts w:cs="Arial"/>
          <w:sz w:val="20"/>
          <w:szCs w:val="28"/>
          <w:lang w:val="en-US"/>
        </w:rPr>
        <w:t>A common framework defined at the EU level</w:t>
      </w:r>
      <w:r w:rsidR="004D21D6">
        <w:rPr>
          <w:rFonts w:cs="Arial"/>
          <w:sz w:val="20"/>
          <w:szCs w:val="28"/>
          <w:lang w:val="en-US"/>
        </w:rPr>
        <w:t xml:space="preserve"> </w:t>
      </w:r>
      <w:r w:rsidR="00F3780A">
        <w:rPr>
          <w:rFonts w:cs="Arial"/>
          <w:sz w:val="20"/>
          <w:szCs w:val="28"/>
          <w:lang w:val="en-US"/>
        </w:rPr>
        <w:t xml:space="preserve">for </w:t>
      </w:r>
      <w:r w:rsidR="004D21D6">
        <w:rPr>
          <w:rFonts w:cs="Arial"/>
          <w:sz w:val="20"/>
          <w:szCs w:val="28"/>
          <w:lang w:val="en-GB"/>
        </w:rPr>
        <w:t xml:space="preserve">the </w:t>
      </w:r>
      <w:r>
        <w:rPr>
          <w:rFonts w:cs="Arial"/>
          <w:sz w:val="20"/>
          <w:szCs w:val="28"/>
          <w:lang w:val="en-GB"/>
        </w:rPr>
        <w:t xml:space="preserve">continuity of the essential and vital functions is not only valuable to enhance preparedness and resilience across Member States, but already foreseen as an objective. This non-paper therefore argues that the Council should start reflections on the </w:t>
      </w:r>
      <w:r w:rsidR="00A84DC7">
        <w:rPr>
          <w:rFonts w:cs="Arial"/>
          <w:sz w:val="20"/>
          <w:szCs w:val="28"/>
          <w:lang w:val="en-GB"/>
        </w:rPr>
        <w:t>way that</w:t>
      </w:r>
      <w:r>
        <w:rPr>
          <w:rFonts w:cs="Arial"/>
          <w:sz w:val="20"/>
          <w:szCs w:val="28"/>
          <w:lang w:val="en-GB"/>
        </w:rPr>
        <w:t xml:space="preserve"> these</w:t>
      </w:r>
      <w:r w:rsidR="00A254A0">
        <w:rPr>
          <w:rFonts w:cs="Arial"/>
          <w:sz w:val="20"/>
          <w:szCs w:val="28"/>
          <w:lang w:val="en-GB"/>
        </w:rPr>
        <w:t xml:space="preserve"> key actions</w:t>
      </w:r>
      <w:r w:rsidR="00A84DC7">
        <w:rPr>
          <w:rFonts w:cs="Arial"/>
          <w:sz w:val="20"/>
          <w:szCs w:val="28"/>
          <w:lang w:val="en-GB"/>
        </w:rPr>
        <w:t xml:space="preserve"> should be defined, as to provide input for the Commission’s recommendations</w:t>
      </w:r>
      <w:r w:rsidR="00A254A0">
        <w:rPr>
          <w:rFonts w:cs="Arial"/>
          <w:sz w:val="20"/>
          <w:szCs w:val="28"/>
          <w:lang w:val="en-GB"/>
        </w:rPr>
        <w:t>. It is our view that</w:t>
      </w:r>
      <w:r w:rsidR="0093636B">
        <w:rPr>
          <w:rFonts w:cs="Arial"/>
          <w:sz w:val="20"/>
          <w:szCs w:val="28"/>
          <w:lang w:val="en-GB"/>
        </w:rPr>
        <w:t xml:space="preserve"> if</w:t>
      </w:r>
      <w:r w:rsidR="00A254A0">
        <w:rPr>
          <w:rFonts w:cs="Arial"/>
          <w:sz w:val="20"/>
          <w:szCs w:val="28"/>
          <w:lang w:val="en-GB"/>
        </w:rPr>
        <w:t xml:space="preserve"> these</w:t>
      </w:r>
      <w:r>
        <w:rPr>
          <w:rFonts w:cs="Arial"/>
          <w:sz w:val="20"/>
          <w:szCs w:val="28"/>
          <w:lang w:val="en-GB"/>
        </w:rPr>
        <w:t xml:space="preserve"> </w:t>
      </w:r>
      <w:r w:rsidR="004D21D6">
        <w:rPr>
          <w:rFonts w:cs="Arial"/>
          <w:sz w:val="20"/>
          <w:szCs w:val="28"/>
          <w:lang w:val="en-GB"/>
        </w:rPr>
        <w:t>minimum preparedness requirements</w:t>
      </w:r>
      <w:r>
        <w:rPr>
          <w:rFonts w:cs="Arial"/>
          <w:sz w:val="20"/>
          <w:szCs w:val="28"/>
          <w:lang w:val="en-GB"/>
        </w:rPr>
        <w:t xml:space="preserve"> </w:t>
      </w:r>
      <w:r w:rsidR="0093636B">
        <w:rPr>
          <w:rFonts w:cs="Arial"/>
          <w:sz w:val="20"/>
          <w:szCs w:val="28"/>
          <w:lang w:val="en-GB"/>
        </w:rPr>
        <w:t xml:space="preserve">are being developed, they </w:t>
      </w:r>
      <w:r>
        <w:rPr>
          <w:rFonts w:cs="Arial"/>
          <w:sz w:val="20"/>
          <w:szCs w:val="28"/>
          <w:lang w:val="en-GB"/>
        </w:rPr>
        <w:t>should take the form of EU BLR, designed to be complementary to NATO BLR, to</w:t>
      </w:r>
      <w:r w:rsidR="00281CE5">
        <w:rPr>
          <w:rFonts w:cs="Arial"/>
          <w:sz w:val="20"/>
          <w:szCs w:val="28"/>
          <w:lang w:val="en-GB"/>
        </w:rPr>
        <w:t xml:space="preserve"> enable a coherent and structured framework for the Member States.</w:t>
      </w:r>
      <w:r w:rsidR="0075403B">
        <w:rPr>
          <w:rFonts w:cs="Arial"/>
          <w:sz w:val="20"/>
          <w:szCs w:val="28"/>
          <w:lang w:val="en-GB"/>
        </w:rPr>
        <w:t xml:space="preserve"> </w:t>
      </w:r>
    </w:p>
    <w:p w:rsidR="00187C2E" w:rsidP="00630DFC" w:rsidRDefault="00187C2E" w14:paraId="579A4A7A" w14:textId="77777777">
      <w:pPr>
        <w:rPr>
          <w:rFonts w:cs="Arial"/>
          <w:sz w:val="20"/>
          <w:szCs w:val="28"/>
          <w:lang w:val="en-GB"/>
        </w:rPr>
      </w:pPr>
    </w:p>
    <w:p w:rsidR="00281CE5" w:rsidP="00630DFC" w:rsidRDefault="00FD29A5" w14:paraId="6AC9AFF0" w14:textId="2EA35C2A">
      <w:pPr>
        <w:rPr>
          <w:rFonts w:cs="Arial"/>
          <w:sz w:val="20"/>
          <w:szCs w:val="28"/>
          <w:lang w:val="en-US"/>
        </w:rPr>
      </w:pPr>
      <w:r>
        <w:rPr>
          <w:rFonts w:cs="Arial"/>
          <w:sz w:val="20"/>
          <w:szCs w:val="28"/>
          <w:lang w:val="en-GB"/>
        </w:rPr>
        <w:t xml:space="preserve">In a deeply interconnected Europe, the resilience of one Member State is closely linked to the resilience of all. </w:t>
      </w:r>
      <w:r w:rsidRPr="00BD3F43">
        <w:rPr>
          <w:rFonts w:cs="Arial"/>
          <w:sz w:val="20"/>
          <w:szCs w:val="28"/>
          <w:lang w:val="en-US"/>
        </w:rPr>
        <w:t xml:space="preserve">While </w:t>
      </w:r>
      <w:r>
        <w:rPr>
          <w:rFonts w:cs="Arial"/>
          <w:sz w:val="20"/>
          <w:szCs w:val="28"/>
          <w:lang w:val="en-US"/>
        </w:rPr>
        <w:t>the NATO BLR</w:t>
      </w:r>
      <w:r w:rsidRPr="00BD3F43">
        <w:rPr>
          <w:rFonts w:cs="Arial"/>
          <w:sz w:val="20"/>
          <w:szCs w:val="28"/>
          <w:lang w:val="en-US"/>
        </w:rPr>
        <w:t xml:space="preserve"> serve as a strong reference point for many countries, </w:t>
      </w:r>
      <w:r w:rsidR="001C360F">
        <w:rPr>
          <w:rFonts w:cs="Arial"/>
          <w:sz w:val="20"/>
          <w:szCs w:val="28"/>
          <w:lang w:val="en-US"/>
        </w:rPr>
        <w:t xml:space="preserve">some </w:t>
      </w:r>
      <w:r w:rsidR="009A38FA">
        <w:rPr>
          <w:rFonts w:cs="Arial"/>
          <w:sz w:val="20"/>
          <w:szCs w:val="28"/>
          <w:lang w:val="en-US"/>
        </w:rPr>
        <w:t xml:space="preserve">non-NATO EU Member States are also actively engaged in strengthening </w:t>
      </w:r>
      <w:r w:rsidR="00664600">
        <w:rPr>
          <w:rFonts w:cs="Arial"/>
          <w:sz w:val="20"/>
          <w:szCs w:val="28"/>
          <w:lang w:val="en-US"/>
        </w:rPr>
        <w:t xml:space="preserve">their national resilience. The objective of establishing EU baseline requirements is not to replace or question these efforts, but rather to provide a </w:t>
      </w:r>
      <w:r w:rsidR="005E189D">
        <w:rPr>
          <w:rFonts w:cs="Arial"/>
          <w:sz w:val="20"/>
          <w:szCs w:val="28"/>
          <w:lang w:val="en-US"/>
        </w:rPr>
        <w:t>common f</w:t>
      </w:r>
      <w:r w:rsidR="00664600">
        <w:rPr>
          <w:rFonts w:cs="Arial"/>
          <w:sz w:val="20"/>
          <w:szCs w:val="28"/>
          <w:lang w:val="en-US"/>
        </w:rPr>
        <w:t xml:space="preserve">ramework that </w:t>
      </w:r>
      <w:r w:rsidR="001C360F">
        <w:rPr>
          <w:rFonts w:cs="Arial"/>
          <w:sz w:val="20"/>
          <w:szCs w:val="28"/>
          <w:lang w:val="en-US"/>
        </w:rPr>
        <w:t xml:space="preserve">provides the opportunity to include </w:t>
      </w:r>
      <w:r w:rsidR="00664600">
        <w:rPr>
          <w:rFonts w:cs="Arial"/>
          <w:sz w:val="20"/>
          <w:szCs w:val="28"/>
          <w:lang w:val="en-US"/>
        </w:rPr>
        <w:t xml:space="preserve">all Member States, </w:t>
      </w:r>
      <w:r w:rsidR="001C360F">
        <w:rPr>
          <w:rFonts w:cs="Arial"/>
          <w:sz w:val="20"/>
          <w:szCs w:val="28"/>
          <w:lang w:val="en-US"/>
        </w:rPr>
        <w:t xml:space="preserve">independent </w:t>
      </w:r>
      <w:r w:rsidR="00664600">
        <w:rPr>
          <w:rFonts w:cs="Arial"/>
          <w:sz w:val="20"/>
          <w:szCs w:val="28"/>
          <w:lang w:val="en-US"/>
        </w:rPr>
        <w:t>of NATO membership. This would facilitate coordination, enhance interoperability, and support the development of coherent national resilience plans across the Union</w:t>
      </w:r>
      <w:r w:rsidR="001C360F">
        <w:rPr>
          <w:rFonts w:cs="Arial"/>
          <w:sz w:val="20"/>
          <w:szCs w:val="28"/>
          <w:lang w:val="en-US"/>
        </w:rPr>
        <w:t>, leaving no Member State</w:t>
      </w:r>
      <w:r w:rsidR="0045388F">
        <w:rPr>
          <w:rFonts w:cs="Arial"/>
          <w:sz w:val="20"/>
          <w:szCs w:val="28"/>
          <w:lang w:val="en-US"/>
        </w:rPr>
        <w:t xml:space="preserve"> behind. </w:t>
      </w:r>
    </w:p>
    <w:p w:rsidR="0045388F" w:rsidP="00630DFC" w:rsidRDefault="0045388F" w14:paraId="76066360" w14:textId="77777777">
      <w:pPr>
        <w:rPr>
          <w:rFonts w:cs="Arial"/>
          <w:sz w:val="20"/>
          <w:szCs w:val="28"/>
          <w:lang w:val="en-US"/>
        </w:rPr>
      </w:pPr>
    </w:p>
    <w:p w:rsidR="0045388F" w:rsidP="0045388F" w:rsidRDefault="0045388F" w14:paraId="734D3168" w14:textId="0960AB1E">
      <w:pPr>
        <w:rPr>
          <w:rFonts w:cs="Arial"/>
          <w:sz w:val="20"/>
          <w:szCs w:val="28"/>
          <w:lang w:val="en-US"/>
        </w:rPr>
      </w:pPr>
      <w:r>
        <w:rPr>
          <w:rFonts w:cs="Arial"/>
          <w:sz w:val="20"/>
          <w:szCs w:val="28"/>
          <w:lang w:val="en-GB"/>
        </w:rPr>
        <w:t xml:space="preserve">To define the specific scope and focus of the EU BLR and ensure their relevance, a thorough analysis </w:t>
      </w:r>
      <w:r w:rsidR="001C360F">
        <w:rPr>
          <w:rFonts w:cs="Arial"/>
          <w:sz w:val="20"/>
          <w:szCs w:val="28"/>
          <w:lang w:val="en-GB"/>
        </w:rPr>
        <w:t xml:space="preserve">of existing legislation </w:t>
      </w:r>
      <w:r>
        <w:rPr>
          <w:rFonts w:cs="Arial"/>
          <w:sz w:val="20"/>
          <w:szCs w:val="28"/>
          <w:lang w:val="en-GB"/>
        </w:rPr>
        <w:t xml:space="preserve">should be conducted to identify gaps and </w:t>
      </w:r>
      <w:r w:rsidR="001C360F">
        <w:rPr>
          <w:rFonts w:cs="Arial"/>
          <w:sz w:val="20"/>
          <w:szCs w:val="28"/>
          <w:lang w:val="en-GB"/>
        </w:rPr>
        <w:t xml:space="preserve">possible </w:t>
      </w:r>
      <w:r>
        <w:rPr>
          <w:rFonts w:cs="Arial"/>
          <w:sz w:val="20"/>
          <w:szCs w:val="28"/>
          <w:lang w:val="en-GB"/>
        </w:rPr>
        <w:t xml:space="preserve">opportunities. This analysis should build on what already exists at NATO level, </w:t>
      </w:r>
      <w:r w:rsidR="001B4997">
        <w:rPr>
          <w:rFonts w:cs="Arial"/>
          <w:sz w:val="20"/>
          <w:szCs w:val="28"/>
          <w:lang w:val="en-GB"/>
        </w:rPr>
        <w:t xml:space="preserve">while also </w:t>
      </w:r>
      <w:r w:rsidR="001139BE">
        <w:rPr>
          <w:rFonts w:cs="Arial"/>
          <w:sz w:val="20"/>
          <w:szCs w:val="28"/>
          <w:lang w:val="en-GB"/>
        </w:rPr>
        <w:t xml:space="preserve">taking into account what is being </w:t>
      </w:r>
      <w:r w:rsidR="0038020B">
        <w:rPr>
          <w:rFonts w:cs="Arial"/>
          <w:sz w:val="20"/>
          <w:szCs w:val="28"/>
          <w:lang w:val="en-GB"/>
        </w:rPr>
        <w:t xml:space="preserve">done </w:t>
      </w:r>
      <w:r>
        <w:rPr>
          <w:rFonts w:cs="Arial"/>
          <w:sz w:val="20"/>
          <w:szCs w:val="28"/>
          <w:lang w:val="en-GB"/>
        </w:rPr>
        <w:t xml:space="preserve">within other international frameworks, such as the </w:t>
      </w:r>
      <w:r w:rsidR="0038020B">
        <w:rPr>
          <w:rFonts w:cs="Arial"/>
          <w:sz w:val="20"/>
          <w:szCs w:val="28"/>
          <w:lang w:val="en-GB"/>
        </w:rPr>
        <w:t xml:space="preserve">United Nations </w:t>
      </w:r>
      <w:r>
        <w:rPr>
          <w:rFonts w:cs="Arial"/>
          <w:sz w:val="20"/>
          <w:szCs w:val="28"/>
          <w:lang w:val="en-GB"/>
        </w:rPr>
        <w:t>Sendai Framework</w:t>
      </w:r>
      <w:r w:rsidR="00A516E7">
        <w:rPr>
          <w:rFonts w:cs="Arial"/>
          <w:sz w:val="20"/>
          <w:szCs w:val="28"/>
          <w:lang w:val="en-GB"/>
        </w:rPr>
        <w:t xml:space="preserve"> on Disaster Risk Reduction</w:t>
      </w:r>
      <w:r w:rsidR="0038020B">
        <w:rPr>
          <w:rFonts w:cs="Arial"/>
          <w:sz w:val="20"/>
          <w:szCs w:val="28"/>
          <w:lang w:val="en-GB"/>
        </w:rPr>
        <w:t>,</w:t>
      </w:r>
      <w:r>
        <w:rPr>
          <w:rFonts w:cs="Arial"/>
          <w:sz w:val="20"/>
          <w:szCs w:val="28"/>
          <w:lang w:val="en-GB"/>
        </w:rPr>
        <w:t xml:space="preserve"> </w:t>
      </w:r>
      <w:r w:rsidR="001B4997">
        <w:rPr>
          <w:rFonts w:cs="Arial"/>
          <w:sz w:val="20"/>
          <w:szCs w:val="28"/>
          <w:lang w:val="en-GB"/>
        </w:rPr>
        <w:t>to make sure</w:t>
      </w:r>
      <w:r w:rsidR="0038020B">
        <w:rPr>
          <w:rFonts w:cs="Arial"/>
          <w:sz w:val="20"/>
          <w:szCs w:val="28"/>
          <w:lang w:val="en-GB"/>
        </w:rPr>
        <w:t xml:space="preserve"> that </w:t>
      </w:r>
      <w:r w:rsidR="001B4997">
        <w:rPr>
          <w:rFonts w:cs="Arial"/>
          <w:sz w:val="20"/>
          <w:szCs w:val="28"/>
          <w:lang w:val="en-GB"/>
        </w:rPr>
        <w:t xml:space="preserve">the </w:t>
      </w:r>
      <w:r w:rsidR="0038020B">
        <w:rPr>
          <w:rFonts w:cs="Arial"/>
          <w:sz w:val="20"/>
          <w:szCs w:val="28"/>
          <w:lang w:val="en-GB"/>
        </w:rPr>
        <w:t xml:space="preserve">developments at EU level complement these existing </w:t>
      </w:r>
      <w:r w:rsidR="005E189D">
        <w:rPr>
          <w:rFonts w:cs="Arial"/>
          <w:sz w:val="20"/>
          <w:szCs w:val="28"/>
          <w:lang w:val="en-GB"/>
        </w:rPr>
        <w:t>efforts</w:t>
      </w:r>
      <w:r>
        <w:rPr>
          <w:rFonts w:cs="Arial"/>
          <w:sz w:val="20"/>
          <w:szCs w:val="28"/>
          <w:lang w:val="en-GB"/>
        </w:rPr>
        <w:t xml:space="preserve">. </w:t>
      </w:r>
      <w:r w:rsidR="001C360F">
        <w:rPr>
          <w:rFonts w:cs="Arial"/>
          <w:sz w:val="20"/>
          <w:szCs w:val="28"/>
          <w:lang w:val="en-GB"/>
        </w:rPr>
        <w:t xml:space="preserve">In doing so, it is crucial that the EU BLR are designed within the boundaries of existing mandates and with respect for Member States’ national competences. </w:t>
      </w:r>
      <w:r w:rsidR="001757E0">
        <w:rPr>
          <w:rFonts w:cs="Arial"/>
          <w:sz w:val="20"/>
          <w:szCs w:val="28"/>
          <w:lang w:val="en-GB"/>
        </w:rPr>
        <w:t>This would</w:t>
      </w:r>
      <w:r>
        <w:rPr>
          <w:rFonts w:cs="Arial"/>
          <w:sz w:val="20"/>
          <w:szCs w:val="28"/>
          <w:lang w:val="en-GB"/>
        </w:rPr>
        <w:t xml:space="preserve"> enable the EU BLR to</w:t>
      </w:r>
      <w:r w:rsidRPr="00347872">
        <w:rPr>
          <w:rFonts w:cs="Arial"/>
          <w:sz w:val="20"/>
          <w:szCs w:val="28"/>
          <w:lang w:val="en-US"/>
        </w:rPr>
        <w:t xml:space="preserve"> clos</w:t>
      </w:r>
      <w:r>
        <w:rPr>
          <w:rFonts w:cs="Arial"/>
          <w:sz w:val="20"/>
          <w:szCs w:val="28"/>
          <w:lang w:val="en-US"/>
        </w:rPr>
        <w:t>e</w:t>
      </w:r>
      <w:r w:rsidRPr="00347872">
        <w:rPr>
          <w:rFonts w:cs="Arial"/>
          <w:sz w:val="20"/>
          <w:szCs w:val="28"/>
          <w:lang w:val="en-US"/>
        </w:rPr>
        <w:t xml:space="preserve"> existing gaps</w:t>
      </w:r>
      <w:r w:rsidR="001B4997">
        <w:rPr>
          <w:rFonts w:cs="Arial"/>
          <w:sz w:val="20"/>
          <w:szCs w:val="28"/>
          <w:lang w:val="en-US"/>
        </w:rPr>
        <w:t xml:space="preserve"> and </w:t>
      </w:r>
      <w:r w:rsidR="005E189D">
        <w:rPr>
          <w:rFonts w:cs="Arial"/>
          <w:sz w:val="20"/>
          <w:szCs w:val="28"/>
          <w:lang w:val="en-US"/>
        </w:rPr>
        <w:t>adopt a</w:t>
      </w:r>
      <w:r w:rsidR="001B4997">
        <w:rPr>
          <w:rFonts w:cs="Arial"/>
          <w:sz w:val="20"/>
          <w:szCs w:val="28"/>
          <w:lang w:val="en-US"/>
        </w:rPr>
        <w:t xml:space="preserve"> whole-of-society</w:t>
      </w:r>
      <w:r w:rsidR="005E189D">
        <w:rPr>
          <w:rFonts w:cs="Arial"/>
          <w:sz w:val="20"/>
          <w:szCs w:val="28"/>
          <w:lang w:val="en-US"/>
        </w:rPr>
        <w:t xml:space="preserve"> approach</w:t>
      </w:r>
      <w:r w:rsidRPr="00347872">
        <w:rPr>
          <w:rFonts w:cs="Arial"/>
          <w:sz w:val="20"/>
          <w:szCs w:val="28"/>
          <w:lang w:val="en-US"/>
        </w:rPr>
        <w:t xml:space="preserve">, strengthen </w:t>
      </w:r>
      <w:r>
        <w:rPr>
          <w:rFonts w:cs="Arial"/>
          <w:sz w:val="20"/>
          <w:szCs w:val="28"/>
          <w:lang w:val="en-US"/>
        </w:rPr>
        <w:t xml:space="preserve">coherence between </w:t>
      </w:r>
      <w:r w:rsidR="001757E0">
        <w:rPr>
          <w:rFonts w:cs="Arial"/>
          <w:sz w:val="20"/>
          <w:szCs w:val="28"/>
          <w:lang w:val="en-US"/>
        </w:rPr>
        <w:t xml:space="preserve">different </w:t>
      </w:r>
      <w:r>
        <w:rPr>
          <w:rFonts w:cs="Arial"/>
          <w:sz w:val="20"/>
          <w:szCs w:val="28"/>
          <w:lang w:val="en-US"/>
        </w:rPr>
        <w:t>frameworks</w:t>
      </w:r>
      <w:r w:rsidRPr="00347872">
        <w:rPr>
          <w:rFonts w:cs="Arial"/>
          <w:sz w:val="20"/>
          <w:szCs w:val="28"/>
          <w:lang w:val="en-US"/>
        </w:rPr>
        <w:t>, and</w:t>
      </w:r>
      <w:r>
        <w:rPr>
          <w:rFonts w:cs="Arial"/>
          <w:sz w:val="20"/>
          <w:szCs w:val="28"/>
          <w:lang w:val="en-US"/>
        </w:rPr>
        <w:t xml:space="preserve"> connect resilience efforts across sectors.</w:t>
      </w:r>
      <w:r w:rsidRPr="00347872">
        <w:rPr>
          <w:rFonts w:cs="Arial"/>
          <w:sz w:val="20"/>
          <w:szCs w:val="28"/>
          <w:lang w:val="en-US"/>
        </w:rPr>
        <w:t xml:space="preserve"> </w:t>
      </w:r>
      <w:r w:rsidRPr="00922976" w:rsidR="00781EB5">
        <w:rPr>
          <w:rFonts w:cs="Arial"/>
          <w:sz w:val="20"/>
          <w:szCs w:val="28"/>
          <w:lang w:val="en-US"/>
        </w:rPr>
        <w:t xml:space="preserve">It is </w:t>
      </w:r>
      <w:r w:rsidR="001C1885">
        <w:rPr>
          <w:rFonts w:cs="Arial"/>
          <w:sz w:val="20"/>
          <w:szCs w:val="28"/>
          <w:lang w:val="en-US"/>
        </w:rPr>
        <w:t xml:space="preserve">also </w:t>
      </w:r>
      <w:r w:rsidRPr="00922976" w:rsidR="00781EB5">
        <w:rPr>
          <w:rFonts w:cs="Arial"/>
          <w:sz w:val="20"/>
          <w:szCs w:val="28"/>
          <w:lang w:val="en-US"/>
        </w:rPr>
        <w:t xml:space="preserve">important that the </w:t>
      </w:r>
      <w:r w:rsidRPr="00BD3F43" w:rsidR="00F067D9">
        <w:rPr>
          <w:rFonts w:cs="Arial"/>
          <w:sz w:val="20"/>
          <w:szCs w:val="28"/>
          <w:lang w:val="en-US"/>
        </w:rPr>
        <w:t xml:space="preserve">establishment of </w:t>
      </w:r>
      <w:r w:rsidRPr="00922976" w:rsidR="00781EB5">
        <w:rPr>
          <w:rFonts w:cs="Arial"/>
          <w:sz w:val="20"/>
          <w:szCs w:val="28"/>
          <w:lang w:val="en-US"/>
        </w:rPr>
        <w:t xml:space="preserve">EU BLR </w:t>
      </w:r>
      <w:r w:rsidR="001C360F">
        <w:rPr>
          <w:rFonts w:cs="Arial"/>
          <w:sz w:val="20"/>
          <w:szCs w:val="28"/>
          <w:lang w:val="en-GB"/>
        </w:rPr>
        <w:t>builds on</w:t>
      </w:r>
      <w:r>
        <w:rPr>
          <w:rFonts w:cs="Arial"/>
          <w:sz w:val="20"/>
          <w:szCs w:val="28"/>
          <w:lang w:val="en-GB"/>
        </w:rPr>
        <w:t xml:space="preserve"> existing legislative and strategic EU instruments that already contribute to strengthening the Union’s overall resilience. </w:t>
      </w:r>
      <w:r w:rsidRPr="00347872">
        <w:rPr>
          <w:rFonts w:cs="Arial"/>
          <w:sz w:val="20"/>
          <w:szCs w:val="28"/>
          <w:lang w:val="en-US"/>
        </w:rPr>
        <w:t xml:space="preserve">The aim is to </w:t>
      </w:r>
      <w:r w:rsidR="00C11429">
        <w:rPr>
          <w:rFonts w:cs="Arial"/>
          <w:sz w:val="20"/>
          <w:szCs w:val="28"/>
          <w:lang w:val="en-US"/>
        </w:rPr>
        <w:t>help</w:t>
      </w:r>
      <w:r w:rsidRPr="00347872">
        <w:rPr>
          <w:rFonts w:cs="Arial"/>
          <w:sz w:val="20"/>
          <w:szCs w:val="28"/>
          <w:lang w:val="en-US"/>
        </w:rPr>
        <w:t xml:space="preserve"> Member States to </w:t>
      </w:r>
      <w:r w:rsidRPr="00BD3F43">
        <w:rPr>
          <w:rFonts w:cs="Arial"/>
          <w:sz w:val="20"/>
          <w:szCs w:val="28"/>
          <w:lang w:val="en-US"/>
        </w:rPr>
        <w:t>navigate complexity</w:t>
      </w:r>
      <w:r w:rsidRPr="00347872">
        <w:rPr>
          <w:rFonts w:cs="Arial"/>
          <w:sz w:val="20"/>
          <w:szCs w:val="28"/>
          <w:lang w:val="en-US"/>
        </w:rPr>
        <w:t xml:space="preserve"> without duplication of effort, and making full use of </w:t>
      </w:r>
      <w:r w:rsidR="001C1885">
        <w:rPr>
          <w:rFonts w:cs="Arial"/>
          <w:sz w:val="20"/>
          <w:szCs w:val="28"/>
          <w:lang w:val="en-US"/>
        </w:rPr>
        <w:t xml:space="preserve">the </w:t>
      </w:r>
      <w:r w:rsidRPr="00347872">
        <w:rPr>
          <w:rFonts w:cs="Arial"/>
          <w:sz w:val="20"/>
          <w:szCs w:val="28"/>
          <w:lang w:val="en-US"/>
        </w:rPr>
        <w:t>tools and mechanisms that are already in place.</w:t>
      </w:r>
    </w:p>
    <w:p w:rsidR="00D2328E" w:rsidP="0045388F" w:rsidRDefault="00D2328E" w14:paraId="2654A48B" w14:textId="77777777">
      <w:pPr>
        <w:rPr>
          <w:rFonts w:cs="Arial"/>
          <w:sz w:val="20"/>
          <w:szCs w:val="28"/>
          <w:lang w:val="en-US"/>
        </w:rPr>
      </w:pPr>
    </w:p>
    <w:p w:rsidR="00D2328E" w:rsidP="0045388F" w:rsidRDefault="00D2328E" w14:paraId="435091D7" w14:textId="53A0A2F0">
      <w:pPr>
        <w:rPr>
          <w:rFonts w:cs="Arial"/>
          <w:sz w:val="20"/>
          <w:szCs w:val="28"/>
          <w:lang w:val="en-US"/>
        </w:rPr>
      </w:pPr>
      <w:r w:rsidRPr="00D2328E">
        <w:rPr>
          <w:rFonts w:cs="Arial"/>
          <w:sz w:val="20"/>
          <w:szCs w:val="28"/>
          <w:lang w:val="en-US"/>
        </w:rPr>
        <w:t>As a result of th</w:t>
      </w:r>
      <w:r w:rsidR="001B4997">
        <w:rPr>
          <w:rFonts w:cs="Arial"/>
          <w:sz w:val="20"/>
          <w:szCs w:val="28"/>
          <w:lang w:val="en-US"/>
        </w:rPr>
        <w:t>is</w:t>
      </w:r>
      <w:r w:rsidRPr="00D2328E">
        <w:rPr>
          <w:rFonts w:cs="Arial"/>
          <w:sz w:val="20"/>
          <w:szCs w:val="28"/>
          <w:lang w:val="en-US"/>
        </w:rPr>
        <w:t xml:space="preserve"> </w:t>
      </w:r>
      <w:r w:rsidR="00EC5E87">
        <w:rPr>
          <w:rFonts w:cs="Arial"/>
          <w:sz w:val="20"/>
          <w:szCs w:val="28"/>
          <w:lang w:val="en-US"/>
        </w:rPr>
        <w:t xml:space="preserve">gap </w:t>
      </w:r>
      <w:r w:rsidRPr="00D2328E">
        <w:rPr>
          <w:rFonts w:cs="Arial"/>
          <w:sz w:val="20"/>
          <w:szCs w:val="28"/>
          <w:lang w:val="en-US"/>
        </w:rPr>
        <w:t>analys</w:t>
      </w:r>
      <w:r w:rsidR="001B4997">
        <w:rPr>
          <w:rFonts w:cs="Arial"/>
          <w:sz w:val="20"/>
          <w:szCs w:val="28"/>
          <w:lang w:val="en-US"/>
        </w:rPr>
        <w:t>i</w:t>
      </w:r>
      <w:r w:rsidRPr="00D2328E">
        <w:rPr>
          <w:rFonts w:cs="Arial"/>
          <w:sz w:val="20"/>
          <w:szCs w:val="28"/>
          <w:lang w:val="en-US"/>
        </w:rPr>
        <w:t xml:space="preserve">s of existing </w:t>
      </w:r>
      <w:r w:rsidR="005E189D">
        <w:rPr>
          <w:rFonts w:cs="Arial"/>
          <w:sz w:val="20"/>
          <w:szCs w:val="28"/>
          <w:lang w:val="en-US"/>
        </w:rPr>
        <w:t>efforts</w:t>
      </w:r>
      <w:r w:rsidR="00EC5E87">
        <w:rPr>
          <w:rFonts w:cs="Arial"/>
          <w:sz w:val="20"/>
          <w:szCs w:val="28"/>
          <w:lang w:val="en-US"/>
        </w:rPr>
        <w:t xml:space="preserve"> and legislation</w:t>
      </w:r>
      <w:r w:rsidRPr="00D2328E">
        <w:rPr>
          <w:rFonts w:cs="Arial"/>
          <w:sz w:val="20"/>
          <w:szCs w:val="28"/>
          <w:lang w:val="en-US"/>
        </w:rPr>
        <w:t>, the EU BLR</w:t>
      </w:r>
      <w:r w:rsidR="00214D7F">
        <w:rPr>
          <w:rFonts w:cs="Arial"/>
          <w:sz w:val="20"/>
          <w:szCs w:val="28"/>
          <w:lang w:val="en-US"/>
        </w:rPr>
        <w:t xml:space="preserve"> </w:t>
      </w:r>
      <w:r w:rsidR="001B4997">
        <w:rPr>
          <w:rFonts w:cs="Arial"/>
          <w:sz w:val="20"/>
          <w:szCs w:val="28"/>
          <w:lang w:val="en-US"/>
        </w:rPr>
        <w:t>should</w:t>
      </w:r>
      <w:r w:rsidRPr="00D2328E">
        <w:rPr>
          <w:rFonts w:cs="Arial"/>
          <w:sz w:val="20"/>
          <w:szCs w:val="28"/>
          <w:lang w:val="en-US"/>
        </w:rPr>
        <w:t xml:space="preserve"> </w:t>
      </w:r>
      <w:r w:rsidR="009A38FA">
        <w:rPr>
          <w:rFonts w:cs="Arial"/>
          <w:sz w:val="20"/>
          <w:szCs w:val="28"/>
          <w:lang w:val="en-US"/>
        </w:rPr>
        <w:t xml:space="preserve">define and </w:t>
      </w:r>
      <w:r w:rsidRPr="00D2328E">
        <w:rPr>
          <w:rFonts w:cs="Arial"/>
          <w:sz w:val="20"/>
          <w:szCs w:val="28"/>
          <w:lang w:val="en-US"/>
        </w:rPr>
        <w:t xml:space="preserve">cover the essential </w:t>
      </w:r>
      <w:r w:rsidR="001B4997">
        <w:rPr>
          <w:rFonts w:cs="Arial"/>
          <w:sz w:val="20"/>
          <w:szCs w:val="28"/>
          <w:lang w:val="en-US"/>
        </w:rPr>
        <w:t xml:space="preserve">and vital </w:t>
      </w:r>
      <w:r w:rsidRPr="00D2328E">
        <w:rPr>
          <w:rFonts w:cs="Arial"/>
          <w:sz w:val="20"/>
          <w:szCs w:val="28"/>
          <w:lang w:val="en-US"/>
        </w:rPr>
        <w:t xml:space="preserve">functions of </w:t>
      </w:r>
      <w:r w:rsidR="001B4997">
        <w:rPr>
          <w:rFonts w:cs="Arial"/>
          <w:sz w:val="20"/>
          <w:szCs w:val="28"/>
          <w:lang w:val="en-US"/>
        </w:rPr>
        <w:t>both the EU and its</w:t>
      </w:r>
      <w:r w:rsidRPr="00D2328E">
        <w:rPr>
          <w:rFonts w:cs="Arial"/>
          <w:sz w:val="20"/>
          <w:szCs w:val="28"/>
          <w:lang w:val="en-US"/>
        </w:rPr>
        <w:t xml:space="preserve"> Member States. </w:t>
      </w:r>
      <w:r w:rsidR="00214D7F">
        <w:rPr>
          <w:rFonts w:cs="Arial"/>
          <w:sz w:val="20"/>
          <w:szCs w:val="28"/>
          <w:lang w:val="en-US"/>
        </w:rPr>
        <w:t xml:space="preserve">Although not legally binding, the requirements would </w:t>
      </w:r>
      <w:r w:rsidRPr="00D2328E">
        <w:rPr>
          <w:rFonts w:cs="Arial"/>
          <w:sz w:val="20"/>
          <w:szCs w:val="28"/>
          <w:lang w:val="en-US"/>
        </w:rPr>
        <w:t>cover several sectors of activity that will enable the</w:t>
      </w:r>
      <w:r w:rsidR="00214D7F">
        <w:rPr>
          <w:rFonts w:cs="Arial"/>
          <w:sz w:val="20"/>
          <w:szCs w:val="28"/>
          <w:lang w:val="en-US"/>
        </w:rPr>
        <w:t xml:space="preserve"> continued operating of these </w:t>
      </w:r>
      <w:r w:rsidR="005E189D">
        <w:rPr>
          <w:rFonts w:cs="Arial"/>
          <w:sz w:val="20"/>
          <w:szCs w:val="28"/>
          <w:lang w:val="en-US"/>
        </w:rPr>
        <w:t xml:space="preserve">essential and </w:t>
      </w:r>
      <w:r w:rsidRPr="00D2328E">
        <w:rPr>
          <w:rFonts w:cs="Arial"/>
          <w:sz w:val="20"/>
          <w:szCs w:val="28"/>
          <w:lang w:val="en-US"/>
        </w:rPr>
        <w:t xml:space="preserve">vital </w:t>
      </w:r>
      <w:r w:rsidR="00214D7F">
        <w:rPr>
          <w:rFonts w:cs="Arial"/>
          <w:sz w:val="20"/>
          <w:szCs w:val="28"/>
          <w:lang w:val="en-US"/>
        </w:rPr>
        <w:t>societal</w:t>
      </w:r>
      <w:r w:rsidRPr="00D2328E">
        <w:rPr>
          <w:rFonts w:cs="Arial"/>
          <w:sz w:val="20"/>
          <w:szCs w:val="28"/>
          <w:lang w:val="en-US"/>
        </w:rPr>
        <w:t xml:space="preserve"> functions. </w:t>
      </w:r>
      <w:r w:rsidR="00EC5E87">
        <w:rPr>
          <w:rFonts w:cs="Arial"/>
          <w:sz w:val="20"/>
          <w:szCs w:val="28"/>
          <w:lang w:val="en-US"/>
        </w:rPr>
        <w:t>The development of EU BLR would benefit two levels in complementary ways</w:t>
      </w:r>
      <w:r w:rsidRPr="00D2328E">
        <w:rPr>
          <w:rFonts w:cs="Arial"/>
          <w:sz w:val="20"/>
          <w:szCs w:val="28"/>
          <w:lang w:val="en-US"/>
        </w:rPr>
        <w:t>:</w:t>
      </w:r>
    </w:p>
    <w:p w:rsidRPr="00D2328E" w:rsidR="00D2328E" w:rsidP="00D2328E" w:rsidRDefault="00214D7F" w14:paraId="69CFB412" w14:textId="0631801F">
      <w:pPr>
        <w:pStyle w:val="Lijstalinea"/>
        <w:numPr>
          <w:ilvl w:val="0"/>
          <w:numId w:val="19"/>
        </w:numPr>
        <w:rPr>
          <w:rFonts w:cs="Arial"/>
          <w:sz w:val="20"/>
          <w:szCs w:val="28"/>
          <w:lang w:val="en-US"/>
        </w:rPr>
      </w:pPr>
      <w:r>
        <w:rPr>
          <w:rFonts w:cs="Arial"/>
          <w:sz w:val="20"/>
          <w:szCs w:val="28"/>
          <w:lang w:val="en-US"/>
        </w:rPr>
        <w:lastRenderedPageBreak/>
        <w:t xml:space="preserve">At national level, the </w:t>
      </w:r>
      <w:r w:rsidR="00427150">
        <w:rPr>
          <w:rFonts w:cs="Arial"/>
          <w:sz w:val="20"/>
          <w:szCs w:val="28"/>
          <w:lang w:val="en-US"/>
        </w:rPr>
        <w:t xml:space="preserve">EU BLR would provide Member States a practical framework, </w:t>
      </w:r>
      <w:r w:rsidRPr="00D2328E" w:rsidR="00D2328E">
        <w:rPr>
          <w:rFonts w:cs="Arial"/>
          <w:sz w:val="20"/>
          <w:szCs w:val="28"/>
          <w:lang w:val="en-US"/>
        </w:rPr>
        <w:t>encouraging the complementarity of their actions with each other</w:t>
      </w:r>
      <w:r w:rsidR="00427150">
        <w:rPr>
          <w:rFonts w:cs="Arial"/>
          <w:sz w:val="20"/>
          <w:szCs w:val="28"/>
          <w:lang w:val="en-US"/>
        </w:rPr>
        <w:t>,</w:t>
      </w:r>
      <w:r w:rsidRPr="00D2328E" w:rsidR="00D2328E">
        <w:rPr>
          <w:rFonts w:cs="Arial"/>
          <w:sz w:val="20"/>
          <w:szCs w:val="28"/>
          <w:lang w:val="en-US"/>
        </w:rPr>
        <w:t xml:space="preserve"> and with the EU</w:t>
      </w:r>
      <w:r w:rsidR="00427150">
        <w:rPr>
          <w:rFonts w:cs="Arial"/>
          <w:sz w:val="20"/>
          <w:szCs w:val="28"/>
          <w:lang w:val="en-US"/>
        </w:rPr>
        <w:t xml:space="preserve">, </w:t>
      </w:r>
      <w:r w:rsidRPr="00D2328E" w:rsidR="00D2328E">
        <w:rPr>
          <w:rFonts w:cs="Arial"/>
          <w:sz w:val="20"/>
          <w:szCs w:val="28"/>
          <w:lang w:val="en-US"/>
        </w:rPr>
        <w:t xml:space="preserve">and </w:t>
      </w:r>
      <w:r w:rsidR="00427150">
        <w:rPr>
          <w:rFonts w:cs="Arial"/>
          <w:sz w:val="20"/>
          <w:szCs w:val="28"/>
          <w:lang w:val="en-US"/>
        </w:rPr>
        <w:t xml:space="preserve">with </w:t>
      </w:r>
      <w:r w:rsidRPr="00D2328E" w:rsidR="00D2328E">
        <w:rPr>
          <w:rFonts w:cs="Arial"/>
          <w:sz w:val="20"/>
          <w:szCs w:val="28"/>
          <w:lang w:val="en-US"/>
        </w:rPr>
        <w:t xml:space="preserve">other </w:t>
      </w:r>
      <w:proofErr w:type="spellStart"/>
      <w:r w:rsidRPr="00D2328E" w:rsidR="00D2328E">
        <w:rPr>
          <w:rFonts w:cs="Arial"/>
          <w:sz w:val="20"/>
          <w:szCs w:val="28"/>
          <w:lang w:val="en-US"/>
        </w:rPr>
        <w:t>organisations</w:t>
      </w:r>
      <w:proofErr w:type="spellEnd"/>
      <w:r w:rsidRPr="00D2328E" w:rsidR="00D2328E">
        <w:rPr>
          <w:rFonts w:cs="Arial"/>
          <w:sz w:val="20"/>
          <w:szCs w:val="28"/>
          <w:lang w:val="en-US"/>
        </w:rPr>
        <w:t xml:space="preserve"> such as NATO; </w:t>
      </w:r>
    </w:p>
    <w:p w:rsidR="00D2328E" w:rsidP="004F192C" w:rsidRDefault="00D2328E" w14:paraId="570C31BB" w14:textId="568F7EFF">
      <w:pPr>
        <w:pStyle w:val="Lijstalinea"/>
        <w:numPr>
          <w:ilvl w:val="0"/>
          <w:numId w:val="19"/>
        </w:numPr>
        <w:rPr>
          <w:rFonts w:cs="Arial"/>
          <w:sz w:val="20"/>
          <w:szCs w:val="28"/>
          <w:lang w:val="en-US"/>
        </w:rPr>
      </w:pPr>
      <w:r w:rsidRPr="00D2328E">
        <w:rPr>
          <w:rFonts w:cs="Arial"/>
          <w:sz w:val="20"/>
          <w:szCs w:val="28"/>
          <w:lang w:val="en-US"/>
        </w:rPr>
        <w:t xml:space="preserve">At EU level, </w:t>
      </w:r>
      <w:r w:rsidR="0004268E">
        <w:rPr>
          <w:rFonts w:cs="Arial"/>
          <w:sz w:val="20"/>
          <w:szCs w:val="28"/>
          <w:lang w:val="en-US"/>
        </w:rPr>
        <w:t xml:space="preserve">the development of these </w:t>
      </w:r>
      <w:r w:rsidR="00253301">
        <w:rPr>
          <w:rFonts w:cs="Arial"/>
          <w:sz w:val="20"/>
          <w:szCs w:val="28"/>
          <w:lang w:val="en-US"/>
        </w:rPr>
        <w:t xml:space="preserve">minimum preparedness </w:t>
      </w:r>
      <w:r w:rsidR="0004268E">
        <w:rPr>
          <w:rFonts w:cs="Arial"/>
          <w:sz w:val="20"/>
          <w:szCs w:val="28"/>
          <w:lang w:val="en-US"/>
        </w:rPr>
        <w:t>requirements within the Union itself, using EU tools and mechanisms, would not only enhance the EU’s own resilience, but also enable it to better support Member States in strengthening theirs.</w:t>
      </w:r>
      <w:r w:rsidR="00427150">
        <w:rPr>
          <w:rFonts w:cs="Arial"/>
          <w:sz w:val="20"/>
          <w:szCs w:val="28"/>
          <w:lang w:val="en-US"/>
        </w:rPr>
        <w:t xml:space="preserve"> </w:t>
      </w:r>
    </w:p>
    <w:p w:rsidRPr="00BD3F43" w:rsidR="00D2328E" w:rsidP="00D2328E" w:rsidRDefault="00664600" w14:paraId="1BF5363D" w14:textId="2B20E765">
      <w:pPr>
        <w:rPr>
          <w:rFonts w:cs="Arial"/>
          <w:sz w:val="20"/>
          <w:szCs w:val="28"/>
          <w:lang w:val="en-US"/>
        </w:rPr>
      </w:pPr>
      <w:r>
        <w:rPr>
          <w:rFonts w:cs="Arial"/>
          <w:sz w:val="20"/>
          <w:szCs w:val="28"/>
          <w:lang w:val="en-US"/>
        </w:rPr>
        <w:t>It is i</w:t>
      </w:r>
      <w:r w:rsidR="0004268E">
        <w:rPr>
          <w:rFonts w:cs="Arial"/>
          <w:sz w:val="20"/>
          <w:szCs w:val="28"/>
          <w:lang w:val="en-US"/>
        </w:rPr>
        <w:t xml:space="preserve">mportant to note that </w:t>
      </w:r>
      <w:r>
        <w:rPr>
          <w:rFonts w:cs="Arial"/>
          <w:sz w:val="20"/>
          <w:szCs w:val="28"/>
          <w:lang w:val="en-US"/>
        </w:rPr>
        <w:t xml:space="preserve">while </w:t>
      </w:r>
      <w:r w:rsidR="0004268E">
        <w:rPr>
          <w:rFonts w:cs="Arial"/>
          <w:sz w:val="20"/>
          <w:szCs w:val="28"/>
          <w:lang w:val="en-US"/>
        </w:rPr>
        <w:t>e</w:t>
      </w:r>
      <w:r w:rsidRPr="00D2328E" w:rsidR="00D2328E">
        <w:rPr>
          <w:rFonts w:cs="Arial"/>
          <w:sz w:val="20"/>
          <w:szCs w:val="28"/>
          <w:lang w:val="en-US"/>
        </w:rPr>
        <w:t xml:space="preserve">xisting </w:t>
      </w:r>
      <w:r w:rsidR="0004268E">
        <w:rPr>
          <w:rFonts w:cs="Arial"/>
          <w:sz w:val="20"/>
          <w:szCs w:val="28"/>
          <w:lang w:val="en-US"/>
        </w:rPr>
        <w:t xml:space="preserve">legislative and strategic instruments at EU level, </w:t>
      </w:r>
      <w:r w:rsidRPr="00D2328E" w:rsidR="00D2328E">
        <w:rPr>
          <w:rFonts w:cs="Arial"/>
          <w:sz w:val="20"/>
          <w:szCs w:val="28"/>
          <w:lang w:val="en-US"/>
        </w:rPr>
        <w:t>such as</w:t>
      </w:r>
      <w:r w:rsidR="0004268E">
        <w:rPr>
          <w:rFonts w:cs="Arial"/>
          <w:sz w:val="20"/>
          <w:szCs w:val="28"/>
          <w:lang w:val="en-US"/>
        </w:rPr>
        <w:t xml:space="preserve"> the</w:t>
      </w:r>
      <w:r w:rsidRPr="00D2328E" w:rsidR="00D2328E">
        <w:rPr>
          <w:rFonts w:cs="Arial"/>
          <w:sz w:val="20"/>
          <w:szCs w:val="28"/>
          <w:lang w:val="en-US"/>
        </w:rPr>
        <w:t xml:space="preserve"> CER</w:t>
      </w:r>
      <w:r w:rsidR="0004268E">
        <w:rPr>
          <w:rFonts w:cs="Arial"/>
          <w:sz w:val="20"/>
          <w:szCs w:val="28"/>
          <w:lang w:val="en-US"/>
        </w:rPr>
        <w:t xml:space="preserve"> Directive</w:t>
      </w:r>
      <w:r w:rsidRPr="00D2328E" w:rsidR="00D2328E">
        <w:rPr>
          <w:rFonts w:cs="Arial"/>
          <w:sz w:val="20"/>
          <w:szCs w:val="28"/>
          <w:lang w:val="en-US"/>
        </w:rPr>
        <w:t xml:space="preserve">, NIS2, </w:t>
      </w:r>
      <w:r w:rsidR="0004268E">
        <w:rPr>
          <w:rFonts w:cs="Arial"/>
          <w:sz w:val="20"/>
          <w:szCs w:val="28"/>
          <w:lang w:val="en-US"/>
        </w:rPr>
        <w:t xml:space="preserve">the Hybrid Toolbox, </w:t>
      </w:r>
      <w:r w:rsidRPr="00D2328E" w:rsidR="00D2328E">
        <w:rPr>
          <w:rFonts w:cs="Arial"/>
          <w:sz w:val="20"/>
          <w:szCs w:val="28"/>
          <w:lang w:val="en-US"/>
        </w:rPr>
        <w:t>IMERA, IPCR, UCPM,</w:t>
      </w:r>
      <w:r w:rsidR="0004268E">
        <w:rPr>
          <w:rFonts w:cs="Arial"/>
          <w:sz w:val="20"/>
          <w:szCs w:val="28"/>
          <w:lang w:val="en-US"/>
        </w:rPr>
        <w:t xml:space="preserve"> and many more,</w:t>
      </w:r>
      <w:r w:rsidRPr="00D2328E" w:rsidR="00D2328E">
        <w:rPr>
          <w:rFonts w:cs="Arial"/>
          <w:sz w:val="20"/>
          <w:szCs w:val="28"/>
          <w:lang w:val="en-US"/>
        </w:rPr>
        <w:t xml:space="preserve"> </w:t>
      </w:r>
      <w:r>
        <w:rPr>
          <w:rFonts w:cs="Arial"/>
          <w:sz w:val="20"/>
          <w:szCs w:val="28"/>
          <w:lang w:val="en-US"/>
        </w:rPr>
        <w:t xml:space="preserve">already contribute to strengthening resilience, they </w:t>
      </w:r>
      <w:r w:rsidRPr="00D2328E" w:rsidR="00D2328E">
        <w:rPr>
          <w:rFonts w:cs="Arial"/>
          <w:sz w:val="20"/>
          <w:szCs w:val="28"/>
          <w:lang w:val="en-US"/>
        </w:rPr>
        <w:t xml:space="preserve">do not </w:t>
      </w:r>
      <w:r w:rsidR="0004268E">
        <w:rPr>
          <w:rFonts w:cs="Arial"/>
          <w:sz w:val="20"/>
          <w:szCs w:val="28"/>
          <w:lang w:val="en-US"/>
        </w:rPr>
        <w:t xml:space="preserve">in themselves </w:t>
      </w:r>
      <w:r w:rsidRPr="00D2328E" w:rsidR="00D2328E">
        <w:rPr>
          <w:rFonts w:cs="Arial"/>
          <w:sz w:val="20"/>
          <w:szCs w:val="28"/>
          <w:lang w:val="en-US"/>
        </w:rPr>
        <w:t xml:space="preserve">constitute </w:t>
      </w:r>
      <w:r>
        <w:rPr>
          <w:rFonts w:cs="Arial"/>
          <w:sz w:val="20"/>
          <w:szCs w:val="28"/>
          <w:lang w:val="en-US"/>
        </w:rPr>
        <w:t xml:space="preserve">the </w:t>
      </w:r>
      <w:r w:rsidR="0004268E">
        <w:rPr>
          <w:rFonts w:cs="Arial"/>
          <w:sz w:val="20"/>
          <w:szCs w:val="28"/>
          <w:lang w:val="en-US"/>
        </w:rPr>
        <w:t xml:space="preserve">baseline requirements. Rather, they </w:t>
      </w:r>
      <w:r>
        <w:rPr>
          <w:rFonts w:cs="Arial"/>
          <w:sz w:val="20"/>
          <w:szCs w:val="28"/>
          <w:lang w:val="en-US"/>
        </w:rPr>
        <w:t xml:space="preserve">will support and </w:t>
      </w:r>
      <w:r w:rsidR="0004268E">
        <w:rPr>
          <w:rFonts w:cs="Arial"/>
          <w:sz w:val="20"/>
          <w:szCs w:val="28"/>
          <w:lang w:val="en-US"/>
        </w:rPr>
        <w:t xml:space="preserve">contribute to their implementation. </w:t>
      </w:r>
      <w:r w:rsidRPr="00D2328E" w:rsidR="00D2328E">
        <w:rPr>
          <w:rFonts w:cs="Arial"/>
          <w:sz w:val="20"/>
          <w:szCs w:val="28"/>
          <w:lang w:val="en-US"/>
        </w:rPr>
        <w:t xml:space="preserve">It is important to </w:t>
      </w:r>
      <w:proofErr w:type="spellStart"/>
      <w:r w:rsidRPr="00D2328E" w:rsidR="00D2328E">
        <w:rPr>
          <w:rFonts w:cs="Arial"/>
          <w:sz w:val="20"/>
          <w:szCs w:val="28"/>
          <w:lang w:val="en-US"/>
        </w:rPr>
        <w:t>capitalise</w:t>
      </w:r>
      <w:proofErr w:type="spellEnd"/>
      <w:r w:rsidRPr="00D2328E" w:rsidR="00D2328E">
        <w:rPr>
          <w:rFonts w:cs="Arial"/>
          <w:sz w:val="20"/>
          <w:szCs w:val="28"/>
          <w:lang w:val="en-US"/>
        </w:rPr>
        <w:t xml:space="preserve"> on</w:t>
      </w:r>
      <w:r w:rsidR="009A38FA">
        <w:rPr>
          <w:rFonts w:cs="Arial"/>
          <w:sz w:val="20"/>
          <w:szCs w:val="28"/>
          <w:lang w:val="en-US"/>
        </w:rPr>
        <w:t xml:space="preserve"> these</w:t>
      </w:r>
      <w:r w:rsidRPr="00D2328E" w:rsidR="00D2328E">
        <w:rPr>
          <w:rFonts w:cs="Arial"/>
          <w:sz w:val="20"/>
          <w:szCs w:val="28"/>
          <w:lang w:val="en-US"/>
        </w:rPr>
        <w:t xml:space="preserve"> existing mechanisms</w:t>
      </w:r>
      <w:r w:rsidR="009A38FA">
        <w:rPr>
          <w:rFonts w:cs="Arial"/>
          <w:sz w:val="20"/>
          <w:szCs w:val="28"/>
          <w:lang w:val="en-US"/>
        </w:rPr>
        <w:t xml:space="preserve">, which already actively contribute to strengthening the EU’s vital and essential functions today, to form a coherent and effective framework. </w:t>
      </w:r>
    </w:p>
    <w:p w:rsidR="0045388F" w:rsidP="00630DFC" w:rsidRDefault="0045388F" w14:paraId="7B59C2EF" w14:textId="77777777">
      <w:pPr>
        <w:rPr>
          <w:rFonts w:cs="Arial"/>
          <w:sz w:val="20"/>
          <w:szCs w:val="28"/>
          <w:lang w:val="en-US"/>
        </w:rPr>
      </w:pPr>
    </w:p>
    <w:p w:rsidRPr="00BD3F43" w:rsidR="0075403B" w:rsidP="0075403B" w:rsidRDefault="0075403B" w14:paraId="5557875B" w14:textId="77777777">
      <w:pPr>
        <w:rPr>
          <w:rFonts w:cs="Arial"/>
          <w:b/>
          <w:bCs/>
          <w:sz w:val="20"/>
          <w:szCs w:val="28"/>
          <w:lang w:val="en-US"/>
        </w:rPr>
      </w:pPr>
      <w:r w:rsidRPr="0075403B">
        <w:rPr>
          <w:rFonts w:cs="Arial"/>
          <w:b/>
          <w:bCs/>
          <w:sz w:val="20"/>
          <w:szCs w:val="28"/>
          <w:lang w:val="en-US"/>
        </w:rPr>
        <w:t>Complementarity with NATO</w:t>
      </w:r>
    </w:p>
    <w:p w:rsidR="00AF20B1" w:rsidP="00630DFC" w:rsidRDefault="00F067D9" w14:paraId="0AD62187" w14:textId="54FDC76F">
      <w:pPr>
        <w:rPr>
          <w:rFonts w:cs="Arial"/>
          <w:sz w:val="20"/>
          <w:szCs w:val="28"/>
          <w:lang w:val="en-US"/>
        </w:rPr>
      </w:pPr>
      <w:r>
        <w:rPr>
          <w:rFonts w:cs="Arial"/>
          <w:sz w:val="20"/>
          <w:szCs w:val="28"/>
          <w:lang w:val="en-GB"/>
        </w:rPr>
        <w:t>With the 2021 Streng</w:t>
      </w:r>
      <w:r w:rsidR="00187C2E">
        <w:rPr>
          <w:rFonts w:cs="Arial"/>
          <w:sz w:val="20"/>
          <w:szCs w:val="28"/>
          <w:lang w:val="en-GB"/>
        </w:rPr>
        <w:t>th</w:t>
      </w:r>
      <w:r>
        <w:rPr>
          <w:rFonts w:cs="Arial"/>
          <w:sz w:val="20"/>
          <w:szCs w:val="28"/>
          <w:lang w:val="en-GB"/>
        </w:rPr>
        <w:t>ened Resilience Commitment, NATO already agreed to enhance resilience, adopting an integrated and better coordinated approach. Therefore</w:t>
      </w:r>
      <w:r w:rsidR="00790C51">
        <w:rPr>
          <w:rFonts w:cs="Arial"/>
          <w:sz w:val="20"/>
          <w:szCs w:val="28"/>
          <w:lang w:val="en-GB"/>
        </w:rPr>
        <w:t>,</w:t>
      </w:r>
      <w:r>
        <w:rPr>
          <w:rFonts w:cs="Arial"/>
          <w:sz w:val="20"/>
          <w:szCs w:val="28"/>
          <w:lang w:val="en-GB"/>
        </w:rPr>
        <w:t xml:space="preserve"> it is crucial that</w:t>
      </w:r>
      <w:r w:rsidR="00790C51">
        <w:rPr>
          <w:rFonts w:cs="Arial"/>
          <w:sz w:val="20"/>
          <w:szCs w:val="28"/>
          <w:lang w:val="en-GB"/>
        </w:rPr>
        <w:t xml:space="preserve"> </w:t>
      </w:r>
      <w:r w:rsidR="00253301">
        <w:rPr>
          <w:rFonts w:cs="Arial"/>
          <w:sz w:val="20"/>
          <w:szCs w:val="28"/>
          <w:lang w:val="en-GB"/>
        </w:rPr>
        <w:t>i</w:t>
      </w:r>
      <w:r w:rsidR="00CC5923">
        <w:rPr>
          <w:rFonts w:cs="Arial"/>
          <w:sz w:val="20"/>
          <w:szCs w:val="28"/>
          <w:lang w:val="en-GB"/>
        </w:rPr>
        <w:t>f</w:t>
      </w:r>
      <w:r w:rsidR="00253301">
        <w:rPr>
          <w:rFonts w:cs="Arial"/>
          <w:sz w:val="20"/>
          <w:szCs w:val="28"/>
          <w:lang w:val="en-GB"/>
        </w:rPr>
        <w:t xml:space="preserve"> </w:t>
      </w:r>
      <w:r w:rsidR="001C360F">
        <w:rPr>
          <w:rFonts w:cs="Arial"/>
          <w:sz w:val="20"/>
          <w:szCs w:val="28"/>
          <w:lang w:val="en-GB"/>
        </w:rPr>
        <w:t>minimum preparedness requirements are developed, this does</w:t>
      </w:r>
      <w:r w:rsidR="00790C51">
        <w:rPr>
          <w:rFonts w:cs="Arial"/>
          <w:sz w:val="20"/>
          <w:szCs w:val="28"/>
          <w:lang w:val="en-GB"/>
        </w:rPr>
        <w:t xml:space="preserve"> not </w:t>
      </w:r>
      <w:r w:rsidR="001C360F">
        <w:rPr>
          <w:rFonts w:cs="Arial"/>
          <w:sz w:val="20"/>
          <w:szCs w:val="28"/>
          <w:lang w:val="en-GB"/>
        </w:rPr>
        <w:t>happen</w:t>
      </w:r>
      <w:r w:rsidR="00790C51">
        <w:rPr>
          <w:rFonts w:cs="Arial"/>
          <w:sz w:val="20"/>
          <w:szCs w:val="28"/>
          <w:lang w:val="en-GB"/>
        </w:rPr>
        <w:t xml:space="preserve"> in isolation but in strategic alignment with NATO’s </w:t>
      </w:r>
      <w:r w:rsidR="0075403B">
        <w:rPr>
          <w:rFonts w:cs="Arial"/>
          <w:sz w:val="20"/>
          <w:szCs w:val="28"/>
          <w:lang w:val="en-GB"/>
        </w:rPr>
        <w:t>b</w:t>
      </w:r>
      <w:r w:rsidR="00790C51">
        <w:rPr>
          <w:rFonts w:cs="Arial"/>
          <w:sz w:val="20"/>
          <w:szCs w:val="28"/>
          <w:lang w:val="en-GB"/>
        </w:rPr>
        <w:t xml:space="preserve">aseline </w:t>
      </w:r>
      <w:r w:rsidR="0075403B">
        <w:rPr>
          <w:rFonts w:cs="Arial"/>
          <w:sz w:val="20"/>
          <w:szCs w:val="28"/>
          <w:lang w:val="en-GB"/>
        </w:rPr>
        <w:t>r</w:t>
      </w:r>
      <w:r w:rsidR="00790C51">
        <w:rPr>
          <w:rFonts w:cs="Arial"/>
          <w:sz w:val="20"/>
          <w:szCs w:val="28"/>
          <w:lang w:val="en-GB"/>
        </w:rPr>
        <w:t xml:space="preserve">equirements. </w:t>
      </w:r>
      <w:r w:rsidR="001C360F">
        <w:rPr>
          <w:rFonts w:cs="Arial"/>
          <w:sz w:val="20"/>
          <w:szCs w:val="28"/>
          <w:lang w:val="en-GB"/>
        </w:rPr>
        <w:t xml:space="preserve">This facilitates Member States in integrating both NATO BLR and EU BLR seamlessly into one single, comprehensive national resilience plan, thereby promoting efficiency and avoiding redundancy. </w:t>
      </w:r>
      <w:r w:rsidR="00790C51">
        <w:rPr>
          <w:rFonts w:cs="Arial"/>
          <w:sz w:val="20"/>
          <w:szCs w:val="28"/>
          <w:lang w:val="en-GB"/>
        </w:rPr>
        <w:t xml:space="preserve">This </w:t>
      </w:r>
      <w:r>
        <w:rPr>
          <w:rFonts w:cs="Arial"/>
          <w:sz w:val="20"/>
          <w:szCs w:val="28"/>
          <w:lang w:val="en-GB"/>
        </w:rPr>
        <w:t>idea</w:t>
      </w:r>
      <w:r w:rsidR="00790C51">
        <w:rPr>
          <w:rFonts w:cs="Arial"/>
          <w:sz w:val="20"/>
          <w:szCs w:val="28"/>
          <w:lang w:val="en-GB"/>
        </w:rPr>
        <w:t xml:space="preserve"> is also reflected </w:t>
      </w:r>
      <w:r w:rsidR="000B127F">
        <w:rPr>
          <w:rFonts w:cs="Arial"/>
          <w:sz w:val="20"/>
          <w:szCs w:val="28"/>
          <w:lang w:val="en-GB"/>
        </w:rPr>
        <w:t xml:space="preserve">in the </w:t>
      </w:r>
      <w:r w:rsidRPr="00BD3F43" w:rsidR="00790C51">
        <w:rPr>
          <w:rFonts w:cs="Arial"/>
          <w:i/>
          <w:iCs/>
          <w:sz w:val="20"/>
          <w:szCs w:val="28"/>
          <w:lang w:val="en-GB"/>
        </w:rPr>
        <w:t xml:space="preserve">Preparedness Union </w:t>
      </w:r>
      <w:r w:rsidRPr="00BD3F43" w:rsidR="000B127F">
        <w:rPr>
          <w:rFonts w:cs="Arial"/>
          <w:i/>
          <w:iCs/>
          <w:sz w:val="20"/>
          <w:szCs w:val="28"/>
          <w:lang w:val="en-GB"/>
        </w:rPr>
        <w:t>Strategy</w:t>
      </w:r>
      <w:r w:rsidR="000B127F">
        <w:rPr>
          <w:rFonts w:cs="Arial"/>
          <w:sz w:val="20"/>
          <w:szCs w:val="28"/>
          <w:lang w:val="en-GB"/>
        </w:rPr>
        <w:t xml:space="preserve">, </w:t>
      </w:r>
      <w:r w:rsidR="00D16E96">
        <w:rPr>
          <w:rFonts w:cs="Arial"/>
          <w:sz w:val="20"/>
          <w:szCs w:val="28"/>
          <w:lang w:val="en-GB"/>
        </w:rPr>
        <w:t>which states</w:t>
      </w:r>
      <w:r w:rsidR="00790C51">
        <w:rPr>
          <w:rFonts w:cs="Arial"/>
          <w:sz w:val="20"/>
          <w:szCs w:val="28"/>
          <w:lang w:val="en-GB"/>
        </w:rPr>
        <w:t xml:space="preserve"> that </w:t>
      </w:r>
      <w:r w:rsidR="001C360F">
        <w:rPr>
          <w:rFonts w:cs="Arial"/>
          <w:sz w:val="20"/>
          <w:szCs w:val="28"/>
          <w:lang w:val="en-GB"/>
        </w:rPr>
        <w:t xml:space="preserve">if they are to be developed, </w:t>
      </w:r>
      <w:r w:rsidR="000B127F">
        <w:rPr>
          <w:rFonts w:cs="Arial"/>
          <w:sz w:val="20"/>
          <w:szCs w:val="28"/>
          <w:lang w:val="en-GB"/>
        </w:rPr>
        <w:t xml:space="preserve">these </w:t>
      </w:r>
      <w:r w:rsidR="00790C51">
        <w:rPr>
          <w:rFonts w:cs="Arial"/>
          <w:sz w:val="20"/>
          <w:szCs w:val="28"/>
          <w:lang w:val="en-GB"/>
        </w:rPr>
        <w:t xml:space="preserve">minimum </w:t>
      </w:r>
      <w:r w:rsidR="000B127F">
        <w:rPr>
          <w:rFonts w:cs="Arial"/>
          <w:sz w:val="20"/>
          <w:szCs w:val="28"/>
          <w:lang w:val="en-GB"/>
        </w:rPr>
        <w:t>requirements should</w:t>
      </w:r>
      <w:r w:rsidR="0079587F">
        <w:rPr>
          <w:rFonts w:cs="Arial"/>
          <w:sz w:val="20"/>
          <w:szCs w:val="28"/>
          <w:lang w:val="en-GB"/>
        </w:rPr>
        <w:t xml:space="preserve"> </w:t>
      </w:r>
      <w:r w:rsidR="00E61B7D">
        <w:rPr>
          <w:rFonts w:cs="Arial"/>
          <w:sz w:val="20"/>
          <w:szCs w:val="28"/>
          <w:lang w:val="en-GB"/>
        </w:rPr>
        <w:t>be complementary to</w:t>
      </w:r>
      <w:r w:rsidRPr="00C72C96" w:rsidR="00E61B7D">
        <w:rPr>
          <w:rFonts w:cs="Arial"/>
          <w:sz w:val="20"/>
          <w:szCs w:val="28"/>
          <w:lang w:val="en-GB"/>
        </w:rPr>
        <w:t xml:space="preserve"> </w:t>
      </w:r>
      <w:r w:rsidRPr="00C72C96" w:rsidR="00600388">
        <w:rPr>
          <w:rFonts w:cs="Arial"/>
          <w:sz w:val="20"/>
          <w:szCs w:val="28"/>
          <w:lang w:val="en-GB"/>
        </w:rPr>
        <w:t xml:space="preserve">the </w:t>
      </w:r>
      <w:r w:rsidRPr="009403B5" w:rsidR="00600388">
        <w:rPr>
          <w:rFonts w:cs="Arial"/>
          <w:sz w:val="20"/>
          <w:szCs w:val="28"/>
          <w:lang w:val="en-GB"/>
        </w:rPr>
        <w:t xml:space="preserve">seven NATO </w:t>
      </w:r>
      <w:r w:rsidR="0075403B">
        <w:rPr>
          <w:rFonts w:cs="Arial"/>
          <w:sz w:val="20"/>
          <w:szCs w:val="28"/>
          <w:lang w:val="en-GB"/>
        </w:rPr>
        <w:t>b</w:t>
      </w:r>
      <w:r w:rsidRPr="009403B5" w:rsidR="00600388">
        <w:rPr>
          <w:rFonts w:cs="Arial"/>
          <w:sz w:val="20"/>
          <w:szCs w:val="28"/>
          <w:lang w:val="en-GB"/>
        </w:rPr>
        <w:t xml:space="preserve">aseline </w:t>
      </w:r>
      <w:r w:rsidR="0075403B">
        <w:rPr>
          <w:rFonts w:cs="Arial"/>
          <w:sz w:val="20"/>
          <w:szCs w:val="28"/>
          <w:lang w:val="en-GB"/>
        </w:rPr>
        <w:t>r</w:t>
      </w:r>
      <w:r w:rsidRPr="009403B5" w:rsidR="00600388">
        <w:rPr>
          <w:rFonts w:cs="Arial"/>
          <w:sz w:val="20"/>
          <w:szCs w:val="28"/>
          <w:lang w:val="en-GB"/>
        </w:rPr>
        <w:t xml:space="preserve">equirements </w:t>
      </w:r>
      <w:r w:rsidRPr="00C72C96" w:rsidR="00600388">
        <w:rPr>
          <w:rFonts w:cs="Arial"/>
          <w:sz w:val="20"/>
          <w:szCs w:val="28"/>
          <w:lang w:val="en-GB"/>
        </w:rPr>
        <w:t xml:space="preserve">where possible, while </w:t>
      </w:r>
      <w:r w:rsidRPr="00C72C96" w:rsidR="00F44FE6">
        <w:rPr>
          <w:rFonts w:cs="Arial"/>
          <w:sz w:val="20"/>
          <w:szCs w:val="28"/>
          <w:lang w:val="en-GB"/>
        </w:rPr>
        <w:t>emphasizing areas specific to EU competences</w:t>
      </w:r>
      <w:r w:rsidR="009403B5">
        <w:rPr>
          <w:rFonts w:cs="Arial"/>
          <w:sz w:val="20"/>
          <w:szCs w:val="28"/>
          <w:lang w:val="en-GB"/>
        </w:rPr>
        <w:t>.</w:t>
      </w:r>
      <w:r w:rsidR="00C3459C">
        <w:rPr>
          <w:rFonts w:cs="Arial"/>
          <w:sz w:val="20"/>
          <w:szCs w:val="28"/>
          <w:lang w:val="en-GB"/>
        </w:rPr>
        <w:t xml:space="preserve"> </w:t>
      </w:r>
      <w:r w:rsidR="001C360F">
        <w:rPr>
          <w:rFonts w:cs="Arial"/>
          <w:sz w:val="20"/>
          <w:szCs w:val="28"/>
          <w:lang w:val="en-US"/>
        </w:rPr>
        <w:t>This may involve a wide set of sectors and stakeholders, reflecting the EU’s comprehensive role.</w:t>
      </w:r>
    </w:p>
    <w:p w:rsidR="0075403B" w:rsidP="00630DFC" w:rsidRDefault="0075403B" w14:paraId="5CE11252" w14:textId="77777777">
      <w:pPr>
        <w:rPr>
          <w:rFonts w:cs="Arial"/>
          <w:sz w:val="20"/>
          <w:szCs w:val="28"/>
          <w:lang w:val="en-GB"/>
        </w:rPr>
      </w:pPr>
    </w:p>
    <w:p w:rsidRPr="0075403B" w:rsidR="0075403B" w:rsidP="00630DFC" w:rsidRDefault="0075403B" w14:paraId="5A9BFF59" w14:textId="77777777">
      <w:pPr>
        <w:rPr>
          <w:rFonts w:cs="Arial"/>
          <w:sz w:val="20"/>
          <w:szCs w:val="28"/>
          <w:lang w:val="en-GB"/>
        </w:rPr>
      </w:pPr>
    </w:p>
    <w:p w:rsidRPr="00C72C96" w:rsidR="002D4019" w:rsidP="00630DFC" w:rsidRDefault="0075403B" w14:paraId="1655B1FE" w14:textId="03A8DE31">
      <w:pPr>
        <w:rPr>
          <w:rFonts w:cs="Arial"/>
          <w:sz w:val="20"/>
          <w:szCs w:val="28"/>
          <w:lang w:val="en-US"/>
        </w:rPr>
      </w:pPr>
      <w:r w:rsidRPr="00951FDE">
        <w:rPr>
          <w:rFonts w:cs="Arial"/>
          <w:noProof/>
          <w:sz w:val="20"/>
          <w:szCs w:val="28"/>
          <w:lang w:val="en-GB"/>
        </w:rPr>
        <w:drawing>
          <wp:inline distT="0" distB="0" distL="0" distR="0" wp14:anchorId="0060B16E" wp14:editId="5A61789A">
            <wp:extent cx="5759450" cy="2409825"/>
            <wp:effectExtent l="0" t="0" r="0" b="9525"/>
            <wp:docPr id="2055058466" name="Afbeelding 1" descr="Afbeelding met tekst, diagram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23160" name="Afbeelding 1" descr="Afbeelding met tekst, diagram, schermopname, Lettertype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3B" w:rsidP="00AF20B1" w:rsidRDefault="0075403B" w14:paraId="7571A813" w14:textId="77777777">
      <w:pPr>
        <w:rPr>
          <w:rFonts w:cs="Arial"/>
          <w:sz w:val="20"/>
          <w:szCs w:val="28"/>
          <w:lang w:val="en-GB"/>
        </w:rPr>
      </w:pPr>
    </w:p>
    <w:p w:rsidR="0075403B" w:rsidP="00AF20B1" w:rsidRDefault="0075403B" w14:paraId="17262559" w14:textId="77777777">
      <w:pPr>
        <w:rPr>
          <w:rFonts w:cs="Arial"/>
          <w:sz w:val="20"/>
          <w:szCs w:val="28"/>
          <w:lang w:val="en-GB"/>
        </w:rPr>
      </w:pPr>
    </w:p>
    <w:p w:rsidR="00AF20B1" w:rsidP="00AF20B1" w:rsidRDefault="000D70F9" w14:paraId="1315C5E7" w14:textId="084B5A70">
      <w:pPr>
        <w:rPr>
          <w:sz w:val="20"/>
          <w:szCs w:val="28"/>
          <w:lang w:val="en-US"/>
        </w:rPr>
      </w:pPr>
      <w:r w:rsidRPr="00C72C96">
        <w:rPr>
          <w:rFonts w:cs="Arial"/>
          <w:sz w:val="20"/>
          <w:szCs w:val="28"/>
          <w:lang w:val="en-GB"/>
        </w:rPr>
        <w:t>Complementarity between EU and NATO frameworks would also facilitate more effective civil-military cooperation</w:t>
      </w:r>
      <w:r w:rsidR="00A55271">
        <w:rPr>
          <w:rFonts w:cs="Arial"/>
          <w:sz w:val="20"/>
          <w:szCs w:val="28"/>
          <w:lang w:val="en-GB"/>
        </w:rPr>
        <w:t>, both</w:t>
      </w:r>
      <w:r w:rsidRPr="00C72C96">
        <w:rPr>
          <w:rFonts w:cs="Arial"/>
          <w:sz w:val="20"/>
          <w:szCs w:val="28"/>
          <w:lang w:val="en-GB"/>
        </w:rPr>
        <w:t xml:space="preserve"> at </w:t>
      </w:r>
      <w:r w:rsidRPr="00C72C96" w:rsidR="00961CB4">
        <w:rPr>
          <w:rFonts w:cs="Arial"/>
          <w:sz w:val="20"/>
          <w:szCs w:val="28"/>
          <w:lang w:val="en-GB"/>
        </w:rPr>
        <w:t xml:space="preserve">European </w:t>
      </w:r>
      <w:r w:rsidR="00A55271">
        <w:rPr>
          <w:rFonts w:cs="Arial"/>
          <w:sz w:val="20"/>
          <w:szCs w:val="28"/>
          <w:lang w:val="en-GB"/>
        </w:rPr>
        <w:t>and</w:t>
      </w:r>
      <w:r w:rsidRPr="00C72C96" w:rsidR="00961CB4">
        <w:rPr>
          <w:rFonts w:cs="Arial"/>
          <w:sz w:val="20"/>
          <w:szCs w:val="28"/>
          <w:lang w:val="en-GB"/>
        </w:rPr>
        <w:t xml:space="preserve"> </w:t>
      </w:r>
      <w:r w:rsidRPr="00C72C96">
        <w:rPr>
          <w:rFonts w:cs="Arial"/>
          <w:sz w:val="20"/>
          <w:szCs w:val="28"/>
          <w:lang w:val="en-GB"/>
        </w:rPr>
        <w:t xml:space="preserve">national level. </w:t>
      </w:r>
      <w:r w:rsidR="00C87F1B">
        <w:rPr>
          <w:rFonts w:cs="Arial"/>
          <w:sz w:val="20"/>
          <w:szCs w:val="28"/>
          <w:lang w:val="en-GB"/>
        </w:rPr>
        <w:t xml:space="preserve">Strengthening this cooperation is a </w:t>
      </w:r>
      <w:r w:rsidR="00014447">
        <w:rPr>
          <w:rFonts w:cs="Arial"/>
          <w:sz w:val="20"/>
          <w:szCs w:val="28"/>
          <w:lang w:val="en-GB"/>
        </w:rPr>
        <w:t>cornerstone</w:t>
      </w:r>
      <w:r w:rsidR="00C87F1B">
        <w:rPr>
          <w:rFonts w:cs="Arial"/>
          <w:sz w:val="20"/>
          <w:szCs w:val="28"/>
          <w:lang w:val="en-GB"/>
        </w:rPr>
        <w:t xml:space="preserve"> of the</w:t>
      </w:r>
      <w:r w:rsidRPr="009403B5" w:rsidR="00C87F1B">
        <w:rPr>
          <w:rFonts w:cs="Arial"/>
          <w:i/>
          <w:iCs/>
          <w:sz w:val="20"/>
          <w:szCs w:val="28"/>
          <w:lang w:val="en-GB"/>
        </w:rPr>
        <w:t xml:space="preserve"> Preparedness</w:t>
      </w:r>
      <w:r w:rsidRPr="009403B5" w:rsidR="00943611">
        <w:rPr>
          <w:rFonts w:cs="Arial"/>
          <w:i/>
          <w:iCs/>
          <w:sz w:val="20"/>
          <w:szCs w:val="28"/>
          <w:lang w:val="en-GB"/>
        </w:rPr>
        <w:t xml:space="preserve"> Union</w:t>
      </w:r>
      <w:r w:rsidRPr="009403B5" w:rsidR="00C87F1B">
        <w:rPr>
          <w:rFonts w:cs="Arial"/>
          <w:i/>
          <w:iCs/>
          <w:sz w:val="20"/>
          <w:szCs w:val="28"/>
          <w:lang w:val="en-GB"/>
        </w:rPr>
        <w:t xml:space="preserve"> Strategy</w:t>
      </w:r>
      <w:r w:rsidR="004D21D6">
        <w:rPr>
          <w:rFonts w:cs="Arial"/>
          <w:sz w:val="20"/>
          <w:szCs w:val="28"/>
          <w:lang w:val="en-GB"/>
        </w:rPr>
        <w:t>, notably through key action 22</w:t>
      </w:r>
      <w:r w:rsidR="00976B76">
        <w:rPr>
          <w:rFonts w:cs="Arial"/>
          <w:sz w:val="20"/>
          <w:szCs w:val="28"/>
          <w:lang w:val="en-GB"/>
        </w:rPr>
        <w:t xml:space="preserve"> “</w:t>
      </w:r>
      <w:r w:rsidRPr="00976B76" w:rsidR="00976B76">
        <w:rPr>
          <w:rFonts w:cs="Arial"/>
          <w:sz w:val="20"/>
          <w:szCs w:val="28"/>
          <w:lang w:val="en-GB"/>
        </w:rPr>
        <w:t>Establish comprehensive civil-military preparedness arrangements</w:t>
      </w:r>
      <w:r w:rsidR="00976B76">
        <w:rPr>
          <w:rFonts w:cs="Arial"/>
          <w:sz w:val="20"/>
          <w:szCs w:val="28"/>
          <w:lang w:val="en-GB"/>
        </w:rPr>
        <w:t>”</w:t>
      </w:r>
      <w:r w:rsidR="004D21D6">
        <w:rPr>
          <w:rStyle w:val="Voetnootmarkering"/>
          <w:rFonts w:cs="Arial"/>
          <w:sz w:val="20"/>
          <w:szCs w:val="28"/>
          <w:lang w:val="en-GB"/>
        </w:rPr>
        <w:footnoteReference w:id="3"/>
      </w:r>
      <w:r w:rsidR="004D21D6">
        <w:rPr>
          <w:rFonts w:cs="Arial"/>
          <w:sz w:val="20"/>
          <w:szCs w:val="28"/>
          <w:lang w:val="en-GB"/>
        </w:rPr>
        <w:t>, which calls for a stronger operational cooperation between both institutions in all crisis contexts</w:t>
      </w:r>
      <w:r w:rsidRPr="009403B5" w:rsidR="00C87F1B">
        <w:rPr>
          <w:rFonts w:cs="Arial"/>
          <w:i/>
          <w:iCs/>
          <w:sz w:val="20"/>
          <w:szCs w:val="28"/>
          <w:lang w:val="en-GB"/>
        </w:rPr>
        <w:t xml:space="preserve">. </w:t>
      </w:r>
      <w:r w:rsidRPr="00C72C96" w:rsidR="00E276F5">
        <w:rPr>
          <w:rFonts w:cs="Arial"/>
          <w:sz w:val="20"/>
          <w:szCs w:val="28"/>
          <w:lang w:val="en-US"/>
        </w:rPr>
        <w:t xml:space="preserve">Both </w:t>
      </w:r>
      <w:r w:rsidR="007337A0">
        <w:rPr>
          <w:rFonts w:cs="Arial"/>
          <w:sz w:val="20"/>
          <w:szCs w:val="28"/>
          <w:lang w:val="en-US"/>
        </w:rPr>
        <w:t xml:space="preserve">civilian and military </w:t>
      </w:r>
      <w:r w:rsidRPr="00C72C96" w:rsidR="00961CB4">
        <w:rPr>
          <w:rFonts w:cs="Arial"/>
          <w:sz w:val="20"/>
          <w:szCs w:val="28"/>
          <w:lang w:val="en-US"/>
        </w:rPr>
        <w:t>entities</w:t>
      </w:r>
      <w:r w:rsidRPr="00C72C96" w:rsidR="00E276F5">
        <w:rPr>
          <w:rFonts w:cs="Arial"/>
          <w:sz w:val="20"/>
          <w:szCs w:val="28"/>
          <w:lang w:val="en-US"/>
        </w:rPr>
        <w:t xml:space="preserve"> </w:t>
      </w:r>
      <w:r w:rsidR="007337A0">
        <w:rPr>
          <w:rFonts w:cs="Arial"/>
          <w:sz w:val="20"/>
          <w:szCs w:val="28"/>
          <w:lang w:val="en-US"/>
        </w:rPr>
        <w:t>must</w:t>
      </w:r>
      <w:r w:rsidRPr="00C72C96" w:rsidR="00E276F5">
        <w:rPr>
          <w:rFonts w:cs="Arial"/>
          <w:sz w:val="20"/>
          <w:szCs w:val="28"/>
          <w:lang w:val="en-US"/>
        </w:rPr>
        <w:t xml:space="preserve"> have a thorough understanding of each other’s plans and initiatives</w:t>
      </w:r>
      <w:r w:rsidRPr="00C72C96" w:rsidR="00961CB4">
        <w:rPr>
          <w:rFonts w:cs="Arial"/>
          <w:sz w:val="20"/>
          <w:szCs w:val="28"/>
          <w:lang w:val="en-US"/>
        </w:rPr>
        <w:t>.</w:t>
      </w:r>
      <w:r w:rsidRPr="00C72C96" w:rsidR="00E276F5">
        <w:rPr>
          <w:sz w:val="20"/>
          <w:szCs w:val="28"/>
          <w:lang w:val="en-US"/>
        </w:rPr>
        <w:t xml:space="preserve"> </w:t>
      </w:r>
      <w:r w:rsidRPr="002806DD">
        <w:rPr>
          <w:sz w:val="20"/>
          <w:szCs w:val="28"/>
          <w:lang w:val="en-US"/>
        </w:rPr>
        <w:t xml:space="preserve">Clear definitions of roles and responsibilities are essential to ensure </w:t>
      </w:r>
      <w:r w:rsidRPr="002806DD">
        <w:rPr>
          <w:sz w:val="20"/>
          <w:szCs w:val="28"/>
          <w:lang w:val="en-US"/>
        </w:rPr>
        <w:lastRenderedPageBreak/>
        <w:t>that civilian and military actors can work together effectively without overlapping or conflicting mandates.</w:t>
      </w:r>
      <w:r w:rsidRPr="00C72C96" w:rsidR="00AF20B1">
        <w:rPr>
          <w:sz w:val="20"/>
          <w:szCs w:val="28"/>
          <w:lang w:val="en-US"/>
        </w:rPr>
        <w:t xml:space="preserve"> </w:t>
      </w:r>
      <w:r w:rsidRPr="00C72C96" w:rsidR="00AF20B1">
        <w:rPr>
          <w:rFonts w:cs="Arial"/>
          <w:sz w:val="20"/>
          <w:szCs w:val="28"/>
          <w:lang w:val="en-US"/>
        </w:rPr>
        <w:t>In this light, each logic can find its way into the respective plans currently being developed.</w:t>
      </w:r>
      <w:r w:rsidRPr="00C72C96" w:rsidR="00961CB4">
        <w:rPr>
          <w:sz w:val="20"/>
          <w:szCs w:val="28"/>
          <w:lang w:val="en-US"/>
        </w:rPr>
        <w:t xml:space="preserve"> </w:t>
      </w:r>
      <w:r w:rsidRPr="002806DD" w:rsidR="00AF20B1">
        <w:rPr>
          <w:sz w:val="20"/>
          <w:szCs w:val="28"/>
          <w:lang w:val="en-US"/>
        </w:rPr>
        <w:t>By ensuring that similar principles</w:t>
      </w:r>
      <w:r w:rsidR="001C360F">
        <w:rPr>
          <w:sz w:val="20"/>
          <w:szCs w:val="28"/>
          <w:lang w:val="en-US"/>
        </w:rPr>
        <w:t>, terms and definitions</w:t>
      </w:r>
      <w:r w:rsidRPr="002806DD" w:rsidR="00AF20B1">
        <w:rPr>
          <w:sz w:val="20"/>
          <w:szCs w:val="28"/>
          <w:lang w:val="en-US"/>
        </w:rPr>
        <w:t xml:space="preserve"> guide the development of EU BLR, Member States can enhance coordination between civil crisis management and </w:t>
      </w:r>
      <w:proofErr w:type="spellStart"/>
      <w:r w:rsidRPr="002806DD" w:rsidR="00AF20B1">
        <w:rPr>
          <w:sz w:val="20"/>
          <w:szCs w:val="28"/>
          <w:lang w:val="en-US"/>
        </w:rPr>
        <w:t>defen</w:t>
      </w:r>
      <w:r w:rsidR="00056F31">
        <w:rPr>
          <w:sz w:val="20"/>
          <w:szCs w:val="28"/>
          <w:lang w:val="en-US"/>
        </w:rPr>
        <w:t>c</w:t>
      </w:r>
      <w:r w:rsidRPr="002806DD" w:rsidR="00AF20B1">
        <w:rPr>
          <w:sz w:val="20"/>
          <w:szCs w:val="28"/>
          <w:lang w:val="en-US"/>
        </w:rPr>
        <w:t>e</w:t>
      </w:r>
      <w:proofErr w:type="spellEnd"/>
      <w:r w:rsidRPr="002806DD" w:rsidR="00AF20B1">
        <w:rPr>
          <w:sz w:val="20"/>
          <w:szCs w:val="28"/>
          <w:lang w:val="en-US"/>
        </w:rPr>
        <w:t xml:space="preserve"> players.</w:t>
      </w:r>
      <w:r w:rsidR="00C87F1B">
        <w:rPr>
          <w:sz w:val="20"/>
          <w:szCs w:val="28"/>
          <w:lang w:val="en-US"/>
        </w:rPr>
        <w:t xml:space="preserve"> </w:t>
      </w:r>
      <w:r w:rsidR="001C360F">
        <w:rPr>
          <w:sz w:val="20"/>
          <w:szCs w:val="28"/>
          <w:lang w:val="en-US"/>
        </w:rPr>
        <w:t>This alignment is equally important with respect to monitoring instruments, where coherence between EU and NATO approaches can help avoid redundancy and minimize the workload for national authorities.</w:t>
      </w:r>
    </w:p>
    <w:p w:rsidRPr="00C72C96" w:rsidR="002D4019" w:rsidP="00AF20B1" w:rsidRDefault="002D4019" w14:paraId="628F9B43" w14:textId="77777777">
      <w:pPr>
        <w:rPr>
          <w:sz w:val="20"/>
          <w:szCs w:val="28"/>
          <w:lang w:val="en-US"/>
        </w:rPr>
      </w:pPr>
    </w:p>
    <w:p w:rsidR="00D83297" w:rsidP="00630DFC" w:rsidRDefault="001C360F" w14:paraId="2DE7E6C7" w14:textId="385BE70F">
      <w:pPr>
        <w:rPr>
          <w:sz w:val="20"/>
          <w:szCs w:val="28"/>
          <w:lang w:val="en-US"/>
        </w:rPr>
      </w:pPr>
      <w:r>
        <w:rPr>
          <w:sz w:val="20"/>
          <w:szCs w:val="28"/>
          <w:lang w:val="en-US"/>
        </w:rPr>
        <w:t>Finally</w:t>
      </w:r>
      <w:r w:rsidR="00A55271">
        <w:rPr>
          <w:sz w:val="20"/>
          <w:szCs w:val="28"/>
          <w:lang w:val="en-US"/>
        </w:rPr>
        <w:t>, t</w:t>
      </w:r>
      <w:r w:rsidRPr="00BD3F43" w:rsidR="006447CB">
        <w:rPr>
          <w:sz w:val="20"/>
          <w:szCs w:val="28"/>
          <w:lang w:val="en-US"/>
        </w:rPr>
        <w:t xml:space="preserve">he existence of both EU and NATO baseline requirements </w:t>
      </w:r>
      <w:r w:rsidR="00920821">
        <w:rPr>
          <w:sz w:val="20"/>
          <w:szCs w:val="28"/>
          <w:lang w:val="en-US"/>
        </w:rPr>
        <w:t>may facilitate more</w:t>
      </w:r>
      <w:r w:rsidRPr="00BD3F43" w:rsidR="006447CB">
        <w:rPr>
          <w:sz w:val="20"/>
          <w:szCs w:val="28"/>
          <w:lang w:val="en-US"/>
        </w:rPr>
        <w:t xml:space="preserve"> genuine dual use</w:t>
      </w:r>
      <w:r w:rsidR="00A55271">
        <w:rPr>
          <w:sz w:val="20"/>
          <w:szCs w:val="28"/>
          <w:lang w:val="en-US"/>
        </w:rPr>
        <w:t xml:space="preserve">, </w:t>
      </w:r>
      <w:r w:rsidRPr="00BD3F43" w:rsidR="006447CB">
        <w:rPr>
          <w:sz w:val="20"/>
          <w:szCs w:val="28"/>
          <w:lang w:val="en-US"/>
        </w:rPr>
        <w:t xml:space="preserve">in terms of investments in infrastructure and capabilities, but also in how those capabilities and systems are </w:t>
      </w:r>
      <w:proofErr w:type="spellStart"/>
      <w:r w:rsidRPr="00BD3F43" w:rsidR="006447CB">
        <w:rPr>
          <w:sz w:val="20"/>
          <w:szCs w:val="28"/>
          <w:lang w:val="en-US"/>
        </w:rPr>
        <w:t>organised</w:t>
      </w:r>
      <w:proofErr w:type="spellEnd"/>
      <w:r w:rsidRPr="00BD3F43" w:rsidR="006447CB">
        <w:rPr>
          <w:sz w:val="20"/>
          <w:szCs w:val="28"/>
          <w:lang w:val="en-US"/>
        </w:rPr>
        <w:t xml:space="preserve"> and </w:t>
      </w:r>
      <w:proofErr w:type="spellStart"/>
      <w:r w:rsidRPr="00BD3F43" w:rsidR="006447CB">
        <w:rPr>
          <w:sz w:val="20"/>
          <w:szCs w:val="28"/>
          <w:lang w:val="en-US"/>
        </w:rPr>
        <w:t>mobilised</w:t>
      </w:r>
      <w:proofErr w:type="spellEnd"/>
      <w:r w:rsidRPr="00BD3F43" w:rsidR="006447CB">
        <w:rPr>
          <w:sz w:val="20"/>
          <w:szCs w:val="28"/>
          <w:lang w:val="en-US"/>
        </w:rPr>
        <w:t xml:space="preserve"> in both civilian and </w:t>
      </w:r>
      <w:proofErr w:type="spellStart"/>
      <w:r w:rsidRPr="00BD3F43" w:rsidR="006447CB">
        <w:rPr>
          <w:sz w:val="20"/>
          <w:szCs w:val="28"/>
          <w:lang w:val="en-US"/>
        </w:rPr>
        <w:t>defence</w:t>
      </w:r>
      <w:proofErr w:type="spellEnd"/>
      <w:r w:rsidRPr="00BD3F43" w:rsidR="006447CB">
        <w:rPr>
          <w:sz w:val="20"/>
          <w:szCs w:val="28"/>
          <w:lang w:val="en-US"/>
        </w:rPr>
        <w:t xml:space="preserve"> contexts.</w:t>
      </w:r>
      <w:r w:rsidR="00922976">
        <w:rPr>
          <w:sz w:val="20"/>
          <w:szCs w:val="28"/>
          <w:lang w:val="en-US"/>
        </w:rPr>
        <w:t xml:space="preserve"> </w:t>
      </w:r>
      <w:r w:rsidRPr="00BD3F43" w:rsidR="00922976">
        <w:rPr>
          <w:sz w:val="20"/>
          <w:szCs w:val="28"/>
          <w:lang w:val="en-US"/>
        </w:rPr>
        <w:t xml:space="preserve">Infrastructure, resources, and systems could be designed and maintained in ways that serve both </w:t>
      </w:r>
      <w:r w:rsidR="00922976">
        <w:rPr>
          <w:sz w:val="20"/>
          <w:szCs w:val="28"/>
          <w:lang w:val="en-US"/>
        </w:rPr>
        <w:t>EU</w:t>
      </w:r>
      <w:r w:rsidRPr="00BD3F43" w:rsidR="00922976">
        <w:rPr>
          <w:sz w:val="20"/>
          <w:szCs w:val="28"/>
          <w:lang w:val="en-US"/>
        </w:rPr>
        <w:t xml:space="preserve"> and </w:t>
      </w:r>
      <w:r w:rsidR="00922976">
        <w:rPr>
          <w:sz w:val="20"/>
          <w:szCs w:val="28"/>
          <w:lang w:val="en-US"/>
        </w:rPr>
        <w:t>NATO</w:t>
      </w:r>
      <w:r w:rsidRPr="00BD3F43" w:rsidR="00922976">
        <w:rPr>
          <w:sz w:val="20"/>
          <w:szCs w:val="28"/>
          <w:lang w:val="en-US"/>
        </w:rPr>
        <w:t xml:space="preserve"> needs, reinforcing resilience across the board.</w:t>
      </w:r>
      <w:r w:rsidR="00922976">
        <w:rPr>
          <w:sz w:val="20"/>
          <w:szCs w:val="28"/>
          <w:lang w:val="en-US"/>
        </w:rPr>
        <w:t xml:space="preserve"> </w:t>
      </w:r>
      <w:r w:rsidRPr="00C72C96" w:rsidR="00AF20B1">
        <w:rPr>
          <w:sz w:val="20"/>
          <w:szCs w:val="28"/>
          <w:lang w:val="en-US"/>
        </w:rPr>
        <w:t xml:space="preserve">The EU can play a role in promoting innovation, providing funding options and strengthening links between the </w:t>
      </w:r>
      <w:proofErr w:type="spellStart"/>
      <w:r w:rsidRPr="00C72C96" w:rsidR="00AF20B1">
        <w:rPr>
          <w:sz w:val="20"/>
          <w:szCs w:val="28"/>
          <w:lang w:val="en-US"/>
        </w:rPr>
        <w:t>defence</w:t>
      </w:r>
      <w:proofErr w:type="spellEnd"/>
      <w:r w:rsidRPr="00C72C96" w:rsidR="00AF20B1">
        <w:rPr>
          <w:sz w:val="20"/>
          <w:szCs w:val="28"/>
          <w:lang w:val="en-US"/>
        </w:rPr>
        <w:t xml:space="preserve"> </w:t>
      </w:r>
      <w:r w:rsidRPr="00C72C96" w:rsidR="00D83297">
        <w:rPr>
          <w:sz w:val="20"/>
          <w:szCs w:val="28"/>
          <w:lang w:val="en-US"/>
        </w:rPr>
        <w:t>sector</w:t>
      </w:r>
      <w:r w:rsidRPr="00C72C96" w:rsidR="00AF20B1">
        <w:rPr>
          <w:sz w:val="20"/>
          <w:szCs w:val="28"/>
          <w:lang w:val="en-US"/>
        </w:rPr>
        <w:t xml:space="preserve"> and other </w:t>
      </w:r>
      <w:r w:rsidRPr="00C72C96" w:rsidR="00D83297">
        <w:rPr>
          <w:sz w:val="20"/>
          <w:szCs w:val="28"/>
          <w:lang w:val="en-US"/>
        </w:rPr>
        <w:t>civilian</w:t>
      </w:r>
      <w:r w:rsidRPr="00C72C96" w:rsidR="00AF20B1">
        <w:rPr>
          <w:sz w:val="20"/>
          <w:szCs w:val="28"/>
          <w:lang w:val="en-US"/>
        </w:rPr>
        <w:t xml:space="preserve"> </w:t>
      </w:r>
      <w:r w:rsidRPr="00C72C96" w:rsidR="00D83297">
        <w:rPr>
          <w:sz w:val="20"/>
          <w:szCs w:val="28"/>
          <w:lang w:val="en-US"/>
        </w:rPr>
        <w:t>industries</w:t>
      </w:r>
      <w:r w:rsidRPr="00C72C96" w:rsidR="00AF20B1">
        <w:rPr>
          <w:sz w:val="20"/>
          <w:szCs w:val="28"/>
          <w:lang w:val="en-US"/>
        </w:rPr>
        <w:t>.</w:t>
      </w:r>
      <w:r w:rsidRPr="00C72C96" w:rsidR="00D83297">
        <w:rPr>
          <w:sz w:val="20"/>
          <w:szCs w:val="28"/>
          <w:lang w:val="en-US"/>
        </w:rPr>
        <w:t xml:space="preserve"> </w:t>
      </w:r>
      <w:r w:rsidR="00976B76">
        <w:rPr>
          <w:sz w:val="20"/>
          <w:szCs w:val="28"/>
          <w:lang w:val="en-US"/>
        </w:rPr>
        <w:t>Key action 23</w:t>
      </w:r>
      <w:r w:rsidR="00976B76">
        <w:rPr>
          <w:rStyle w:val="Voetnootmarkering"/>
          <w:sz w:val="20"/>
          <w:szCs w:val="28"/>
          <w:lang w:val="en-US"/>
        </w:rPr>
        <w:footnoteReference w:id="4"/>
      </w:r>
      <w:r w:rsidR="00976B76">
        <w:rPr>
          <w:sz w:val="20"/>
          <w:szCs w:val="28"/>
          <w:lang w:val="en-US"/>
        </w:rPr>
        <w:t xml:space="preserve"> of the </w:t>
      </w:r>
      <w:r w:rsidR="00976B76">
        <w:rPr>
          <w:i/>
          <w:iCs/>
          <w:sz w:val="20"/>
          <w:szCs w:val="28"/>
          <w:lang w:val="en-US"/>
        </w:rPr>
        <w:t>Preparedness Union Strategy</w:t>
      </w:r>
      <w:r w:rsidR="00976B76">
        <w:rPr>
          <w:sz w:val="20"/>
          <w:szCs w:val="28"/>
          <w:lang w:val="en-US"/>
        </w:rPr>
        <w:t xml:space="preserve"> also reflects this objective, with the Commission and the High Representative stating their commitment to </w:t>
      </w:r>
      <w:r w:rsidRPr="00797603" w:rsidR="00976B76">
        <w:rPr>
          <w:sz w:val="20"/>
          <w:szCs w:val="28"/>
          <w:lang w:val="en-US"/>
        </w:rPr>
        <w:t xml:space="preserve">ensure that </w:t>
      </w:r>
      <w:r w:rsidR="00976B76">
        <w:rPr>
          <w:sz w:val="20"/>
          <w:szCs w:val="28"/>
          <w:lang w:val="en-US"/>
        </w:rPr>
        <w:t>dual-use</w:t>
      </w:r>
      <w:r w:rsidR="00347640">
        <w:rPr>
          <w:sz w:val="20"/>
          <w:szCs w:val="28"/>
          <w:lang w:val="en-US"/>
        </w:rPr>
        <w:t xml:space="preserve"> investments</w:t>
      </w:r>
      <w:r w:rsidRPr="00797603" w:rsidR="00976B76">
        <w:rPr>
          <w:sz w:val="20"/>
          <w:szCs w:val="28"/>
          <w:lang w:val="en-US"/>
        </w:rPr>
        <w:t xml:space="preserve"> support civilian resilience, societal security, and military needs in a mutually reinforcing manner building on military requirements</w:t>
      </w:r>
      <w:r w:rsidR="00347640">
        <w:rPr>
          <w:sz w:val="20"/>
          <w:szCs w:val="28"/>
          <w:lang w:val="en-US"/>
        </w:rPr>
        <w:t>.</w:t>
      </w:r>
    </w:p>
    <w:p w:rsidRPr="00976B76" w:rsidR="00664600" w:rsidP="00630DFC" w:rsidRDefault="00664600" w14:paraId="1C7E4744" w14:textId="77777777">
      <w:pPr>
        <w:rPr>
          <w:sz w:val="20"/>
          <w:szCs w:val="28"/>
          <w:lang w:val="en-US"/>
        </w:rPr>
      </w:pPr>
    </w:p>
    <w:p w:rsidRPr="00C72C96" w:rsidR="0075403B" w:rsidP="0075403B" w:rsidRDefault="0075403B" w14:paraId="1C0C6426" w14:textId="77777777">
      <w:pPr>
        <w:rPr>
          <w:rFonts w:cs="Arial"/>
          <w:sz w:val="20"/>
          <w:szCs w:val="28"/>
          <w:lang w:val="en-US"/>
        </w:rPr>
      </w:pPr>
      <w:r w:rsidRPr="0075403B">
        <w:rPr>
          <w:rFonts w:cs="Arial"/>
          <w:b/>
          <w:bCs/>
          <w:sz w:val="20"/>
          <w:szCs w:val="28"/>
          <w:lang w:val="en-US"/>
        </w:rPr>
        <w:t>Conclusion</w:t>
      </w:r>
    </w:p>
    <w:p w:rsidRPr="002D4019" w:rsidR="00C72C96" w:rsidP="00630DFC" w:rsidRDefault="00C72C96" w14:paraId="32C903D9" w14:textId="46C03D48">
      <w:pPr>
        <w:rPr>
          <w:sz w:val="20"/>
          <w:szCs w:val="28"/>
          <w:lang w:val="en-US"/>
        </w:rPr>
      </w:pPr>
      <w:r w:rsidRPr="00C72C96">
        <w:rPr>
          <w:sz w:val="20"/>
          <w:szCs w:val="28"/>
          <w:lang w:val="en-US"/>
        </w:rPr>
        <w:t>To maximize these benefits, swift and coordinated action is needed.</w:t>
      </w:r>
      <w:r>
        <w:rPr>
          <w:sz w:val="20"/>
          <w:szCs w:val="28"/>
          <w:lang w:val="en-US"/>
        </w:rPr>
        <w:t xml:space="preserve"> </w:t>
      </w:r>
      <w:r w:rsidRPr="00C72C96">
        <w:rPr>
          <w:sz w:val="20"/>
          <w:szCs w:val="28"/>
          <w:lang w:val="en-US"/>
        </w:rPr>
        <w:t xml:space="preserve">The European Commission’s </w:t>
      </w:r>
      <w:r w:rsidRPr="009403B5">
        <w:rPr>
          <w:i/>
          <w:iCs/>
          <w:sz w:val="20"/>
          <w:szCs w:val="28"/>
          <w:lang w:val="en-US"/>
        </w:rPr>
        <w:t>Preparedness</w:t>
      </w:r>
      <w:r w:rsidRPr="009403B5" w:rsidR="00943611">
        <w:rPr>
          <w:i/>
          <w:iCs/>
          <w:sz w:val="20"/>
          <w:szCs w:val="28"/>
          <w:lang w:val="en-US"/>
        </w:rPr>
        <w:t xml:space="preserve"> Union</w:t>
      </w:r>
      <w:r w:rsidRPr="009403B5">
        <w:rPr>
          <w:i/>
          <w:iCs/>
          <w:sz w:val="20"/>
          <w:szCs w:val="28"/>
          <w:lang w:val="en-US"/>
        </w:rPr>
        <w:t xml:space="preserve"> Strategy</w:t>
      </w:r>
      <w:r w:rsidRPr="00C72C96">
        <w:rPr>
          <w:sz w:val="20"/>
          <w:szCs w:val="28"/>
          <w:lang w:val="en-US"/>
        </w:rPr>
        <w:t xml:space="preserve"> provides a unique opportunity </w:t>
      </w:r>
      <w:r w:rsidR="004C4EFB">
        <w:rPr>
          <w:sz w:val="20"/>
          <w:szCs w:val="28"/>
          <w:lang w:val="en-US"/>
        </w:rPr>
        <w:t xml:space="preserve">to </w:t>
      </w:r>
      <w:r w:rsidR="00920821">
        <w:rPr>
          <w:sz w:val="20"/>
          <w:szCs w:val="28"/>
          <w:lang w:val="en-US"/>
        </w:rPr>
        <w:t>look into</w:t>
      </w:r>
      <w:r>
        <w:rPr>
          <w:sz w:val="20"/>
          <w:szCs w:val="28"/>
          <w:lang w:val="en-US"/>
        </w:rPr>
        <w:t xml:space="preserve"> the development of EU </w:t>
      </w:r>
      <w:r w:rsidR="0075403B">
        <w:rPr>
          <w:sz w:val="20"/>
          <w:szCs w:val="28"/>
          <w:lang w:val="en-US"/>
        </w:rPr>
        <w:t>baseline requirements</w:t>
      </w:r>
      <w:r w:rsidR="00187C2E">
        <w:rPr>
          <w:sz w:val="20"/>
          <w:szCs w:val="28"/>
          <w:lang w:val="en-US"/>
        </w:rPr>
        <w:t xml:space="preserve">. </w:t>
      </w:r>
      <w:r w:rsidR="00A67E59">
        <w:rPr>
          <w:sz w:val="20"/>
          <w:szCs w:val="28"/>
          <w:lang w:val="en-US"/>
        </w:rPr>
        <w:t xml:space="preserve">This development should be grounded in a thorough assessment of existing tools and legislation to ensure that the EU BLR are well-defined and clearly targeted. </w:t>
      </w:r>
      <w:r w:rsidR="00187C2E">
        <w:rPr>
          <w:sz w:val="20"/>
          <w:szCs w:val="28"/>
          <w:lang w:val="en-US"/>
        </w:rPr>
        <w:t>By offering a structured and coherent framework, the EU BLR can help</w:t>
      </w:r>
      <w:r>
        <w:rPr>
          <w:sz w:val="20"/>
          <w:szCs w:val="28"/>
          <w:lang w:val="en-US"/>
        </w:rPr>
        <w:t xml:space="preserve"> </w:t>
      </w:r>
      <w:r w:rsidRPr="00C72C96">
        <w:rPr>
          <w:sz w:val="20"/>
          <w:szCs w:val="28"/>
          <w:lang w:val="en-US"/>
        </w:rPr>
        <w:t xml:space="preserve">Member States </w:t>
      </w:r>
      <w:r w:rsidR="0047345F">
        <w:rPr>
          <w:sz w:val="20"/>
          <w:szCs w:val="28"/>
          <w:lang w:val="en-US"/>
        </w:rPr>
        <w:t>to be</w:t>
      </w:r>
      <w:r w:rsidRPr="00C72C96" w:rsidR="0047345F">
        <w:rPr>
          <w:sz w:val="20"/>
          <w:szCs w:val="28"/>
          <w:lang w:val="en-US"/>
        </w:rPr>
        <w:t xml:space="preserve"> </w:t>
      </w:r>
      <w:r w:rsidRPr="00C72C96">
        <w:rPr>
          <w:sz w:val="20"/>
          <w:szCs w:val="28"/>
          <w:lang w:val="en-US"/>
        </w:rPr>
        <w:t xml:space="preserve">better equipped to respond to </w:t>
      </w:r>
      <w:r>
        <w:rPr>
          <w:sz w:val="20"/>
          <w:szCs w:val="28"/>
          <w:lang w:val="en-US"/>
        </w:rPr>
        <w:t>future</w:t>
      </w:r>
      <w:r w:rsidRPr="00C72C96">
        <w:rPr>
          <w:sz w:val="20"/>
          <w:szCs w:val="28"/>
          <w:lang w:val="en-US"/>
        </w:rPr>
        <w:t xml:space="preserve"> challenges</w:t>
      </w:r>
      <w:r w:rsidR="0047345F">
        <w:rPr>
          <w:sz w:val="20"/>
          <w:szCs w:val="28"/>
          <w:lang w:val="en-US"/>
        </w:rPr>
        <w:t>, while strengthening alignment with NATO and promoting effective civil-military cooperation</w:t>
      </w:r>
      <w:r w:rsidRPr="00C72C96">
        <w:rPr>
          <w:sz w:val="20"/>
          <w:szCs w:val="28"/>
          <w:lang w:val="en-US"/>
        </w:rPr>
        <w:t>.</w:t>
      </w:r>
      <w:r w:rsidR="002D4019">
        <w:rPr>
          <w:sz w:val="20"/>
          <w:szCs w:val="28"/>
          <w:lang w:val="en-US"/>
        </w:rPr>
        <w:t xml:space="preserve"> </w:t>
      </w:r>
      <w:r w:rsidR="00813D6F">
        <w:rPr>
          <w:sz w:val="20"/>
          <w:szCs w:val="28"/>
          <w:lang w:val="en-US"/>
        </w:rPr>
        <w:t>We</w:t>
      </w:r>
      <w:r w:rsidRPr="002D4019" w:rsidR="002D4019">
        <w:rPr>
          <w:sz w:val="20"/>
          <w:szCs w:val="28"/>
          <w:lang w:val="en-US"/>
        </w:rPr>
        <w:t xml:space="preserve"> </w:t>
      </w:r>
      <w:r w:rsidR="00EA43A0">
        <w:rPr>
          <w:sz w:val="20"/>
          <w:szCs w:val="28"/>
          <w:lang w:val="en-US"/>
        </w:rPr>
        <w:t>look forward to the Commission’s recommendat</w:t>
      </w:r>
      <w:r w:rsidR="00CC5923">
        <w:rPr>
          <w:sz w:val="20"/>
          <w:szCs w:val="28"/>
          <w:lang w:val="en-US"/>
        </w:rPr>
        <w:t>i</w:t>
      </w:r>
      <w:r w:rsidR="00EA43A0">
        <w:rPr>
          <w:sz w:val="20"/>
          <w:szCs w:val="28"/>
          <w:lang w:val="en-US"/>
        </w:rPr>
        <w:t>ons on these minimum preparedness requirements</w:t>
      </w:r>
      <w:r w:rsidRPr="002D4019" w:rsidR="002D4019">
        <w:rPr>
          <w:sz w:val="20"/>
          <w:szCs w:val="28"/>
          <w:lang w:val="en-US"/>
        </w:rPr>
        <w:t>.</w:t>
      </w:r>
      <w:bookmarkEnd w:id="0"/>
    </w:p>
    <w:sectPr w:rsidRPr="002D4019" w:rsidR="00C72C96" w:rsidSect="00187D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009" w:right="1418" w:bottom="1758" w:left="1418" w:header="709" w:footer="142" w:gutter="0"/>
      <w:cols w:space="720"/>
      <w:formProt w:val="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8C1E" w14:textId="77777777" w:rsidR="00661B9E" w:rsidRDefault="00661B9E">
      <w:r>
        <w:separator/>
      </w:r>
    </w:p>
  </w:endnote>
  <w:endnote w:type="continuationSeparator" w:id="0">
    <w:p w14:paraId="448D890A" w14:textId="77777777" w:rsidR="00661B9E" w:rsidRDefault="0066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8D52" w14:textId="4D5838F1" w:rsidR="00E32285" w:rsidRDefault="00E3228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8D4833" wp14:editId="432E70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40526062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34018" w14:textId="760EBED8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D483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alt="Intern gebruik" style="position:absolute;left:0;text-align:left;margin-left:0;margin-top:0;width:77.65pt;height:30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3mEwIAACEEAAAOAAAAZHJzL2Uyb0RvYy54bWysU01v2zAMvQ/YfxB0X2ynS5AacYqsRYYB&#10;QVsgHXpWZCk2IImCpMTufv0oOU62bqdhF5kiaX6897S867UiJ+F8C6aixSSnRBgOdWsOFf3+svm0&#10;oMQHZmqmwIiKvglP71YfPyw7W4opNKBq4QgWMb7sbEWbEGyZZZ43QjM/ASsMBiU4zQJe3SGrHeuw&#10;ulbZNM/nWQeutg648B69D0OQrlJ9KQUPT1J6EYiqKM4W0unSuY9ntlqy8uCYbVp+HoP9wxSatQab&#10;Xko9sMDI0bV/lNItd+BBhgkHnYGULRdpB9ymyN9ts2uYFWkXBMfbC0z+/5Xlj6edfXYk9F+gRwIj&#10;IJ31pUdn3KeXTscvTkowjhC+XWATfSAcnbeLeTGbUcIxdLMo5jezWCW7/mydD18FaBKNijpkJYHF&#10;TlsfhtQxJfYysGmVSswo85sDa0ZPdp0wWqHf96StKzodp99D/YZLORj49pZvWmy9ZT48M4cE4x4o&#10;2vCEh1TQVRTOFiUNuB9/88d8xB2jlHQomIoaVDQl6ptBPqazz3keBZZuaLjR2CejuM1nMW6O+h5Q&#10;iwU+C8uTGZODGk3pQL+iptexG4aY4dizovvRvA+DfPFNcLFepyTUkmVha3aWx9IRswjoS//KnD2j&#10;HpCuRxglxcp34A+58U9v18eAFCRmIr4DmmfYUYeJ2/ObiUL/9Z6yri979RMAAP//AwBQSwMEFAAG&#10;AAgAAAAhAEcodYLZAAAABAEAAA8AAABkcnMvZG93bnJldi54bWxMj01vwjAMhu+T9h8iI3EbKSCq&#10;qTRFaF/alTJpO6aNaSoap2sMdP9+gct2sWS9rx4/zjej68QZh9B6UjCfJSCQam9aahR87F8fHkEE&#10;1mR05wkV/GCATXF/l+vM+Avt8FxyIyKEQqYVWOY+kzLUFp0OM98jxezgB6c5rkMjzaAvEe46uUiS&#10;VDrdUrxgdY9PFutjeXIK0ue3re0/06/vwyK8h8ofufQvSk0n43YNgnHkvzJc9aM6FNGp8icyQXQK&#10;4iN8m9dstVqCqCI4mYMscvlfvvgFAAD//wMAUEsBAi0AFAAGAAgAAAAhALaDOJL+AAAA4QEAABMA&#10;AAAAAAAAAAAAAAAAAAAAAFtDb250ZW50X1R5cGVzXS54bWxQSwECLQAUAAYACAAAACEAOP0h/9YA&#10;AACUAQAACwAAAAAAAAAAAAAAAAAvAQAAX3JlbHMvLnJlbHNQSwECLQAUAAYACAAAACEAKd5t5hMC&#10;AAAhBAAADgAAAAAAAAAAAAAAAAAuAgAAZHJzL2Uyb0RvYy54bWxQSwECLQAUAAYACAAAACEARyh1&#10;gtkAAAAEAQAADwAAAAAAAAAAAAAAAABtBAAAZHJzL2Rvd25yZXYueG1sUEsFBgAAAAAEAAQA8wAA&#10;AHMFAAAAAA==&#10;" filled="f" stroked="f">
              <v:textbox style="mso-fit-shape-to-text:t" inset="20pt,0,0,15pt">
                <w:txbxContent>
                  <w:p w14:paraId="52934018" w14:textId="760EBED8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0E78" w14:textId="77777777" w:rsidR="000415C0" w:rsidRDefault="00E32285">
    <w:pPr>
      <w:pStyle w:val="Voetteks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AA3C451" wp14:editId="3E01702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152161302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1E861" w14:textId="0E0C85B1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3C45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9" type="#_x0000_t202" alt="Intern gebruik" style="position:absolute;left:0;text-align:left;margin-left:0;margin-top:0;width:77.65pt;height:30.0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xuEwIAACEEAAAOAAAAZHJzL2Uyb0RvYy54bWysU01v2zAMvQ/YfxB0X2ynS5AacYqsRYYB&#10;QVsgHXpWZCk2IImCpMTufv0oOU62bqdhF5kiaX6897S867UiJ+F8C6aixSSnRBgOdWsOFf3+svm0&#10;oMQHZmqmwIiKvglP71YfPyw7W4opNKBq4QgWMb7sbEWbEGyZZZ43QjM/ASsMBiU4zQJe3SGrHeuw&#10;ulbZNM/nWQeutg648B69D0OQrlJ9KQUPT1J6EYiqKM4W0unSuY9ntlqy8uCYbVp+HoP9wxSatQab&#10;Xko9sMDI0bV/lNItd+BBhgkHnYGULRdpB9ymyN9ts2uYFWkXBMfbC0z+/5Xlj6edfXYk9F+gRwIj&#10;IJ31pUdn3KeXTscvTkowjhC+XWATfSAcnbeLeTGbUcIxdLMo5jezWCW7/mydD18FaBKNijpkJYHF&#10;TlsfhtQxJfYysGmVSswo85sDa0ZPdp0wWqHf96Stsfk4/R7qN1zKwcC3t3zTYust8+GZOSQY90DR&#10;hic8pIKuonC2KGnA/fibP+Yj7hilpEPBVNSgoilR3wzyMZ19zvMosHRDw43GPhnFbT6LcXPU94Ba&#10;LPBZWJ7MmBzUaEoH+hU1vY7dMMQMx54V3Y/mfRjki2+Ci/U6JaGWLAtbs7M8lo6YRUBf+lfm7Bn1&#10;gHQ9wigpVr4Df8iNf3q7PgakIDET8R3QPMOOOkzcnt9MFPqv95R1fdmrnwAAAP//AwBQSwMEFAAG&#10;AAgAAAAhAEcodYLZAAAABAEAAA8AAABkcnMvZG93bnJldi54bWxMj01vwjAMhu+T9h8iI3EbKSCq&#10;qTRFaF/alTJpO6aNaSoap2sMdP9+gct2sWS9rx4/zjej68QZh9B6UjCfJSCQam9aahR87F8fHkEE&#10;1mR05wkV/GCATXF/l+vM+Avt8FxyIyKEQqYVWOY+kzLUFp0OM98jxezgB6c5rkMjzaAvEe46uUiS&#10;VDrdUrxgdY9PFutjeXIK0ue3re0/06/vwyK8h8ofufQvSk0n43YNgnHkvzJc9aM6FNGp8icyQXQK&#10;4iN8m9dstVqCqCI4mYMscvlfvvgFAAD//wMAUEsBAi0AFAAGAAgAAAAhALaDOJL+AAAA4QEAABMA&#10;AAAAAAAAAAAAAAAAAAAAAFtDb250ZW50X1R5cGVzXS54bWxQSwECLQAUAAYACAAAACEAOP0h/9YA&#10;AACUAQAACwAAAAAAAAAAAAAAAAAvAQAAX3JlbHMvLnJlbHNQSwECLQAUAAYACAAAACEA2VHsbhMC&#10;AAAhBAAADgAAAAAAAAAAAAAAAAAuAgAAZHJzL2Uyb0RvYy54bWxQSwECLQAUAAYACAAAACEARyh1&#10;gtkAAAAEAQAADwAAAAAAAAAAAAAAAABtBAAAZHJzL2Rvd25yZXYueG1sUEsFBgAAAAAEAAQA8wAA&#10;AHMFAAAAAA==&#10;" filled="f" stroked="f">
              <v:textbox style="mso-fit-shape-to-text:t" inset="20pt,0,0,15pt">
                <w:txbxContent>
                  <w:p w14:paraId="1411E861" w14:textId="0E0C85B1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11579436"/>
      <w:docPartObj>
        <w:docPartGallery w:val="Page Numbers (Bottom of Page)"/>
        <w:docPartUnique/>
      </w:docPartObj>
    </w:sdtPr>
    <w:sdtEndPr/>
    <w:sdtContent>
      <w:p w14:paraId="111AED3E" w14:textId="1A841B4D" w:rsidR="00187DFC" w:rsidRDefault="00187DFC">
        <w:pPr>
          <w:pStyle w:val="Voettekst"/>
          <w:jc w:val="center"/>
        </w:pPr>
      </w:p>
      <w:p w14:paraId="243900D4" w14:textId="36A5C8F3" w:rsidR="00187DFC" w:rsidRDefault="00187DF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8ECFA5C" w14:textId="62E7A7D7" w:rsidR="00200B7A" w:rsidRPr="00781F2B" w:rsidRDefault="00200B7A" w:rsidP="00781F2B">
    <w:pPr>
      <w:pStyle w:val="Voettekst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C753" w14:textId="6C81F15B" w:rsidR="00E32285" w:rsidRDefault="00E3228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0151775" wp14:editId="2F879A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44244418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8D1CC" w14:textId="67F53342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5177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1" type="#_x0000_t202" alt="Intern gebruik" style="position:absolute;left:0;text-align:left;margin-left:0;margin-top:0;width:77.65pt;height:30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vrEgIAACEEAAAOAAAAZHJzL2Uyb0RvYy54bWysU8tu2zAQvBfoPxC815Kc2nAEy4GbwEUB&#10;IwngFDnTFGkJILkESVtyv75Lyo82zSnohVrurvYxM5zf9VqRg3C+BVPRYpRTIgyHujW7iv58WX2Z&#10;UeIDMzVTYERFj8LTu8XnT/POlmIMDahaOIJFjC87W9EmBFtmmeeN0MyPwAqDQQlOs4BXt8tqxzqs&#10;rlU2zvNp1oGrrQMuvEfvwxCki1RfSsHDk5ReBKIqirOFdLp0buOZLeas3Dlmm5afxmAfmEKz1mDT&#10;S6kHFhjZu/afUrrlDjzIMOKgM5Cy5SLtgNsU+ZttNg2zIu2C4Hh7gcn/v7L88bCxz46E/hv0SGAE&#10;pLO+9OiM+/TS6fjFSQnGEcLjBTbRB8LReTubFpMJJRxDN7NiejOJVbLrz9b58F2AJtGoqENWEljs&#10;sPZhSD2nxF4GVq1SiRll/nJgzejJrhNGK/TbnrR1RVPf6NlCfcSlHAx8e8tXLbZeMx+emUOCcQ8U&#10;bXjCQyroKgoni5IG3K/3/DEfcccoJR0KpqIGFU2J+mGQj/Hka55HgaUbGu5sbJNR3OaTGDd7fQ+o&#10;xQKfheXJjMlBnU3pQL+ippexG4aY4dizotuzeR8G+eKb4GK5TEmoJcvC2mwsj6UjZhHQl/6VOXtC&#10;PSBdj3CWFCvfgD/kxj+9Xe4DUpCYuaJ5gh11mLg9vZko9D/vKev6she/AQAA//8DAFBLAwQUAAYA&#10;CAAAACEARyh1gtkAAAAEAQAADwAAAGRycy9kb3ducmV2LnhtbEyPTW/CMAyG75P2HyIjcRspIKqp&#10;NEVoX9qVMmk7po1pKhqnawx0/36By3axZL2vHj/ON6PrxBmH0HpSMJ8lIJBqb1pqFHzsXx8eQQTW&#10;ZHTnCRX8YIBNcX+X68z4C+3wXHIjIoRCphVY5j6TMtQWnQ4z3yPF7OAHpzmuQyPNoC8R7jq5SJJU&#10;Ot1SvGB1j08W62N5cgrS57et7T/Tr+/DIryHyh+59C9KTSfjdg2CceS/Mlz1ozoU0anyJzJBdAri&#10;I3yb12y1WoKoIjiZgyxy+V+++AUAAP//AwBQSwECLQAUAAYACAAAACEAtoM4kv4AAADhAQAAEwAA&#10;AAAAAAAAAAAAAAAAAAAAW0NvbnRlbnRfVHlwZXNdLnhtbFBLAQItABQABgAIAAAAIQA4/SH/1gAA&#10;AJQBAAALAAAAAAAAAAAAAAAAAC8BAABfcmVscy8ucmVsc1BLAQItABQABgAIAAAAIQB7fQvrEgIA&#10;ACEEAAAOAAAAAAAAAAAAAAAAAC4CAABkcnMvZTJvRG9jLnhtbFBLAQItABQABgAIAAAAIQBHKHWC&#10;2QAAAAQBAAAPAAAAAAAAAAAAAAAAAGwEAABkcnMvZG93bnJldi54bWxQSwUGAAAAAAQABADzAAAA&#10;cgUAAAAA&#10;" filled="f" stroked="f">
              <v:textbox style="mso-fit-shape-to-text:t" inset="20pt,0,0,15pt">
                <w:txbxContent>
                  <w:p w14:paraId="1BD8D1CC" w14:textId="67F53342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0C1D" w14:textId="5E459DF2" w:rsidR="00E32285" w:rsidRDefault="00E3228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FC92AA7" wp14:editId="55F377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1983665531" name="Tekstvak 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50FEB" w14:textId="3B705874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92AA7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34" type="#_x0000_t202" alt="Intern gebruik" style="position:absolute;left:0;text-align:left;margin-left:0;margin-top:0;width:77.65pt;height:30.0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WzEwIAACEEAAAOAAAAZHJzL2Uyb0RvYy54bWysU01v2zAMvQ/YfxB0X2ynS5AacYqsRYYB&#10;QVsgHXpWZCk2IImCpMTOfv0oOW62bqdhF5kiaX6897S867UiJ+F8C6aixSSnRBgOdWsOFf3+svm0&#10;oMQHZmqmwIiKnoWnd6uPH5adLcUUGlC1cASLGF92tqJNCLbMMs8boZmfgBUGgxKcZgGv7pDVjnVY&#10;XatsmufzrANXWwdceI/ehyFIV6m+lIKHJym9CERVFGcL6XTp3MczWy1ZeXDMNi2/jMH+YQrNWoNN&#10;30o9sMDI0bV/lNItd+BBhgkHnYGULRdpB9ymyN9ts2uYFWkXBMfbN5j8/yvLH087++xI6L9AjwRG&#10;QDrrS4/OuE8vnY5fnJRgHCE8v8Em+kA4Om8X82I2o4Rj6GZRzG9msUp2/dk6H74K0CQaFXXISgKL&#10;nbY+DKljSuxlYNMqlZhR5jcH1oye7DphtEK/70lbV3QxTr+H+oxLORj49pZvWmy9ZT48M4cE4x4o&#10;2vCEh1TQVRQuFiUNuB9/88d8xB2jlHQomIoaVDQl6ptBPqazz3keBZZuaLjR2CejuM1nMW6O+h5Q&#10;iwU+C8uTGZODGk3pQL+iptexG4aY4dizovvRvA+DfPFNcLFepyTUkmVha3aWx9IRswjoS//KnL2g&#10;HpCuRxglxcp34A+58U9v18eAFCRmIr4DmhfYUYeJ28ubiUL/9Z6yri979RMAAP//AwBQSwMEFAAG&#10;AAgAAAAhAEcodYLZAAAABAEAAA8AAABkcnMvZG93bnJldi54bWxMj01vwjAMhu+T9h8iI3EbKSCq&#10;qTRFaF/alTJpO6aNaSoap2sMdP9+gct2sWS9rx4/zjej68QZh9B6UjCfJSCQam9aahR87F8fHkEE&#10;1mR05wkV/GCATXF/l+vM+Avt8FxyIyKEQqYVWOY+kzLUFp0OM98jxezgB6c5rkMjzaAvEe46uUiS&#10;VDrdUrxgdY9PFutjeXIK0ue3re0/06/vwyK8h8ofufQvSk0n43YNgnHkvzJc9aM6FNGp8icyQXQK&#10;4iN8m9dstVqCqCI4mYMscvlfvvgFAAD//wMAUEsBAi0AFAAGAAgAAAAhALaDOJL+AAAA4QEAABMA&#10;AAAAAAAAAAAAAAAAAAAAAFtDb250ZW50X1R5cGVzXS54bWxQSwECLQAUAAYACAAAACEAOP0h/9YA&#10;AACUAQAACwAAAAAAAAAAAAAAAAAvAQAAX3JlbHMvLnJlbHNQSwECLQAUAAYACAAAACEAjq01sxMC&#10;AAAhBAAADgAAAAAAAAAAAAAAAAAuAgAAZHJzL2Uyb0RvYy54bWxQSwECLQAUAAYACAAAACEARyh1&#10;gtkAAAAEAQAADwAAAAAAAAAAAAAAAABtBAAAZHJzL2Rvd25yZXYueG1sUEsFBgAAAAAEAAQA8wAA&#10;AHMFAAAAAA==&#10;" filled="f" stroked="f">
              <v:textbox style="mso-fit-shape-to-text:t" inset="20pt,0,0,15pt">
                <w:txbxContent>
                  <w:p w14:paraId="13F50FEB" w14:textId="3B705874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7480" w14:textId="08C4F41C" w:rsidR="00187DFC" w:rsidRDefault="00E32285">
    <w:pPr>
      <w:pStyle w:val="Voetteks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6D587DA" wp14:editId="16ED49FB">
              <wp:simplePos x="904875" y="100298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199204501" name="Tekstvak 6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16FA" w14:textId="17B7485E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587DA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35" type="#_x0000_t202" alt="Intern gebruik" style="position:absolute;left:0;text-align:left;margin-left:0;margin-top:0;width:77.65pt;height:30.0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Q7EwIAACEEAAAOAAAAZHJzL2Uyb0RvYy54bWysU01v2zAMvQ/YfxB0X2ynS5AacYqsRYYB&#10;QVsgHXpWZCk2IImCpMTufv0oOU62bqdhF5kiaX6897S867UiJ+F8C6aixSSnRBgOdWsOFf3+svm0&#10;oMQHZmqmwIiKvglP71YfPyw7W4opNKBq4QgWMb7sbEWbEGyZZZ43QjM/ASsMBiU4zQJe3SGrHeuw&#10;ulbZNM/nWQeutg648B69D0OQrlJ9KQUPT1J6EYiqKM4W0unSuY9ntlqy8uCYbVp+HoP9wxSatQab&#10;Xko9sMDI0bV/lNItd+BBhgkHnYGULRdpB9ymyN9ts2uYFWkXBMfbC0z+/5Xlj6edfXYk9F+gRwIj&#10;IJ31pUdn3KeXTscvTkowjhC+XWATfSAcnbeLeTGbUcIxdLMo5jezWCW7/mydD18FaBKNijpkJYHF&#10;TlsfhtQxJfYysGmVSswo85sDa0ZPdp0wWqHf96StcZBx+j3Ub7iUg4Fvb/mmxdZb5sMzc0gw7oGi&#10;DU94SAVdReFsUdKA+/E3f8xH3DFKSYeCqahBRVOivhnkYzr7nOdRYOmGhhuNfTKK23wW4+ao7wG1&#10;WOCzsDyZMTmo0ZQO9Ctqeh27YYgZjj0ruh/N+zDIF98EF+t1SkItWRa2Zmd5LB0xi4C+9K/M2TPq&#10;Ael6hFFSrHwH/pAb//R2fQxIQWIm4jugeYYddZi4Pb+ZKPRf7ynr+rJXPwEAAP//AwBQSwMEFAAG&#10;AAgAAAAhAEcodYLZAAAABAEAAA8AAABkcnMvZG93bnJldi54bWxMj01vwjAMhu+T9h8iI3EbKSCq&#10;qTRFaF/alTJpO6aNaSoap2sMdP9+gct2sWS9rx4/zjej68QZh9B6UjCfJSCQam9aahR87F8fHkEE&#10;1mR05wkV/GCATXF/l+vM+Avt8FxyIyKEQqYVWOY+kzLUFp0OM98jxezgB6c5rkMjzaAvEe46uUiS&#10;VDrdUrxgdY9PFutjeXIK0ue3re0/06/vwyK8h8ofufQvSk0n43YNgnHkvzJc9aM6FNGp8icyQXQK&#10;4iN8m9dstVqCqCI4mYMscvlfvvgFAAD//wMAUEsBAi0AFAAGAAgAAAAhALaDOJL+AAAA4QEAABMA&#10;AAAAAAAAAAAAAAAAAAAAAFtDb250ZW50X1R5cGVzXS54bWxQSwECLQAUAAYACAAAACEAOP0h/9YA&#10;AACUAQAACwAAAAAAAAAAAAAAAAAvAQAAX3JlbHMvLnJlbHNQSwECLQAUAAYACAAAACEAfiK0OxMC&#10;AAAhBAAADgAAAAAAAAAAAAAAAAAuAgAAZHJzL2Uyb0RvYy54bWxQSwECLQAUAAYACAAAACEARyh1&#10;gtkAAAAEAQAADwAAAAAAAAAAAAAAAABtBAAAZHJzL2Rvd25yZXYueG1sUEsFBgAAAAAEAAQA8wAA&#10;AHMFAAAAAA==&#10;" filled="f" stroked="f">
              <v:textbox style="mso-fit-shape-to-text:t" inset="20pt,0,0,15pt">
                <w:txbxContent>
                  <w:p w14:paraId="388D16FA" w14:textId="17B7485E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03748759"/>
        <w:docPartObj>
          <w:docPartGallery w:val="Page Numbers (Bottom of Page)"/>
          <w:docPartUnique/>
        </w:docPartObj>
      </w:sdtPr>
      <w:sdtEndPr/>
      <w:sdtContent>
        <w:r w:rsidR="00187DFC">
          <w:fldChar w:fldCharType="begin"/>
        </w:r>
        <w:r w:rsidR="00187DFC">
          <w:instrText>PAGE   \* MERGEFORMAT</w:instrText>
        </w:r>
        <w:r w:rsidR="00187DFC">
          <w:fldChar w:fldCharType="separate"/>
        </w:r>
        <w:r w:rsidR="00187DFC">
          <w:rPr>
            <w:lang w:val="nl-NL"/>
          </w:rPr>
          <w:t>2</w:t>
        </w:r>
        <w:r w:rsidR="00187DFC">
          <w:fldChar w:fldCharType="end"/>
        </w:r>
      </w:sdtContent>
    </w:sdt>
  </w:p>
  <w:p w14:paraId="0D5E035F" w14:textId="77777777" w:rsidR="00200B7A" w:rsidRDefault="00200B7A">
    <w:pPr>
      <w:pStyle w:val="Voettekst"/>
      <w:spacing w:line="720" w:lineRule="exact"/>
      <w:jc w:val="left"/>
      <w:rPr>
        <w:sz w:val="18"/>
        <w:lang w:val="fr-F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4EE2" w14:textId="1D02F3FA" w:rsidR="00E32285" w:rsidRDefault="00E32285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55687ED" wp14:editId="54F823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81635"/>
              <wp:effectExtent l="0" t="0" r="4445" b="0"/>
              <wp:wrapNone/>
              <wp:docPr id="622797936" name="Tekstvak 4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B6F53" w14:textId="14BA7330" w:rsidR="00E32285" w:rsidRPr="00E32285" w:rsidRDefault="00E32285" w:rsidP="00E32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32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687E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37" type="#_x0000_t202" alt="Intern gebruik" style="position:absolute;left:0;text-align:left;margin-left:0;margin-top:0;width:77.65pt;height:30.0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u7EwIAACIEAAAOAAAAZHJzL2Uyb0RvYy54bWysU8tu2zAQvBfoPxC815Kc2nAEy4GbwEUB&#10;IwngFDnTFGkJILkESVtyv75Lyo82zSnohVrurvYxM5zf9VqRg3C+BVPRYpRTIgyHujW7iv58WX2Z&#10;UeIDMzVTYERFj8LTu8XnT/POlmIMDahaOIJFjC87W9EmBFtmmeeN0MyPwAqDQQlOs4BXt8tqxzqs&#10;rlU2zvNp1oGrrQMuvEfvwxCki1RfSsHDk5ReBKIqirOFdLp0buOZLeas3Dlmm5afxmAfmEKz1mDT&#10;S6kHFhjZu/afUrrlDjzIMOKgM5Cy5SLtgNsU+ZttNg2zIu2C4Hh7gcn/v7L88bCxz46E/hv0SGAE&#10;pLO+9OiM+/TS6fjFSQnGEcLjBTbRB8LReTubFpMJJRxDN7NiejOJVbLrz9b58F2AJtGoqENWEljs&#10;sPZhSD2nxF4GVq1SiRll/nJgzejJrhNGK/TbnrQ1Tn8Zfwv1EbdyMBDuLV+12HvNfHhmDhnGRVC1&#10;4QkPqaCrKJwsShpwv97zx3wEHqOUdKiYihqUNCXqh0FCxpOveR4Vlm5ouLOxTUZxm09i3Oz1PaAY&#10;C3wXliczJgd1NqUD/YqiXsZuGGKGY8+Kbs/mfRj0i4+Ci+UyJaGYLAtrs7E8lo6gRURf+lfm7An2&#10;gHw9wllTrHyD/pAb//R2uQ/IQaImAjygecIdhZjIPT2aqPQ/7ynr+rQXvwEAAP//AwBQSwMEFAAG&#10;AAgAAAAhAEcodYLZAAAABAEAAA8AAABkcnMvZG93bnJldi54bWxMj01vwjAMhu+T9h8iI3EbKSCq&#10;qTRFaF/alTJpO6aNaSoap2sMdP9+gct2sWS9rx4/zjej68QZh9B6UjCfJSCQam9aahR87F8fHkEE&#10;1mR05wkV/GCATXF/l+vM+Avt8FxyIyKEQqYVWOY+kzLUFp0OM98jxezgB6c5rkMjzaAvEe46uUiS&#10;VDrdUrxgdY9PFutjeXIK0ue3re0/06/vwyK8h8ofufQvSk0n43YNgnHkvzJc9aM6FNGp8icyQXQK&#10;4iN8m9dstVqCqCI4mYMscvlfvvgFAAD//wMAUEsBAi0AFAAGAAgAAAAhALaDOJL+AAAA4QEAABMA&#10;AAAAAAAAAAAAAAAAAAAAAFtDb250ZW50X1R5cGVzXS54bWxQSwECLQAUAAYACAAAACEAOP0h/9YA&#10;AACUAQAACwAAAAAAAAAAAAAAAAAvAQAAX3JlbHMvLnJlbHNQSwECLQAUAAYACAAAACEA2PtbuxMC&#10;AAAiBAAADgAAAAAAAAAAAAAAAAAuAgAAZHJzL2Uyb0RvYy54bWxQSwECLQAUAAYACAAAACEARyh1&#10;gtkAAAAEAQAADwAAAAAAAAAAAAAAAABtBAAAZHJzL2Rvd25yZXYueG1sUEsFBgAAAAAEAAQA8wAA&#10;AHMFAAAAAA==&#10;" filled="f" stroked="f">
              <v:textbox style="mso-fit-shape-to-text:t" inset="20pt,0,0,15pt">
                <w:txbxContent>
                  <w:p w14:paraId="1F0B6F53" w14:textId="14BA7330" w:rsidR="00E32285" w:rsidRPr="00E32285" w:rsidRDefault="00E32285" w:rsidP="00E32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32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7C05" w14:textId="77777777" w:rsidR="00661B9E" w:rsidRDefault="00661B9E">
      <w:r>
        <w:separator/>
      </w:r>
    </w:p>
  </w:footnote>
  <w:footnote w:type="continuationSeparator" w:id="0">
    <w:p w14:paraId="2F653735" w14:textId="77777777" w:rsidR="00661B9E" w:rsidRDefault="00661B9E">
      <w:r>
        <w:continuationSeparator/>
      </w:r>
    </w:p>
  </w:footnote>
  <w:footnote w:id="1">
    <w:p w14:paraId="0E23F555" w14:textId="6BC63628" w:rsidR="00943611" w:rsidRPr="00916E31" w:rsidRDefault="00943611">
      <w:pPr>
        <w:pStyle w:val="Voetnoottekst"/>
        <w:rPr>
          <w:lang w:val="en-US"/>
        </w:rPr>
      </w:pPr>
      <w:r w:rsidRPr="00916E31">
        <w:rPr>
          <w:rStyle w:val="Voetnootmarkering"/>
        </w:rPr>
        <w:footnoteRef/>
      </w:r>
      <w:r w:rsidRPr="00916E31">
        <w:rPr>
          <w:lang w:val="en-US"/>
        </w:rPr>
        <w:t xml:space="preserve"> </w:t>
      </w:r>
      <w:hyperlink r:id="rId1" w:history="1">
        <w:r w:rsidR="009403B5" w:rsidRPr="00187DFC">
          <w:rPr>
            <w:rStyle w:val="Hyperlink"/>
            <w:sz w:val="14"/>
            <w:u w:val="none"/>
            <w:lang w:val="en-US"/>
          </w:rPr>
          <w:t>NATO - Topic: Resilience, civil preparedness and Article 3</w:t>
        </w:r>
      </w:hyperlink>
    </w:p>
  </w:footnote>
  <w:footnote w:id="2">
    <w:p w14:paraId="480ECBAD" w14:textId="66072511" w:rsidR="001C360F" w:rsidRPr="001917E9" w:rsidRDefault="001C360F">
      <w:pPr>
        <w:pStyle w:val="Voetnoottekst"/>
        <w:rPr>
          <w:i/>
          <w:iCs/>
          <w:lang w:val="en-US"/>
        </w:rPr>
      </w:pPr>
      <w:r>
        <w:rPr>
          <w:rStyle w:val="Voetnootmarkering"/>
        </w:rPr>
        <w:footnoteRef/>
      </w:r>
      <w:r w:rsidRPr="001917E9">
        <w:rPr>
          <w:lang w:val="en-US"/>
        </w:rPr>
        <w:t xml:space="preserve"> </w:t>
      </w:r>
      <w:r w:rsidRPr="001C360F">
        <w:rPr>
          <w:lang w:val="en-US"/>
        </w:rPr>
        <w:t xml:space="preserve">“Adopt minimum preparedness requirements” – Key action 7 in the </w:t>
      </w:r>
      <w:r w:rsidRPr="001917E9">
        <w:rPr>
          <w:i/>
          <w:iCs/>
          <w:lang w:val="en-US"/>
        </w:rPr>
        <w:t>Preparedness Union Strategy</w:t>
      </w:r>
      <w:r w:rsidRPr="001C360F">
        <w:rPr>
          <w:lang w:val="en-US"/>
        </w:rPr>
        <w:t xml:space="preserve">; Action 13 in the </w:t>
      </w:r>
      <w:r w:rsidRPr="001917E9">
        <w:rPr>
          <w:i/>
          <w:iCs/>
          <w:lang w:val="en-US"/>
        </w:rPr>
        <w:t>Preparedness Union Strategy – Action Plan</w:t>
      </w:r>
    </w:p>
  </w:footnote>
  <w:footnote w:id="3">
    <w:p w14:paraId="68B09CFA" w14:textId="3EB89122" w:rsidR="004D21D6" w:rsidRPr="00797603" w:rsidRDefault="004D21D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97603">
        <w:rPr>
          <w:lang w:val="en-US"/>
        </w:rPr>
        <w:t xml:space="preserve"> </w:t>
      </w:r>
      <w:r w:rsidR="00976B76">
        <w:rPr>
          <w:lang w:val="en-US"/>
        </w:rPr>
        <w:t>“</w:t>
      </w:r>
      <w:bookmarkStart w:id="1" w:name="_Hlk193894526"/>
      <w:r w:rsidR="00976B76">
        <w:rPr>
          <w:lang w:val="en-US"/>
        </w:rPr>
        <w:t>Establish comprehensive civil-military preparedness arrangements</w:t>
      </w:r>
      <w:bookmarkEnd w:id="1"/>
      <w:r w:rsidR="00976B76">
        <w:rPr>
          <w:lang w:val="en-US"/>
        </w:rPr>
        <w:t xml:space="preserve">” – Key </w:t>
      </w:r>
      <w:r w:rsidR="00976B76" w:rsidRPr="00F40E3B">
        <w:rPr>
          <w:lang w:val="en-US"/>
        </w:rPr>
        <w:t xml:space="preserve">action </w:t>
      </w:r>
      <w:r w:rsidR="00976B76">
        <w:rPr>
          <w:lang w:val="en-US"/>
        </w:rPr>
        <w:t>22</w:t>
      </w:r>
      <w:r w:rsidR="00976B76" w:rsidRPr="00F40E3B">
        <w:rPr>
          <w:lang w:val="en-US"/>
        </w:rPr>
        <w:t xml:space="preserve"> in the </w:t>
      </w:r>
      <w:r w:rsidR="00976B76" w:rsidRPr="00F40E3B">
        <w:rPr>
          <w:i/>
          <w:iCs/>
          <w:lang w:val="en-US"/>
        </w:rPr>
        <w:t>P</w:t>
      </w:r>
      <w:r w:rsidR="00976B76">
        <w:rPr>
          <w:i/>
          <w:iCs/>
          <w:lang w:val="en-US"/>
        </w:rPr>
        <w:t>reparedness Union Strategy</w:t>
      </w:r>
      <w:r w:rsidR="00976B76">
        <w:rPr>
          <w:lang w:val="en-US"/>
        </w:rPr>
        <w:t xml:space="preserve">; Action 43 in the </w:t>
      </w:r>
      <w:r w:rsidR="00976B76">
        <w:rPr>
          <w:i/>
          <w:iCs/>
          <w:lang w:val="en-US"/>
        </w:rPr>
        <w:t>Preparedness Union Strategy – Action Plan</w:t>
      </w:r>
    </w:p>
  </w:footnote>
  <w:footnote w:id="4">
    <w:p w14:paraId="64C79E10" w14:textId="77777777" w:rsidR="00976B76" w:rsidRPr="00F40E3B" w:rsidRDefault="00976B76" w:rsidP="00976B76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F40E3B">
        <w:rPr>
          <w:lang w:val="en-US"/>
        </w:rPr>
        <w:t xml:space="preserve"> “Develop standards for civilian-military d</w:t>
      </w:r>
      <w:r>
        <w:rPr>
          <w:lang w:val="en-US"/>
        </w:rPr>
        <w:t xml:space="preserve">ual use planning and investment” – Key </w:t>
      </w:r>
      <w:r w:rsidRPr="00F40E3B">
        <w:rPr>
          <w:lang w:val="en-US"/>
        </w:rPr>
        <w:t xml:space="preserve">action </w:t>
      </w:r>
      <w:r>
        <w:rPr>
          <w:lang w:val="en-US"/>
        </w:rPr>
        <w:t>23</w:t>
      </w:r>
      <w:r w:rsidRPr="00F40E3B">
        <w:rPr>
          <w:lang w:val="en-US"/>
        </w:rPr>
        <w:t xml:space="preserve"> in the </w:t>
      </w:r>
      <w:r w:rsidRPr="00F40E3B">
        <w:rPr>
          <w:i/>
          <w:iCs/>
          <w:lang w:val="en-US"/>
        </w:rPr>
        <w:t>P</w:t>
      </w:r>
      <w:r>
        <w:rPr>
          <w:i/>
          <w:iCs/>
          <w:lang w:val="en-US"/>
        </w:rPr>
        <w:t>reparedness Union Strategy</w:t>
      </w:r>
      <w:r>
        <w:rPr>
          <w:lang w:val="en-US"/>
        </w:rPr>
        <w:t xml:space="preserve">; Action 44 in the </w:t>
      </w:r>
      <w:r>
        <w:rPr>
          <w:i/>
          <w:iCs/>
          <w:lang w:val="en-US"/>
        </w:rPr>
        <w:t>Preparedness Union Strategy – Action Plan</w:t>
      </w:r>
    </w:p>
    <w:p w14:paraId="5907B8AF" w14:textId="77777777" w:rsidR="00976B76" w:rsidRPr="00F40E3B" w:rsidRDefault="00976B76" w:rsidP="00976B76">
      <w:pPr>
        <w:pStyle w:val="Voetnootteks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C93C" w14:textId="4ECDF6BD" w:rsidR="00943611" w:rsidRDefault="000B127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7F985C" wp14:editId="79F7B9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218451723" name="Text Box 2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B5126" w14:textId="0C84E59E" w:rsidR="000B127F" w:rsidRP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F98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SAGE OFFICIEL - OFFICIEEL GEBRUIK" style="position:absolute;left:0;text-align:left;margin-left:0;margin-top:0;width:151.75pt;height:30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d1CwIAABYEAAAOAAAAZHJzL2Uyb0RvYy54bWysU8Fu2zAMvQ/YPwi6L3ZSp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x0u3s62w2p4Rj7Opmen01jzDZ5bZ1PnwXoEk0SupwLYkt&#10;dtz40KeOKbGYgXWjVFqNMn85EDN6skuL0Qrdrhv63kF1wnEc9Jv2lq8brLlhPjwzh6vFCVCu4QkP&#10;qaAtKQwWJTW4X+/5Yz4yjlFKWpRKSQ1qmRL1w+AmoqqSMb3N5zn+udG9Gw1z0PeAApziW7A8mTEv&#10;qNGUDvQrCnkVC2GIGY7lShpG8z70msWHwMVqlZJQQJaFjdlaHqEjT5HEl+6VOTswHXBHjzDqiBVv&#10;CO9z401vV4eAtKdtRE57IgeqUXxpn8NDier+8z9lXZ7z8jcAAAD//wMAUEsDBBQABgAIAAAAIQBz&#10;ezd+2gAAAAQBAAAPAAAAZHJzL2Rvd25yZXYueG1sTI/BbsIwEETvlfgHa5F6K7ZBQVUaByEkDtwo&#10;LT2beJukjXej2EDK19ftpb2sNJrRzNtiNfpOXHAILZMBPVMgkCp2LdUGXl+2D48gQrTkbMeEBr4w&#10;wKqc3BU2d3ylZ7wcYi1SCYXcGmhi7HMpQ9Wgt2HGPVLy3nnwNiY51NIN9prKfSfnSi2lty2lhcb2&#10;uGmw+jycvYE2W3PUeNxtP968Zn3b77Lb3pj76bh+AhFxjH9h+MFP6FAmphOfyQXRGUiPxN+bvIVa&#10;ZCBOBpZKgywL+R++/AYAAP//AwBQSwECLQAUAAYACAAAACEAtoM4kv4AAADhAQAAEwAAAAAAAAAA&#10;AAAAAAAAAAAAW0NvbnRlbnRfVHlwZXNdLnhtbFBLAQItABQABgAIAAAAIQA4/SH/1gAAAJQBAAAL&#10;AAAAAAAAAAAAAAAAAC8BAABfcmVscy8ucmVsc1BLAQItABQABgAIAAAAIQBaAxd1CwIAABYEAAAO&#10;AAAAAAAAAAAAAAAAAC4CAABkcnMvZTJvRG9jLnhtbFBLAQItABQABgAIAAAAIQBzezd+2gAAAAQB&#10;AAAPAAAAAAAAAAAAAAAAAGUEAABkcnMvZG93bnJldi54bWxQSwUGAAAAAAQABADzAAAAbAUAAAAA&#10;" filled="f" stroked="f">
              <v:textbox style="mso-fit-shape-to-text:t" inset="0,15pt,0,0">
                <w:txbxContent>
                  <w:p w14:paraId="279B5126" w14:textId="0C84E59E" w:rsidR="000B127F" w:rsidRP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2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0669" w14:textId="3FA75BB2" w:rsidR="000B127F" w:rsidRDefault="000B127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5943B" wp14:editId="66FF58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1123085731" name="Text Box 3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92404" w14:textId="231C790D" w:rsid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7E24725F" w14:textId="77777777" w:rsidR="00187DFC" w:rsidRPr="000B127F" w:rsidRDefault="00187DFC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594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SAGE OFFICIEL - OFFICIEEL GEBRUIK" style="position:absolute;left:0;text-align:left;margin-left:0;margin-top:0;width:151.75pt;height:30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J/DQIAAB0EAAAOAAAAZHJzL2Uyb0RvYy54bWysU8Fu2zAMvQ/YPwi6L7ZTpGuNOEXWIsOA&#10;oC2QDj0rshQbkERBUmJnXz9KjpO222nYRaZJ6pF8fJrf9VqRg3C+BVPRYpJTIgyHujW7iv58WX25&#10;ocQHZmqmwIiKHoWnd4vPn+adLcUUGlC1cARBjC87W9EmBFtmmeeN0MxPwAqDQQlOs4C/bpfVjnWI&#10;rlU2zfPrrANXWwdceI/ehyFIFwlfSsHDk5ReBKIqir2FdLp0buOZLeas3Dlmm5af2mD/0IVmrcGi&#10;Z6gHFhjZu/YPKN1yBx5kmHDQGUjZcpFmwGmK/MM0m4ZZkWZBcrw90+T/Hyx/PGzssyOh/wY9LjAS&#10;0llfenTGeXrpdPxipwTjSOHxTJvoA+Hx0u3063Q6o4Rj7OqmuL6aRZjscts6H74L0CQaFXW4lsQW&#10;O6x9GFLHlFjMwKpVKq1GmXcOxIye7NJitEK/7Ulbv2l/C/URp3IwLNxbvmqx9Jr58MwcbhgHQdWG&#10;Jzykgq6icLIoacD9+ps/5iPxGKWkQ8VU1KCkKVE/DC4kiisZxW0+y/HPje7taJi9vgfUYYFPwvJk&#10;xrygRlM60K+o52UshCFmOJaraBjN+zBIF98DF8tlSkIdWRbWZmN5hI50RS5f+lfm7InwgKt6hFFO&#10;rPzA+5Abb3q73AdkPy0lUjsQeWIcNZjWenovUeRv/1PW5VUvfgMAAP//AwBQSwMEFAAGAAgAAAAh&#10;AHN7N37aAAAABAEAAA8AAABkcnMvZG93bnJldi54bWxMj8FuwjAQRO+V+AdrkXortkFBVRoHISQO&#10;3CgtPZt4m6SNd6PYQMrX1+2lvaw0mtHM22I1+k5ccAgtkwE9UyCQKnYt1QZeX7YPjyBCtORsx4QG&#10;vjDAqpzcFTZ3fKVnvBxiLVIJhdwaaGLscylD1aC3YcY9UvLeefA2JjnU0g32msp9J+dKLaW3LaWF&#10;xva4abD6PJy9gTZbc9R43G0/3rxmfdvvstvemPvpuH4CEXGMf2H4wU/oUCamE5/JBdEZSI/E35u8&#10;hVpkIE4GlkqDLAv5H778BgAA//8DAFBLAQItABQABgAIAAAAIQC2gziS/gAAAOEBAAATAAAAAAAA&#10;AAAAAAAAAAAAAABbQ29udGVudF9UeXBlc10ueG1sUEsBAi0AFAAGAAgAAAAhADj9If/WAAAAlAEA&#10;AAsAAAAAAAAAAAAAAAAALwEAAF9yZWxzLy5yZWxzUEsBAi0AFAAGAAgAAAAhAIGeYn8NAgAAHQQA&#10;AA4AAAAAAAAAAAAAAAAALgIAAGRycy9lMm9Eb2MueG1sUEsBAi0AFAAGAAgAAAAhAHN7N37aAAAA&#10;BAEAAA8AAAAAAAAAAAAAAAAAZwQAAGRycy9kb3ducmV2LnhtbFBLBQYAAAAABAAEAPMAAABuBQAA&#10;AAA=&#10;" filled="f" stroked="f">
              <v:textbox style="mso-fit-shape-to-text:t" inset="0,15pt,0,0">
                <w:txbxContent>
                  <w:p w14:paraId="61192404" w14:textId="231C790D" w:rsid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  <w:p w14:paraId="7E24725F" w14:textId="77777777" w:rsidR="00187DFC" w:rsidRPr="000B127F" w:rsidRDefault="00187DFC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B1D" w14:textId="56890CFF" w:rsidR="00943611" w:rsidRDefault="000B127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C47324" wp14:editId="0B24A6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345174950" name="Text Box 1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49AEF" w14:textId="7ED88C07" w:rsidR="000B127F" w:rsidRP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473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SAGE OFFICIEL - OFFICIEEL GEBRUIK" style="position:absolute;left:0;text-align:left;margin-left:0;margin-top:0;width:151.75pt;height:30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q0Dw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30y3Q6o4Rj7OqmuL6aRZjscts6H74J0CQaFXW4lsQW&#10;O6x9GFLHlFjMwKpVKq1Gmd8ciBk92aXFaIV+25O2rujnsf0t1EecysGwcG/5qsXSa+bDM3O4YRwE&#10;VRue8JAKuorCyaKkAffzb/6Yj8RjlJIOFVNRg5KmRH03uJAormQUt/ksxz83urejYfb6HlCHBT4J&#10;y5MZ84IaTelAv6Kel7EQhpjhWK6iYTTvwyBdfA9cLJcpCXVkWVibjeUROtIVuXzpX5mzJ8IDruoR&#10;Rjmx8h3vQ2686e1yH5D9tJRI7UDkiXHUYFrr6b1Ekb/9T1mXV734BQAA//8DAFBLAwQUAAYACAAA&#10;ACEAc3s3ftoAAAAEAQAADwAAAGRycy9kb3ducmV2LnhtbEyPwW7CMBBE75X4B2uReiu2QUFVGgch&#10;JA7cKC09m3ibpI13o9hAytfX7aW9rDSa0czbYjX6TlxwCC2TAT1TIJAqdi3VBl5ftg+PIEK05GzH&#10;hAa+MMCqnNwVNnd8pWe8HGItUgmF3BpoYuxzKUPVoLdhxj1S8t558DYmOdTSDfaayn0n50otpbct&#10;pYXG9rhpsPo8nL2BNltz1HjcbT/evGZ92++y296Y++m4fgIRcYx/YfjBT+hQJqYTn8kF0RlIj8Tf&#10;m7yFWmQgTgaWSoMsC/kfvvwGAAD//wMAUEsBAi0AFAAGAAgAAAAhALaDOJL+AAAA4QEAABMAAAAA&#10;AAAAAAAAAAAAAAAAAFtDb250ZW50X1R5cGVzXS54bWxQSwECLQAUAAYACAAAACEAOP0h/9YAAACU&#10;AQAACwAAAAAAAAAAAAAAAAAvAQAAX3JlbHMvLnJlbHNQSwECLQAUAAYACAAAACEAWNwatA8CAAAd&#10;BAAADgAAAAAAAAAAAAAAAAAuAgAAZHJzL2Uyb0RvYy54bWxQSwECLQAUAAYACAAAACEAc3s3ftoA&#10;AAAEAQAADwAAAAAAAAAAAAAAAABpBAAAZHJzL2Rvd25yZXYueG1sUEsFBgAAAAAEAAQA8wAAAHAF&#10;AAAAAA==&#10;" filled="f" stroked="f">
              <v:textbox style="mso-fit-shape-to-text:t" inset="0,15pt,0,0">
                <w:txbxContent>
                  <w:p w14:paraId="0DA49AEF" w14:textId="7ED88C07" w:rsidR="000B127F" w:rsidRP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2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E7AB" w14:textId="7178BD7D" w:rsidR="00943611" w:rsidRDefault="000B127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0A52A1" wp14:editId="60F8C8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1332044972" name="Text Box 5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E13E4" w14:textId="7DEE0584" w:rsidR="000B127F" w:rsidRP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52A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SAGE OFFICIEL - OFFICIEEL GEBRUIK" style="position:absolute;left:0;text-align:left;margin-left:0;margin-top:0;width:151.75pt;height:30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/PDwIAAB0EAAAOAAAAZHJzL2Uyb0RvYy54bWysU8Fu2zAMvQ/YPwi6L7ZTJGuNOEXWIsOA&#10;oC2QDj0rshQbkERBUmJnXz9KjpOt22nYRaZJ6pF8fFrc91qRo3C+BVPRYpJTIgyHujX7in5/XX+6&#10;pcQHZmqmwIiKnoSn98uPHxadLcUUGlC1cARBjC87W9EmBFtmmeeN0MxPwAqDQQlOs4C/bp/VjnWI&#10;rlU2zfN51oGrrQMuvEfv4xCky4QvpeDhWUovAlEVxd5COl06d/HMlgtW7h2zTcvPbbB/6EKz1mDR&#10;C9QjC4wcXPsHlG65Aw8yTDjoDKRsuUgz4DRF/m6abcOsSLMgOd5eaPL/D5Y/Hbf2xZHQf4EeFxgJ&#10;6awvPTrjPL10On6xU4JxpPB0oU30gfB46W76eTqdUcIxdnNbzG9mESa73rbOh68CNIlGRR2uJbHF&#10;jhsfhtQxJRYzsG6VSqtR5jcHYkZPdm0xWqHf9aStKzof299BfcKpHAwL95avWyy9YT68MIcbxkFQ&#10;teEZD6mgqyicLUoacD/+5o/5SDxGKelQMRU1KGlK1DeDC4niSkZxl89y/HOjezca5qAfAHVY4JOw&#10;PJkxL6jRlA70G+p5FQthiBmO5SoaRvMhDNLF98DFapWSUEeWhY3ZWh6hI12Ry9f+jTl7Jjzgqp5g&#10;lBMr3/E+5Mab3q4OAdlPS4nUDkSeGUcNprWe30sU+a//Kev6qpc/AQAA//8DAFBLAwQUAAYACAAA&#10;ACEAc3s3ftoAAAAEAQAADwAAAGRycy9kb3ducmV2LnhtbEyPwW7CMBBE75X4B2uReiu2QUFVGgch&#10;JA7cKC09m3ibpI13o9hAytfX7aW9rDSa0czbYjX6TlxwCC2TAT1TIJAqdi3VBl5ftg+PIEK05GzH&#10;hAa+MMCqnNwVNnd8pWe8HGItUgmF3BpoYuxzKUPVoLdhxj1S8t558DYmOdTSDfaayn0n50otpbct&#10;pYXG9rhpsPo8nL2BNltz1HjcbT/evGZ92++y296Y++m4fgIRcYx/YfjBT+hQJqYTn8kF0RlIj8Tf&#10;m7yFWmQgTgaWSoMsC/kfvvwGAAD//wMAUEsBAi0AFAAGAAgAAAAhALaDOJL+AAAA4QEAABMAAAAA&#10;AAAAAAAAAAAAAAAAAFtDb250ZW50X1R5cGVzXS54bWxQSwECLQAUAAYACAAAACEAOP0h/9YAAACU&#10;AQAACwAAAAAAAAAAAAAAAAAvAQAAX3JlbHMvLnJlbHNQSwECLQAUAAYACAAAACEAgqJ/zw8CAAAd&#10;BAAADgAAAAAAAAAAAAAAAAAuAgAAZHJzL2Uyb0RvYy54bWxQSwECLQAUAAYACAAAACEAc3s3ftoA&#10;AAAEAQAADwAAAAAAAAAAAAAAAABpBAAAZHJzL2Rvd25yZXYueG1sUEsFBgAAAAAEAAQA8wAAAHAF&#10;AAAAAA==&#10;" filled="f" stroked="f">
              <v:textbox style="mso-fit-shape-to-text:t" inset="0,15pt,0,0">
                <w:txbxContent>
                  <w:p w14:paraId="551E13E4" w14:textId="7DEE0584" w:rsidR="000B127F" w:rsidRP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2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8637" w14:textId="533DB35F" w:rsidR="00200B7A" w:rsidRDefault="000B127F">
    <w:pPr>
      <w:jc w:val="right"/>
      <w:rPr>
        <w:rStyle w:val="Paginanummer"/>
      </w:rPr>
    </w:pPr>
    <w:r>
      <w:rPr>
        <w:noProof/>
        <w:spacing w:val="10"/>
        <w:sz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172C1E" wp14:editId="555C471E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838238351" name="Text Box 6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6E1D7" w14:textId="57449DF2" w:rsidR="000B127F" w:rsidRP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72C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USAGE OFFICIEL - OFFICIEEL GEBRUIK" style="position:absolute;left:0;text-align:left;margin-left:0;margin-top:0;width:151.75pt;height:30.0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3yDwIAAB0EAAAOAAAAZHJzL2Uyb0RvYy54bWysU01v2zAMvQ/YfxB0X+y4SD+MOEXWIsOA&#10;oC2QDj0rshQbkERBUmJnv36UHCddt9Owi0yT1CP5+DS/77UiB+F8C6ai00lOiTAc6tbsKvrjdfXl&#10;lhIfmKmZAiMqehSe3i8+f5p3thQFNKBq4QiCGF92tqJNCLbMMs8boZmfgBUGgxKcZgF/3S6rHesQ&#10;XausyPPrrANXWwdceI/exyFIFwlfSsHDs5ReBKIqir2FdLp0buOZLeas3Dlmm5af2mD/0IVmrcGi&#10;Z6hHFhjZu/YPKN1yBx5kmHDQGUjZcpFmwGmm+YdpNg2zIs2C5Hh7psn/P1j+dNjYF0dC/xV6XGAk&#10;pLO+9OiM8/TS6fjFTgnGkcLjmTbRB8LjpbvipihmlHCMXd1Or69mESa73LbOh28CNIlGRR2uJbHF&#10;DmsfhtQxJRYzsGqVSqtR5jcHYkZPdmkxWqHf9qStK3oztr+F+ohTORgW7i1ftVh6zXx4YQ43jIOg&#10;asMzHlJBV1E4WZQ04H7+zR/zkXiMUtKhYipqUNKUqO8GFxLFlYzpXT7L8c+N7u1omL1+ANThFJ+E&#10;5cmMeUGNpnSg31DPy1gIQ8xwLFfRMJoPYZAuvgculsuUhDqyLKzNxvIIHemKXL72b8zZE+EBV/UE&#10;o5xY+YH3ITfe9Ha5D8h+WkqkdiDyxDhqMK319F6iyN//p6zLq178AgAA//8DAFBLAwQUAAYACAAA&#10;ACEAc3s3ftoAAAAEAQAADwAAAGRycy9kb3ducmV2LnhtbEyPwW7CMBBE75X4B2uReiu2QUFVGgch&#10;JA7cKC09m3ibpI13o9hAytfX7aW9rDSa0czbYjX6TlxwCC2TAT1TIJAqdi3VBl5ftg+PIEK05GzH&#10;hAa+MMCqnNwVNnd8pWe8HGItUgmF3BpoYuxzKUPVoLdhxj1S8t558DYmOdTSDfaayn0n50otpbct&#10;pYXG9rhpsPo8nL2BNltz1HjcbT/evGZ92++y296Y++m4fgIRcYx/YfjBT+hQJqYTn8kF0RlIj8Tf&#10;m7yFWmQgTgaWSoMsC/kfvvwGAAD//wMAUEsBAi0AFAAGAAgAAAAhALaDOJL+AAAA4QEAABMAAAAA&#10;AAAAAAAAAAAAAAAAAFtDb250ZW50X1R5cGVzXS54bWxQSwECLQAUAAYACAAAACEAOP0h/9YAAACU&#10;AQAACwAAAAAAAAAAAAAAAAAvAQAAX3JlbHMvLnJlbHNQSwECLQAUAAYACAAAACEA7x3N8g8CAAAd&#10;BAAADgAAAAAAAAAAAAAAAAAuAgAAZHJzL2Uyb0RvYy54bWxQSwECLQAUAAYACAAAACEAc3s3ftoA&#10;AAAEAQAADwAAAAAAAAAAAAAAAABpBAAAZHJzL2Rvd25yZXYueG1sUEsFBgAAAAAEAAQA8wAAAHAF&#10;AAAAAA==&#10;" filled="f" stroked="f">
              <v:textbox style="mso-fit-shape-to-text:t" inset="0,15pt,0,0">
                <w:txbxContent>
                  <w:p w14:paraId="5D76E1D7" w14:textId="57449DF2" w:rsidR="000B127F" w:rsidRP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A909" w14:textId="3A354B9A" w:rsidR="00943611" w:rsidRDefault="000B127F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A22DAF" wp14:editId="7E071C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7225" cy="381635"/>
              <wp:effectExtent l="0" t="0" r="15875" b="18415"/>
              <wp:wrapNone/>
              <wp:docPr id="996337028" name="Text Box 4" descr="USAGE OFFICIEL - OFFICIEEL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E1261" w14:textId="5693E5F5" w:rsidR="000B127F" w:rsidRPr="000B127F" w:rsidRDefault="000B127F" w:rsidP="000B12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USAGE OFFICIEL - OFFICIEEL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22D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USAGE OFFICIEL - OFFICIEEL GEBRUIK" style="position:absolute;left:0;text-align:left;margin-left:0;margin-top:0;width:151.75pt;height:30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KmDgIAAB4EAAAOAAAAZHJzL2Uyb0RvYy54bWysU01v2zAMvQ/YfxB0X+ykSNcacYqsRYYB&#10;QVsgHXpWZCk2IIuCxMTOfv0oJU62rqdiF5kmKX689zS761vD9sqHBmzJx6OcM2UlVI3dlvzny/LL&#10;DWcBha2EAatKflCB380/f5p1rlATqMFUyjMqYkPRuZLXiK7IsiBr1YowAqcsBTX4ViD9+m1WedFR&#10;9dZkkzy/zjrwlfMgVQjkfTgG+TzV11pJfNI6KGSm5DQbptOncxPPbD4TxdYLVzfyNIb4wBStaCw1&#10;PZd6ECjYzjf/lGob6SGAxpGENgOtG6nSDrTNOH+zzboWTqVdCJzgzjCF/1dWPu7X7tkz7L9BTwRG&#10;QDoXikDOuE+vfRu/NCmjOEF4OMOmemQyXrqdfJ1MppxJil3djK+vprFMdrntfMDvCloWjZJ7oiWh&#10;JfargMfUISU2s7BsjEnUGPuXg2pGT3YZMVrYb3rWVDRJIjS6NlAdaC0PR8aDk8uGeq9EwGfhiWLa&#10;hGSLT3RoA13J4WRxVoP/9Z4/5hPyFOWsI8mU3JKmOTM/LDES1ZWM8W0+zenPD+7NYNhdew8kxDG9&#10;CSeTGfPQDKb20L6SoBexEYWEldSu5DiY93jULj0IqRaLlERCcgJXdu1kLB3ximC+9K/CuxPiSFw9&#10;wqAnUbwB/pgbbwa32CHBn1i5AHmCnESYeD09mKjyP/9T1uVZz38DAAD//wMAUEsDBBQABgAIAAAA&#10;IQBzezd+2gAAAAQBAAAPAAAAZHJzL2Rvd25yZXYueG1sTI/BbsIwEETvlfgHa5F6K7ZBQVUaByEk&#10;DtwoLT2beJukjXej2EDK19ftpb2sNJrRzNtiNfpOXHAILZMBPVMgkCp2LdUGXl+2D48gQrTkbMeE&#10;Br4wwKqc3BU2d3ylZ7wcYi1SCYXcGmhi7HMpQ9Wgt2HGPVLy3nnwNiY51NIN9prKfSfnSi2lty2l&#10;hcb2uGmw+jycvYE2W3PUeNxtP968Zn3b77Lb3pj76bh+AhFxjH9h+MFP6FAmphOfyQXRGUiPxN+b&#10;vIVaZCBOBpZKgywL+R++/AYAAP//AwBQSwECLQAUAAYACAAAACEAtoM4kv4AAADhAQAAEwAAAAAA&#10;AAAAAAAAAAAAAAAAW0NvbnRlbnRfVHlwZXNdLnhtbFBLAQItABQABgAIAAAAIQA4/SH/1gAAAJQB&#10;AAALAAAAAAAAAAAAAAAAAC8BAABfcmVscy8ucmVsc1BLAQItABQABgAIAAAAIQABnQKmDgIAAB4E&#10;AAAOAAAAAAAAAAAAAAAAAC4CAABkcnMvZTJvRG9jLnhtbFBLAQItABQABgAIAAAAIQBzezd+2gAA&#10;AAQBAAAPAAAAAAAAAAAAAAAAAGgEAABkcnMvZG93bnJldi54bWxQSwUGAAAAAAQABADzAAAAbwUA&#10;AAAA&#10;" filled="f" stroked="f">
              <v:textbox style="mso-fit-shape-to-text:t" inset="0,15pt,0,0">
                <w:txbxContent>
                  <w:p w14:paraId="437E1261" w14:textId="5693E5F5" w:rsidR="000B127F" w:rsidRPr="000B127F" w:rsidRDefault="000B127F" w:rsidP="000B12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2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USAGE OFFICIEL - OFFICIEEL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C283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CEC2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684821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208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27D04CE"/>
    <w:multiLevelType w:val="hybridMultilevel"/>
    <w:tmpl w:val="5D1C564A"/>
    <w:lvl w:ilvl="0" w:tplc="F35CCD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01784"/>
    <w:multiLevelType w:val="multilevel"/>
    <w:tmpl w:val="5D445B22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lvlText w:val="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lvlText w:val=""/>
      <w:lvlJc w:val="left"/>
      <w:pPr>
        <w:tabs>
          <w:tab w:val="num" w:pos="729"/>
        </w:tabs>
        <w:ind w:left="510" w:hanging="141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6" w15:restartNumberingAfterBreak="0">
    <w:nsid w:val="23CB6834"/>
    <w:multiLevelType w:val="multilevel"/>
    <w:tmpl w:val="C102E504"/>
    <w:lvl w:ilvl="0">
      <w:start w:val="1"/>
      <w:numFmt w:val="decimal"/>
      <w:pStyle w:val="Kop1"/>
      <w:lvlText w:val="%1"/>
      <w:lvlJc w:val="left"/>
      <w:pPr>
        <w:tabs>
          <w:tab w:val="num" w:pos="425"/>
        </w:tabs>
        <w:ind w:left="425" w:hanging="425"/>
      </w:pPr>
      <w:rPr>
        <w:rFonts w:hint="default"/>
        <w:spacing w:val="0"/>
        <w:position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position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7" w15:restartNumberingAfterBreak="0">
    <w:nsid w:val="24725E09"/>
    <w:multiLevelType w:val="multilevel"/>
    <w:tmpl w:val="9646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93A00"/>
    <w:multiLevelType w:val="hybridMultilevel"/>
    <w:tmpl w:val="D0B68CB0"/>
    <w:lvl w:ilvl="0" w:tplc="DFEE3F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52F87"/>
    <w:multiLevelType w:val="multilevel"/>
    <w:tmpl w:val="61E893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pStyle w:val="Lijstopsomteken2"/>
      <w:lvlText w:val="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pStyle w:val="Lijstopsomteken3"/>
      <w:lvlText w:val=""/>
      <w:lvlJc w:val="left"/>
      <w:pPr>
        <w:tabs>
          <w:tab w:val="num" w:pos="729"/>
        </w:tabs>
        <w:ind w:left="510" w:hanging="141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10" w15:restartNumberingAfterBreak="0">
    <w:nsid w:val="4A072D85"/>
    <w:multiLevelType w:val="multilevel"/>
    <w:tmpl w:val="EF6C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BD5853"/>
    <w:multiLevelType w:val="hybridMultilevel"/>
    <w:tmpl w:val="6E90F6B6"/>
    <w:lvl w:ilvl="0" w:tplc="86561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C461F"/>
    <w:multiLevelType w:val="hybridMultilevel"/>
    <w:tmpl w:val="D5360754"/>
    <w:lvl w:ilvl="0" w:tplc="61766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56BF8"/>
    <w:multiLevelType w:val="multilevel"/>
    <w:tmpl w:val="47C6D09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pacing w:val="0"/>
        <w:position w:val="1"/>
        <w:sz w:val="16"/>
      </w:rPr>
    </w:lvl>
    <w:lvl w:ilvl="1">
      <w:start w:val="1"/>
      <w:numFmt w:val="decimal"/>
      <w:pStyle w:val="Lijstnummering2"/>
      <w:lvlText w:val="%1.%2"/>
      <w:lvlJc w:val="left"/>
      <w:pPr>
        <w:tabs>
          <w:tab w:val="num" w:pos="783"/>
        </w:tabs>
        <w:ind w:left="783" w:hanging="426"/>
      </w:pPr>
      <w:rPr>
        <w:rFonts w:ascii="Arial" w:hAnsi="Arial" w:hint="default"/>
        <w:b w:val="0"/>
        <w:i w:val="0"/>
        <w:position w:val="1"/>
        <w:sz w:val="16"/>
      </w:rPr>
    </w:lvl>
    <w:lvl w:ilvl="2">
      <w:start w:val="1"/>
      <w:numFmt w:val="decimal"/>
      <w:pStyle w:val="Lijstnummering3"/>
      <w:lvlText w:val="%1.%2.%3"/>
      <w:lvlJc w:val="left"/>
      <w:pPr>
        <w:tabs>
          <w:tab w:val="num" w:pos="1378"/>
        </w:tabs>
        <w:ind w:left="1378" w:hanging="595"/>
      </w:pPr>
      <w:rPr>
        <w:rFonts w:ascii="Arial" w:hAnsi="Aria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abstractNum w:abstractNumId="14" w15:restartNumberingAfterBreak="0">
    <w:nsid w:val="74F1116D"/>
    <w:multiLevelType w:val="multilevel"/>
    <w:tmpl w:val="2900309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pacing w:val="0"/>
        <w:position w:val="1"/>
        <w:sz w:val="12"/>
      </w:rPr>
    </w:lvl>
    <w:lvl w:ilvl="1">
      <w:start w:val="1"/>
      <w:numFmt w:val="bullet"/>
      <w:lvlText w:val="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b w:val="0"/>
        <w:i w:val="0"/>
        <w:position w:val="1"/>
        <w:sz w:val="18"/>
      </w:rPr>
    </w:lvl>
    <w:lvl w:ilvl="2">
      <w:start w:val="1"/>
      <w:numFmt w:val="bullet"/>
      <w:lvlText w:val="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b w:val="0"/>
        <w:i w:val="0"/>
        <w:position w:val="2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1"/>
        </w:tabs>
        <w:ind w:left="95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9"/>
        </w:tabs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3"/>
        </w:tabs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7"/>
        </w:tabs>
        <w:ind w:left="1527" w:hanging="1584"/>
      </w:pPr>
      <w:rPr>
        <w:rFonts w:hint="default"/>
      </w:rPr>
    </w:lvl>
  </w:abstractNum>
  <w:num w:numId="1" w16cid:durableId="1593735878">
    <w:abstractNumId w:val="6"/>
  </w:num>
  <w:num w:numId="2" w16cid:durableId="2113938190">
    <w:abstractNumId w:val="14"/>
  </w:num>
  <w:num w:numId="3" w16cid:durableId="809786944">
    <w:abstractNumId w:val="3"/>
  </w:num>
  <w:num w:numId="4" w16cid:durableId="2072456960">
    <w:abstractNumId w:val="2"/>
  </w:num>
  <w:num w:numId="5" w16cid:durableId="959646541">
    <w:abstractNumId w:val="5"/>
  </w:num>
  <w:num w:numId="6" w16cid:durableId="606498343">
    <w:abstractNumId w:val="9"/>
  </w:num>
  <w:num w:numId="7" w16cid:durableId="1953705592">
    <w:abstractNumId w:val="13"/>
  </w:num>
  <w:num w:numId="8" w16cid:durableId="1294797799">
    <w:abstractNumId w:val="1"/>
  </w:num>
  <w:num w:numId="9" w16cid:durableId="1909803878">
    <w:abstractNumId w:val="0"/>
  </w:num>
  <w:num w:numId="10" w16cid:durableId="121732140">
    <w:abstractNumId w:val="6"/>
  </w:num>
  <w:num w:numId="11" w16cid:durableId="1028526764">
    <w:abstractNumId w:val="6"/>
  </w:num>
  <w:num w:numId="12" w16cid:durableId="1676760805">
    <w:abstractNumId w:val="6"/>
  </w:num>
  <w:num w:numId="13" w16cid:durableId="1261989648">
    <w:abstractNumId w:val="6"/>
  </w:num>
  <w:num w:numId="14" w16cid:durableId="974523330">
    <w:abstractNumId w:val="11"/>
  </w:num>
  <w:num w:numId="15" w16cid:durableId="1365055963">
    <w:abstractNumId w:val="4"/>
  </w:num>
  <w:num w:numId="16" w16cid:durableId="1576554415">
    <w:abstractNumId w:val="8"/>
  </w:num>
  <w:num w:numId="17" w16cid:durableId="1286038396">
    <w:abstractNumId w:val="10"/>
  </w:num>
  <w:num w:numId="18" w16cid:durableId="1325888220">
    <w:abstractNumId w:val="7"/>
  </w:num>
  <w:num w:numId="19" w16cid:durableId="1006714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d2d2c6,#d473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3F"/>
    <w:rsid w:val="000016F7"/>
    <w:rsid w:val="00006FCE"/>
    <w:rsid w:val="00014447"/>
    <w:rsid w:val="00025761"/>
    <w:rsid w:val="0003383F"/>
    <w:rsid w:val="00040083"/>
    <w:rsid w:val="000415C0"/>
    <w:rsid w:val="0004268E"/>
    <w:rsid w:val="00050A8B"/>
    <w:rsid w:val="00050FEC"/>
    <w:rsid w:val="00056F31"/>
    <w:rsid w:val="0007259E"/>
    <w:rsid w:val="00073681"/>
    <w:rsid w:val="00080AAC"/>
    <w:rsid w:val="00081FF7"/>
    <w:rsid w:val="00083ADA"/>
    <w:rsid w:val="000A0E3F"/>
    <w:rsid w:val="000A11C5"/>
    <w:rsid w:val="000B127F"/>
    <w:rsid w:val="000B6633"/>
    <w:rsid w:val="000C6CD5"/>
    <w:rsid w:val="000D70F9"/>
    <w:rsid w:val="000E30F0"/>
    <w:rsid w:val="000F59D0"/>
    <w:rsid w:val="00104688"/>
    <w:rsid w:val="00106FA8"/>
    <w:rsid w:val="00111A2F"/>
    <w:rsid w:val="001139BE"/>
    <w:rsid w:val="0012044B"/>
    <w:rsid w:val="00125E82"/>
    <w:rsid w:val="001268D9"/>
    <w:rsid w:val="0013170D"/>
    <w:rsid w:val="00174603"/>
    <w:rsid w:val="001748A0"/>
    <w:rsid w:val="001757E0"/>
    <w:rsid w:val="001826B6"/>
    <w:rsid w:val="0018273C"/>
    <w:rsid w:val="001829EA"/>
    <w:rsid w:val="00187C2E"/>
    <w:rsid w:val="00187DFC"/>
    <w:rsid w:val="001917E9"/>
    <w:rsid w:val="001B4997"/>
    <w:rsid w:val="001C1885"/>
    <w:rsid w:val="001C360F"/>
    <w:rsid w:val="001C54A3"/>
    <w:rsid w:val="001C573B"/>
    <w:rsid w:val="001E6900"/>
    <w:rsid w:val="00200B7A"/>
    <w:rsid w:val="0020250B"/>
    <w:rsid w:val="00213D2B"/>
    <w:rsid w:val="00214D7F"/>
    <w:rsid w:val="0022531C"/>
    <w:rsid w:val="00225A75"/>
    <w:rsid w:val="00231585"/>
    <w:rsid w:val="00244CFB"/>
    <w:rsid w:val="00253301"/>
    <w:rsid w:val="002611AE"/>
    <w:rsid w:val="002664AB"/>
    <w:rsid w:val="00270160"/>
    <w:rsid w:val="002733BD"/>
    <w:rsid w:val="00273A35"/>
    <w:rsid w:val="00281CE5"/>
    <w:rsid w:val="002845D1"/>
    <w:rsid w:val="00294438"/>
    <w:rsid w:val="002A18AC"/>
    <w:rsid w:val="002A1F73"/>
    <w:rsid w:val="002A73E5"/>
    <w:rsid w:val="002C0EAF"/>
    <w:rsid w:val="002C291D"/>
    <w:rsid w:val="002D4019"/>
    <w:rsid w:val="002D52E1"/>
    <w:rsid w:val="002D6C06"/>
    <w:rsid w:val="002F1437"/>
    <w:rsid w:val="002F6533"/>
    <w:rsid w:val="00312EF4"/>
    <w:rsid w:val="003142F1"/>
    <w:rsid w:val="00314F28"/>
    <w:rsid w:val="00325EF6"/>
    <w:rsid w:val="00341EB6"/>
    <w:rsid w:val="00347640"/>
    <w:rsid w:val="00355F80"/>
    <w:rsid w:val="00364649"/>
    <w:rsid w:val="00372435"/>
    <w:rsid w:val="0038020B"/>
    <w:rsid w:val="00391B9E"/>
    <w:rsid w:val="00395076"/>
    <w:rsid w:val="003B4A28"/>
    <w:rsid w:val="003F1687"/>
    <w:rsid w:val="00403027"/>
    <w:rsid w:val="00414709"/>
    <w:rsid w:val="00427150"/>
    <w:rsid w:val="00433C5C"/>
    <w:rsid w:val="00446D68"/>
    <w:rsid w:val="0045280B"/>
    <w:rsid w:val="0045388F"/>
    <w:rsid w:val="004541E7"/>
    <w:rsid w:val="0047345F"/>
    <w:rsid w:val="00480A63"/>
    <w:rsid w:val="00482AB5"/>
    <w:rsid w:val="004937B0"/>
    <w:rsid w:val="0049506F"/>
    <w:rsid w:val="004A5A18"/>
    <w:rsid w:val="004B4F03"/>
    <w:rsid w:val="004C4EFB"/>
    <w:rsid w:val="004D21D6"/>
    <w:rsid w:val="004D7191"/>
    <w:rsid w:val="004E51BC"/>
    <w:rsid w:val="004F192C"/>
    <w:rsid w:val="005117C1"/>
    <w:rsid w:val="00513AF2"/>
    <w:rsid w:val="005369A5"/>
    <w:rsid w:val="00537A38"/>
    <w:rsid w:val="005469D9"/>
    <w:rsid w:val="00552F76"/>
    <w:rsid w:val="00565382"/>
    <w:rsid w:val="00566021"/>
    <w:rsid w:val="00571BA9"/>
    <w:rsid w:val="005923E1"/>
    <w:rsid w:val="00597851"/>
    <w:rsid w:val="005B2045"/>
    <w:rsid w:val="005C2E45"/>
    <w:rsid w:val="005E189D"/>
    <w:rsid w:val="005E491E"/>
    <w:rsid w:val="005E759D"/>
    <w:rsid w:val="005F05CF"/>
    <w:rsid w:val="005F136E"/>
    <w:rsid w:val="005F21DE"/>
    <w:rsid w:val="00600388"/>
    <w:rsid w:val="0060394F"/>
    <w:rsid w:val="00616EE9"/>
    <w:rsid w:val="00626851"/>
    <w:rsid w:val="00630DFC"/>
    <w:rsid w:val="00642020"/>
    <w:rsid w:val="006447CB"/>
    <w:rsid w:val="00651D6F"/>
    <w:rsid w:val="00660C66"/>
    <w:rsid w:val="00661B9E"/>
    <w:rsid w:val="00664600"/>
    <w:rsid w:val="00664D84"/>
    <w:rsid w:val="00674303"/>
    <w:rsid w:val="00682490"/>
    <w:rsid w:val="00686209"/>
    <w:rsid w:val="00697F34"/>
    <w:rsid w:val="006A4722"/>
    <w:rsid w:val="006B417E"/>
    <w:rsid w:val="006C3FFB"/>
    <w:rsid w:val="006C55FF"/>
    <w:rsid w:val="006C69ED"/>
    <w:rsid w:val="006C7745"/>
    <w:rsid w:val="006F3B12"/>
    <w:rsid w:val="006F71D6"/>
    <w:rsid w:val="0070122D"/>
    <w:rsid w:val="007046B8"/>
    <w:rsid w:val="0072375C"/>
    <w:rsid w:val="007337A0"/>
    <w:rsid w:val="00744178"/>
    <w:rsid w:val="00747047"/>
    <w:rsid w:val="007505E8"/>
    <w:rsid w:val="0075403B"/>
    <w:rsid w:val="00764FEF"/>
    <w:rsid w:val="00767BB2"/>
    <w:rsid w:val="00781EB5"/>
    <w:rsid w:val="00781F2B"/>
    <w:rsid w:val="00790C51"/>
    <w:rsid w:val="0079587F"/>
    <w:rsid w:val="00797603"/>
    <w:rsid w:val="007A0F0D"/>
    <w:rsid w:val="007A394A"/>
    <w:rsid w:val="007A7D99"/>
    <w:rsid w:val="007B3A18"/>
    <w:rsid w:val="007C7755"/>
    <w:rsid w:val="007D4215"/>
    <w:rsid w:val="007D7720"/>
    <w:rsid w:val="007F1303"/>
    <w:rsid w:val="007F3776"/>
    <w:rsid w:val="007F6F65"/>
    <w:rsid w:val="00805ABE"/>
    <w:rsid w:val="00813D6F"/>
    <w:rsid w:val="00834D0B"/>
    <w:rsid w:val="00870989"/>
    <w:rsid w:val="00881A61"/>
    <w:rsid w:val="008831AF"/>
    <w:rsid w:val="00883B02"/>
    <w:rsid w:val="00893F34"/>
    <w:rsid w:val="008B2D8D"/>
    <w:rsid w:val="008D3544"/>
    <w:rsid w:val="008E18A1"/>
    <w:rsid w:val="008E54B7"/>
    <w:rsid w:val="008E6424"/>
    <w:rsid w:val="00900492"/>
    <w:rsid w:val="00904BCB"/>
    <w:rsid w:val="009156DA"/>
    <w:rsid w:val="00916E31"/>
    <w:rsid w:val="00920821"/>
    <w:rsid w:val="00922976"/>
    <w:rsid w:val="00933C14"/>
    <w:rsid w:val="0093636B"/>
    <w:rsid w:val="009403B5"/>
    <w:rsid w:val="00941A0B"/>
    <w:rsid w:val="00943611"/>
    <w:rsid w:val="00946E0D"/>
    <w:rsid w:val="00951FDE"/>
    <w:rsid w:val="00961CB4"/>
    <w:rsid w:val="00966419"/>
    <w:rsid w:val="00971011"/>
    <w:rsid w:val="00976B76"/>
    <w:rsid w:val="009821C8"/>
    <w:rsid w:val="009A38FA"/>
    <w:rsid w:val="009A6C55"/>
    <w:rsid w:val="009B2146"/>
    <w:rsid w:val="009B346B"/>
    <w:rsid w:val="009C0DD3"/>
    <w:rsid w:val="009D2D9C"/>
    <w:rsid w:val="009E290B"/>
    <w:rsid w:val="00A05C28"/>
    <w:rsid w:val="00A135C2"/>
    <w:rsid w:val="00A16F73"/>
    <w:rsid w:val="00A254A0"/>
    <w:rsid w:val="00A44E91"/>
    <w:rsid w:val="00A516E7"/>
    <w:rsid w:val="00A55271"/>
    <w:rsid w:val="00A615A7"/>
    <w:rsid w:val="00A623D6"/>
    <w:rsid w:val="00A65E00"/>
    <w:rsid w:val="00A67152"/>
    <w:rsid w:val="00A67E59"/>
    <w:rsid w:val="00A84DC7"/>
    <w:rsid w:val="00AC2BB6"/>
    <w:rsid w:val="00AC643C"/>
    <w:rsid w:val="00AD0E90"/>
    <w:rsid w:val="00AE18AA"/>
    <w:rsid w:val="00AF20B1"/>
    <w:rsid w:val="00AF6A13"/>
    <w:rsid w:val="00B018D9"/>
    <w:rsid w:val="00B15C9B"/>
    <w:rsid w:val="00B24B17"/>
    <w:rsid w:val="00B317EC"/>
    <w:rsid w:val="00B3257C"/>
    <w:rsid w:val="00B32DAA"/>
    <w:rsid w:val="00B413CB"/>
    <w:rsid w:val="00B56B57"/>
    <w:rsid w:val="00B920BA"/>
    <w:rsid w:val="00B97D35"/>
    <w:rsid w:val="00BA0747"/>
    <w:rsid w:val="00BA0F02"/>
    <w:rsid w:val="00BA1144"/>
    <w:rsid w:val="00BB6455"/>
    <w:rsid w:val="00BD3F43"/>
    <w:rsid w:val="00BD6D3B"/>
    <w:rsid w:val="00BE1479"/>
    <w:rsid w:val="00BF460C"/>
    <w:rsid w:val="00C07B57"/>
    <w:rsid w:val="00C11429"/>
    <w:rsid w:val="00C11815"/>
    <w:rsid w:val="00C228AD"/>
    <w:rsid w:val="00C3459C"/>
    <w:rsid w:val="00C34D8F"/>
    <w:rsid w:val="00C443CA"/>
    <w:rsid w:val="00C4590C"/>
    <w:rsid w:val="00C53ED5"/>
    <w:rsid w:val="00C57DC8"/>
    <w:rsid w:val="00C60C9E"/>
    <w:rsid w:val="00C60EA4"/>
    <w:rsid w:val="00C72C96"/>
    <w:rsid w:val="00C80C08"/>
    <w:rsid w:val="00C87485"/>
    <w:rsid w:val="00C87F1B"/>
    <w:rsid w:val="00C92BBA"/>
    <w:rsid w:val="00C9385F"/>
    <w:rsid w:val="00C94BCA"/>
    <w:rsid w:val="00CB34D0"/>
    <w:rsid w:val="00CC4424"/>
    <w:rsid w:val="00CC5923"/>
    <w:rsid w:val="00CC6490"/>
    <w:rsid w:val="00CE0C88"/>
    <w:rsid w:val="00CE3857"/>
    <w:rsid w:val="00CE4DDE"/>
    <w:rsid w:val="00D0277D"/>
    <w:rsid w:val="00D16E96"/>
    <w:rsid w:val="00D174A7"/>
    <w:rsid w:val="00D220A3"/>
    <w:rsid w:val="00D2328E"/>
    <w:rsid w:val="00D2758D"/>
    <w:rsid w:val="00D329D2"/>
    <w:rsid w:val="00D33439"/>
    <w:rsid w:val="00D422C9"/>
    <w:rsid w:val="00D45E44"/>
    <w:rsid w:val="00D633E8"/>
    <w:rsid w:val="00D73235"/>
    <w:rsid w:val="00D770D1"/>
    <w:rsid w:val="00D8111D"/>
    <w:rsid w:val="00D82902"/>
    <w:rsid w:val="00D83297"/>
    <w:rsid w:val="00D86C15"/>
    <w:rsid w:val="00DA2291"/>
    <w:rsid w:val="00DB2578"/>
    <w:rsid w:val="00DC0B96"/>
    <w:rsid w:val="00DC1F6A"/>
    <w:rsid w:val="00DD773B"/>
    <w:rsid w:val="00E0010D"/>
    <w:rsid w:val="00E02711"/>
    <w:rsid w:val="00E13451"/>
    <w:rsid w:val="00E25613"/>
    <w:rsid w:val="00E276F5"/>
    <w:rsid w:val="00E32285"/>
    <w:rsid w:val="00E368DC"/>
    <w:rsid w:val="00E36F8B"/>
    <w:rsid w:val="00E51E8C"/>
    <w:rsid w:val="00E61B7D"/>
    <w:rsid w:val="00E633FE"/>
    <w:rsid w:val="00E733CC"/>
    <w:rsid w:val="00E77851"/>
    <w:rsid w:val="00E83C3F"/>
    <w:rsid w:val="00E93ADA"/>
    <w:rsid w:val="00EA0D59"/>
    <w:rsid w:val="00EA43A0"/>
    <w:rsid w:val="00EB6619"/>
    <w:rsid w:val="00EB74E7"/>
    <w:rsid w:val="00EC5E87"/>
    <w:rsid w:val="00ED258C"/>
    <w:rsid w:val="00ED29A7"/>
    <w:rsid w:val="00EE1B91"/>
    <w:rsid w:val="00EE556F"/>
    <w:rsid w:val="00EF2F4D"/>
    <w:rsid w:val="00EF42B5"/>
    <w:rsid w:val="00F004A8"/>
    <w:rsid w:val="00F067D9"/>
    <w:rsid w:val="00F26389"/>
    <w:rsid w:val="00F3780A"/>
    <w:rsid w:val="00F438F6"/>
    <w:rsid w:val="00F44FE6"/>
    <w:rsid w:val="00F462D4"/>
    <w:rsid w:val="00F472D9"/>
    <w:rsid w:val="00F73229"/>
    <w:rsid w:val="00F76B12"/>
    <w:rsid w:val="00F91CF9"/>
    <w:rsid w:val="00FB02BD"/>
    <w:rsid w:val="00FB3199"/>
    <w:rsid w:val="00FB603E"/>
    <w:rsid w:val="00FD29A5"/>
    <w:rsid w:val="00F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2d2c6,#d47300"/>
    </o:shapedefaults>
    <o:shapelayout v:ext="edit">
      <o:idmap v:ext="edit" data="2"/>
    </o:shapelayout>
  </w:shapeDefaults>
  <w:decimalSymbol w:val=","/>
  <w:listSeparator w:val=";"/>
  <w14:docId w14:val="38521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57" w:after="57" w:line="230" w:lineRule="atLeast"/>
      <w:jc w:val="both"/>
    </w:pPr>
    <w:rPr>
      <w:rFonts w:ascii="Arial" w:hAnsi="Arial"/>
      <w:sz w:val="18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numPr>
        <w:numId w:val="12"/>
      </w:numPr>
      <w:spacing w:before="567"/>
      <w:jc w:val="left"/>
      <w:outlineLvl w:val="0"/>
    </w:pPr>
    <w:rPr>
      <w:rFonts w:ascii="Arial Narrow" w:hAnsi="Arial Narrow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2"/>
      </w:numPr>
      <w:spacing w:before="147" w:after="113"/>
      <w:jc w:val="left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2"/>
      </w:numPr>
      <w:spacing w:before="130" w:after="20"/>
      <w:jc w:val="left"/>
      <w:outlineLvl w:val="2"/>
    </w:pPr>
    <w:rPr>
      <w:rFonts w:ascii="Arial Narrow" w:hAnsi="Arial Narrow" w:cs="Arial"/>
      <w:b/>
      <w:bCs/>
      <w:i/>
      <w:sz w:val="20"/>
      <w:szCs w:val="26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rFonts w:ascii="Arial" w:hAnsi="Arial"/>
      <w:color w:val="auto"/>
      <w:sz w:val="18"/>
      <w:u w:val="single"/>
    </w:rPr>
  </w:style>
  <w:style w:type="paragraph" w:styleId="Titel">
    <w:name w:val="Title"/>
    <w:basedOn w:val="Standaard"/>
    <w:qFormat/>
    <w:pPr>
      <w:spacing w:before="0" w:after="340" w:line="400" w:lineRule="atLeast"/>
      <w:outlineLvl w:val="0"/>
    </w:pPr>
    <w:rPr>
      <w:rFonts w:ascii="Arial Narrow" w:hAnsi="Arial Narrow" w:cs="Arial"/>
      <w:b/>
      <w:bCs/>
      <w:kern w:val="28"/>
      <w:sz w:val="38"/>
      <w:szCs w:val="32"/>
    </w:rPr>
  </w:style>
  <w:style w:type="paragraph" w:styleId="Ondertitel">
    <w:name w:val="Subtitle"/>
    <w:basedOn w:val="Standaard"/>
    <w:qFormat/>
    <w:pPr>
      <w:spacing w:before="0" w:after="340" w:line="280" w:lineRule="atLeast"/>
      <w:outlineLvl w:val="1"/>
    </w:pPr>
    <w:rPr>
      <w:rFonts w:ascii="Arial Narrow" w:hAnsi="Arial Narrow" w:cs="Arial"/>
      <w:sz w:val="24"/>
    </w:rPr>
  </w:style>
  <w:style w:type="paragraph" w:styleId="Lijstopsomteken">
    <w:name w:val="List Bullet"/>
    <w:basedOn w:val="Standaard"/>
    <w:pPr>
      <w:numPr>
        <w:numId w:val="6"/>
      </w:numPr>
      <w:tabs>
        <w:tab w:val="clear" w:pos="360"/>
      </w:tabs>
    </w:pPr>
    <w:rPr>
      <w:lang w:val="fr-FR"/>
    </w:rPr>
  </w:style>
  <w:style w:type="paragraph" w:styleId="Lijstopsomteken2">
    <w:name w:val="List Bullet 2"/>
    <w:basedOn w:val="Standaard"/>
    <w:pPr>
      <w:numPr>
        <w:ilvl w:val="1"/>
        <w:numId w:val="6"/>
      </w:numPr>
      <w:tabs>
        <w:tab w:val="clear" w:pos="530"/>
      </w:tabs>
    </w:pPr>
  </w:style>
  <w:style w:type="paragraph" w:styleId="Lijstopsomteken3">
    <w:name w:val="List Bullet 3"/>
    <w:basedOn w:val="Standaard"/>
    <w:pPr>
      <w:numPr>
        <w:ilvl w:val="2"/>
        <w:numId w:val="6"/>
      </w:numPr>
      <w:tabs>
        <w:tab w:val="clear" w:pos="729"/>
      </w:tabs>
    </w:pPr>
  </w:style>
  <w:style w:type="paragraph" w:styleId="Lijstnummering">
    <w:name w:val="List Number"/>
    <w:basedOn w:val="Standaard"/>
    <w:pPr>
      <w:numPr>
        <w:numId w:val="7"/>
      </w:numPr>
    </w:pPr>
  </w:style>
  <w:style w:type="paragraph" w:styleId="Lijstnummering2">
    <w:name w:val="List Number 2"/>
    <w:basedOn w:val="Standaard"/>
    <w:pPr>
      <w:numPr>
        <w:ilvl w:val="1"/>
        <w:numId w:val="7"/>
      </w:numPr>
    </w:pPr>
  </w:style>
  <w:style w:type="paragraph" w:styleId="Lijstnummering3">
    <w:name w:val="List Number 3"/>
    <w:basedOn w:val="Standaard"/>
    <w:pPr>
      <w:numPr>
        <w:ilvl w:val="2"/>
        <w:numId w:val="7"/>
      </w:numPr>
    </w:pPr>
  </w:style>
  <w:style w:type="paragraph" w:styleId="Plattetekst">
    <w:name w:val="Body Text"/>
    <w:basedOn w:val="Standaard"/>
    <w:link w:val="PlattetekstChar"/>
  </w:style>
  <w:style w:type="character" w:styleId="GevolgdeHyperlink">
    <w:name w:val="FollowedHyperlink"/>
    <w:rPr>
      <w:rFonts w:ascii="Arial" w:hAnsi="Arial"/>
      <w:color w:val="auto"/>
      <w:sz w:val="18"/>
      <w:u w:val="single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  <w:spacing w:before="0" w:after="0" w:line="180" w:lineRule="atLeast"/>
      <w:jc w:val="right"/>
    </w:pPr>
    <w:rPr>
      <w:b/>
    </w:r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  <w:spacing w:before="0" w:after="0" w:line="180" w:lineRule="atLeast"/>
    </w:pPr>
    <w:rPr>
      <w:sz w:val="14"/>
    </w:rPr>
  </w:style>
  <w:style w:type="paragraph" w:styleId="Voetnoottekst">
    <w:name w:val="footnote text"/>
    <w:basedOn w:val="Standaard"/>
    <w:link w:val="VoetnoottekstChar"/>
    <w:semiHidden/>
    <w:pPr>
      <w:spacing w:before="0" w:after="0" w:line="180" w:lineRule="atLeast"/>
    </w:pPr>
    <w:rPr>
      <w:sz w:val="14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Paginanummer">
    <w:name w:val="page number"/>
    <w:rPr>
      <w:rFonts w:ascii="Arial" w:hAnsi="Arial"/>
      <w:spacing w:val="10"/>
      <w:sz w:val="15"/>
      <w:lang w:val="nl-BE"/>
    </w:rPr>
  </w:style>
  <w:style w:type="paragraph" w:customStyle="1" w:styleId="bestemmeling">
    <w:name w:val="bestemmeling"/>
    <w:basedOn w:val="Standaard"/>
    <w:pPr>
      <w:spacing w:before="0" w:after="0" w:line="216" w:lineRule="atLeast"/>
      <w:jc w:val="left"/>
    </w:pPr>
    <w:rPr>
      <w:lang w:val="nl-NL"/>
    </w:rPr>
  </w:style>
  <w:style w:type="paragraph" w:styleId="Adresenvelop">
    <w:name w:val="envelope address"/>
    <w:basedOn w:val="Standaard"/>
    <w:pPr>
      <w:spacing w:before="0" w:after="0" w:line="200" w:lineRule="atLeast"/>
    </w:pPr>
    <w:rPr>
      <w:rFonts w:cs="Arial"/>
      <w:sz w:val="17"/>
    </w:rPr>
  </w:style>
  <w:style w:type="table" w:customStyle="1" w:styleId="TabelIBZ">
    <w:name w:val="Tabel IBZ"/>
    <w:basedOn w:val="Standaardtabel"/>
    <w:rsid w:val="009C0DD3"/>
    <w:pPr>
      <w:spacing w:line="204" w:lineRule="atLeast"/>
    </w:pPr>
    <w:rPr>
      <w:rFonts w:ascii="Arial" w:hAnsi="Arial"/>
      <w:sz w:val="16"/>
    </w:r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62" w:type="dxa"/>
        <w:left w:w="0" w:type="dxa"/>
        <w:bottom w:w="62" w:type="dxa"/>
        <w:right w:w="0" w:type="dxa"/>
      </w:tblCellMar>
    </w:tbl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paragraph" w:styleId="Berichtkop">
    <w:name w:val="Message Header"/>
    <w:basedOn w:val="Standaard"/>
    <w:pPr>
      <w:spacing w:before="0" w:after="0" w:line="192" w:lineRule="atLeast"/>
      <w:jc w:val="left"/>
    </w:pPr>
    <w:rPr>
      <w:rFonts w:cs="Arial"/>
      <w:sz w:val="16"/>
    </w:rPr>
  </w:style>
  <w:style w:type="paragraph" w:customStyle="1" w:styleId="Afzendadres">
    <w:name w:val="Afzendadres"/>
    <w:basedOn w:val="Voettekst"/>
    <w:pPr>
      <w:spacing w:line="200" w:lineRule="atLeast"/>
      <w:jc w:val="left"/>
    </w:pPr>
    <w:rPr>
      <w:sz w:val="17"/>
      <w:szCs w:val="17"/>
      <w:lang w:val="en-GB"/>
    </w:rPr>
  </w:style>
  <w:style w:type="paragraph" w:customStyle="1" w:styleId="tabeltekst">
    <w:name w:val="tabeltekst"/>
    <w:basedOn w:val="Standaard"/>
    <w:pPr>
      <w:spacing w:before="0" w:after="0" w:line="204" w:lineRule="atLeast"/>
      <w:jc w:val="left"/>
    </w:pPr>
    <w:rPr>
      <w:sz w:val="16"/>
      <w:lang w:val="en-GB"/>
    </w:rPr>
  </w:style>
  <w:style w:type="paragraph" w:styleId="Inhopg1">
    <w:name w:val="toc 1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47" w:lineRule="atLeast"/>
      <w:ind w:left="1066" w:right="113" w:hanging="907"/>
      <w:jc w:val="left"/>
    </w:pPr>
    <w:rPr>
      <w:rFonts w:ascii="Arial Narrow" w:hAnsi="Arial Narrow"/>
      <w:b/>
      <w:noProof/>
      <w:sz w:val="19"/>
      <w:szCs w:val="26"/>
    </w:rPr>
  </w:style>
  <w:style w:type="paragraph" w:styleId="Inhopg2">
    <w:name w:val="toc 2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04" w:lineRule="atLeast"/>
      <w:ind w:left="1066" w:right="113" w:hanging="907"/>
      <w:jc w:val="left"/>
    </w:pPr>
    <w:rPr>
      <w:rFonts w:ascii="Arial Narrow" w:hAnsi="Arial Narrow"/>
      <w:sz w:val="17"/>
    </w:rPr>
  </w:style>
  <w:style w:type="paragraph" w:styleId="Inhopg3">
    <w:name w:val="toc 3"/>
    <w:basedOn w:val="Standaard"/>
    <w:next w:val="Standaard"/>
    <w:semiHidden/>
    <w:pPr>
      <w:pBdr>
        <w:top w:val="single" w:sz="4" w:space="2" w:color="auto"/>
        <w:left w:val="single" w:sz="2" w:space="6" w:color="FFFFFF"/>
        <w:bottom w:val="single" w:sz="4" w:space="3" w:color="auto"/>
        <w:right w:val="single" w:sz="2" w:space="6" w:color="FFFFFF"/>
        <w:between w:val="single" w:sz="4" w:space="2" w:color="auto"/>
      </w:pBdr>
      <w:tabs>
        <w:tab w:val="right" w:pos="8947"/>
      </w:tabs>
      <w:spacing w:after="40" w:line="204" w:lineRule="atLeast"/>
      <w:ind w:left="1066" w:right="113" w:hanging="907"/>
      <w:jc w:val="left"/>
    </w:pPr>
    <w:rPr>
      <w:noProof/>
      <w:sz w:val="17"/>
      <w:szCs w:val="20"/>
    </w:rPr>
  </w:style>
  <w:style w:type="paragraph" w:styleId="Afzender">
    <w:name w:val="envelope return"/>
    <w:basedOn w:val="Standaard"/>
    <w:pPr>
      <w:spacing w:before="0" w:after="0"/>
      <w:jc w:val="left"/>
    </w:pPr>
    <w:rPr>
      <w:rFonts w:cs="Arial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3A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13AF2"/>
    <w:rPr>
      <w:rFonts w:ascii="Tahoma" w:hAnsi="Tahoma" w:cs="Tahoma"/>
      <w:sz w:val="16"/>
      <w:szCs w:val="16"/>
      <w:lang w:val="nl-BE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15C9B"/>
    <w:rPr>
      <w:color w:val="808080"/>
    </w:rPr>
  </w:style>
  <w:style w:type="character" w:customStyle="1" w:styleId="Style1">
    <w:name w:val="Style1"/>
    <w:basedOn w:val="Standaardalinea-lettertype"/>
    <w:uiPriority w:val="1"/>
    <w:rsid w:val="00A44E91"/>
    <w:rPr>
      <w:i/>
    </w:rPr>
  </w:style>
  <w:style w:type="character" w:customStyle="1" w:styleId="Style2">
    <w:name w:val="Style2"/>
    <w:basedOn w:val="Style1"/>
    <w:uiPriority w:val="1"/>
    <w:rsid w:val="00A44E91"/>
    <w:rPr>
      <w:b w:val="0"/>
      <w:i/>
    </w:rPr>
  </w:style>
  <w:style w:type="character" w:customStyle="1" w:styleId="Style3">
    <w:name w:val="Style3"/>
    <w:uiPriority w:val="1"/>
    <w:rsid w:val="00A44E91"/>
    <w:rPr>
      <w:b w:val="0"/>
      <w:i/>
      <w:color w:val="auto"/>
    </w:rPr>
  </w:style>
  <w:style w:type="character" w:customStyle="1" w:styleId="PlattetekstChar">
    <w:name w:val="Platte tekst Char"/>
    <w:basedOn w:val="Standaardalinea-lettertype"/>
    <w:link w:val="Plattetekst"/>
    <w:rsid w:val="00006FCE"/>
    <w:rPr>
      <w:rFonts w:ascii="Arial" w:hAnsi="Arial"/>
      <w:sz w:val="18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41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F71D6"/>
    <w:rPr>
      <w:rFonts w:ascii="Arial" w:hAnsi="Arial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1F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C1F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1F6A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1F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1F6A"/>
    <w:rPr>
      <w:rFonts w:ascii="Arial" w:hAnsi="Arial"/>
      <w:b/>
      <w:bCs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D21D6"/>
    <w:rPr>
      <w:rFonts w:ascii="Arial" w:hAnsi="Arial"/>
      <w:sz w:val="1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7DFC"/>
    <w:rPr>
      <w:rFonts w:ascii="Arial" w:hAnsi="Arial"/>
      <w:sz w:val="1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2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footer" Target="footer4.xml" Id="rId18" /><Relationship Type="http://schemas.openxmlformats.org/officeDocument/2006/relationships/styles" Target="styles.xml" Id="rId3" /><Relationship Type="http://schemas.openxmlformats.org/officeDocument/2006/relationships/footer" Target="footer6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header" Target="header5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header" Target="header6.xml" Id="rId20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5" /><Relationship Type="http://schemas.openxmlformats.org/officeDocument/2006/relationships/theme" Target="theme/theme1.xml" Id="rId23" /><Relationship Type="http://schemas.openxmlformats.org/officeDocument/2006/relationships/header" Target="header2.xml" Id="rId10" /><Relationship Type="http://schemas.openxmlformats.org/officeDocument/2006/relationships/footer" Target="footer5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o.int/cps/en/natohq/topics_1327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1341</ap:Words>
  <ap:Characters>7377</ap:Characters>
  <ap:DocSecurity>0</ap:DocSecurity>
  <ap:Lines>61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2025-05-28T12:15:00.0000000Z</dcterms:created>
  <dcterms:modified xsi:type="dcterms:W3CDTF">2025-05-28T12:15:00.0000000Z</dcterms:modified>
  <version/>
  <category/>
</coreProperties>
</file>