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76611" w:rsidRDefault="001856D0" w14:paraId="3B6C532C" w14:textId="317E6012">
      <w:pPr>
        <w:rPr>
          <w:b/>
        </w:rPr>
      </w:pPr>
      <w:r>
        <w:rPr>
          <w:b/>
        </w:rPr>
        <w:t xml:space="preserve">Lijst van vragen </w:t>
      </w:r>
    </w:p>
    <w:p w:rsidR="00076611" w:rsidP="00B16471" w:rsidRDefault="001856D0" w14:paraId="79063B83" w14:textId="798EAA89">
      <w:r>
        <w:t xml:space="preserve">De vaste commissie voor </w:t>
      </w:r>
      <w:r w:rsidR="00FE4C1D">
        <w:t>Sociale Zaken en Werkgelegenheid</w:t>
      </w:r>
      <w:r>
        <w:t xml:space="preserve"> heeft een aantal vragen voorgelegd aan de </w:t>
      </w:r>
      <w:r w:rsidR="00FE4C1D">
        <w:t>Algemene Rekenkamer</w:t>
      </w:r>
      <w:r>
        <w:t xml:space="preserve"> over de </w:t>
      </w:r>
      <w:r>
        <w:rPr>
          <w:b/>
        </w:rPr>
        <w:t>Aanbieding van het rapport Resultaten verantwoordingsonderzoek 2024 bij het Ministerie van Sociale Zaken en Werkgelegenheid</w:t>
      </w:r>
      <w:r>
        <w:t xml:space="preserve"> (</w:t>
      </w:r>
      <w:r w:rsidRPr="00B16471" w:rsidR="00B16471">
        <w:rPr>
          <w:b/>
          <w:bCs/>
        </w:rPr>
        <w:t>Kamerstuk</w:t>
      </w:r>
      <w:r w:rsidR="00B16471">
        <w:t xml:space="preserve"> </w:t>
      </w:r>
      <w:r>
        <w:rPr>
          <w:b/>
        </w:rPr>
        <w:t>36740</w:t>
      </w:r>
      <w:r w:rsidR="00B16471">
        <w:rPr>
          <w:b/>
        </w:rPr>
        <w:t xml:space="preserve"> </w:t>
      </w:r>
      <w:r>
        <w:rPr>
          <w:b/>
        </w:rPr>
        <w:t>XV</w:t>
      </w:r>
      <w:r>
        <w:t xml:space="preserve">, </w:t>
      </w:r>
      <w:r w:rsidRPr="00B16471">
        <w:rPr>
          <w:b/>
          <w:bCs/>
        </w:rPr>
        <w:t>nr.</w:t>
      </w:r>
      <w:r>
        <w:t xml:space="preserve"> </w:t>
      </w:r>
      <w:r>
        <w:rPr>
          <w:b/>
        </w:rPr>
        <w:t>2</w:t>
      </w:r>
      <w:r>
        <w:t>).</w:t>
      </w:r>
    </w:p>
    <w:p w:rsidR="00076611" w:rsidRDefault="00076611" w14:paraId="6F682FA2" w14:textId="77777777">
      <w:pPr>
        <w:spacing w:before="0" w:after="0"/>
      </w:pPr>
    </w:p>
    <w:p w:rsidR="00076611" w:rsidP="00B16471" w:rsidRDefault="00B16471" w14:paraId="0AF84813" w14:textId="3BC28FDD">
      <w:pPr>
        <w:spacing w:before="0" w:after="0"/>
      </w:pPr>
      <w:r>
        <w:t>De v</w:t>
      </w:r>
      <w:r w:rsidR="001856D0">
        <w:t xml:space="preserve">oorzitter van de commissie, </w:t>
      </w:r>
    </w:p>
    <w:p w:rsidR="00076611" w:rsidRDefault="00FE4C1D" w14:paraId="71F1BBDE" w14:textId="0CA52AEA">
      <w:pPr>
        <w:spacing w:before="0" w:after="0"/>
      </w:pPr>
      <w:r>
        <w:t>Tielen</w:t>
      </w:r>
    </w:p>
    <w:p w:rsidR="00076611" w:rsidRDefault="001856D0" w14:paraId="61C131FA" w14:textId="77777777">
      <w:pPr>
        <w:spacing w:before="0" w:after="0"/>
      </w:pPr>
      <w:r>
        <w:tab/>
      </w:r>
      <w:r>
        <w:tab/>
      </w:r>
    </w:p>
    <w:p w:rsidR="00076611" w:rsidRDefault="00FE4C1D" w14:paraId="4BA72740" w14:textId="46FC6C50">
      <w:pPr>
        <w:spacing w:before="0" w:after="0"/>
      </w:pPr>
      <w:r>
        <w:t>Adjunct-g</w:t>
      </w:r>
      <w:r w:rsidR="001856D0">
        <w:t>riffier van de commissie,</w:t>
      </w:r>
    </w:p>
    <w:p w:rsidR="00076611" w:rsidRDefault="00FE4C1D" w14:paraId="66999D83" w14:textId="4EEE9934">
      <w:pPr>
        <w:spacing w:before="0" w:after="0"/>
      </w:pPr>
      <w:r>
        <w:t>Van den Broek</w:t>
      </w:r>
    </w:p>
    <w:p w:rsidR="00076611" w:rsidRDefault="00076611" w14:paraId="2E3C8D92" w14:textId="77777777"/>
    <w:tbl>
      <w:tblPr>
        <w:tblW w:w="708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67"/>
        <w:gridCol w:w="6521"/>
      </w:tblGrid>
      <w:tr w:rsidR="00B16471" w:rsidTr="00B16471" w14:paraId="785EE9D4" w14:textId="77777777">
        <w:trPr>
          <w:cantSplit/>
        </w:trPr>
        <w:tc>
          <w:tcPr>
            <w:tcW w:w="567" w:type="dxa"/>
          </w:tcPr>
          <w:p w:rsidR="00B16471" w:rsidRDefault="00B16471" w14:paraId="640FF1DA" w14:textId="77777777">
            <w:bookmarkStart w:name="bmkStartTabel" w:id="0"/>
            <w:bookmarkEnd w:id="0"/>
            <w:r>
              <w:t>Nr</w:t>
            </w:r>
          </w:p>
        </w:tc>
        <w:tc>
          <w:tcPr>
            <w:tcW w:w="6521" w:type="dxa"/>
          </w:tcPr>
          <w:p w:rsidR="00B16471" w:rsidRDefault="00B16471" w14:paraId="52BE33E7" w14:textId="77777777">
            <w:r>
              <w:t>Vraag</w:t>
            </w:r>
          </w:p>
        </w:tc>
      </w:tr>
      <w:tr w:rsidR="00B16471" w:rsidTr="00B16471" w14:paraId="2346613F" w14:textId="77777777">
        <w:tc>
          <w:tcPr>
            <w:tcW w:w="567" w:type="dxa"/>
          </w:tcPr>
          <w:p w:rsidR="00B16471" w:rsidRDefault="00B16471" w14:paraId="6C3D650C" w14:textId="77777777">
            <w:r>
              <w:t>1</w:t>
            </w:r>
          </w:p>
        </w:tc>
        <w:tc>
          <w:tcPr>
            <w:tcW w:w="6521" w:type="dxa"/>
          </w:tcPr>
          <w:p w:rsidR="00B16471" w:rsidRDefault="00B16471" w14:paraId="0A5A6118" w14:textId="31D97F66">
            <w:r>
              <w:t xml:space="preserve">Kan de Algemene Rekenkamer een concrete prognoses of kwantitatieve verwachtingen voor de komende jaren geven, specifiek over de ontwikkeling van de wachtlijsten van </w:t>
            </w:r>
            <w:r w:rsidRPr="00FE4C1D">
              <w:t xml:space="preserve">Wet Werk en Inkomen naar Arbeidsvermogen </w:t>
            </w:r>
            <w:r>
              <w:t>(WIA)-aanvragen.</w:t>
            </w:r>
          </w:p>
        </w:tc>
      </w:tr>
      <w:tr w:rsidR="00B16471" w:rsidTr="00B16471" w14:paraId="64F66F52" w14:textId="77777777">
        <w:tc>
          <w:tcPr>
            <w:tcW w:w="567" w:type="dxa"/>
          </w:tcPr>
          <w:p w:rsidR="00B16471" w:rsidRDefault="00B16471" w14:paraId="5E0D7A3D" w14:textId="77777777">
            <w:r>
              <w:t>2</w:t>
            </w:r>
          </w:p>
        </w:tc>
        <w:tc>
          <w:tcPr>
            <w:tcW w:w="6521" w:type="dxa"/>
          </w:tcPr>
          <w:p w:rsidR="00B16471" w:rsidRDefault="00B16471" w14:paraId="46176A86" w14:textId="77777777">
            <w:r>
              <w:t>Welke voorstellen zouden de WIA op korte termijn weer uitvoerbaar maken?</w:t>
            </w:r>
          </w:p>
        </w:tc>
      </w:tr>
      <w:tr w:rsidR="00B16471" w:rsidTr="00B16471" w14:paraId="72242F02" w14:textId="77777777">
        <w:tc>
          <w:tcPr>
            <w:tcW w:w="567" w:type="dxa"/>
          </w:tcPr>
          <w:p w:rsidR="00B16471" w:rsidRDefault="00B16471" w14:paraId="5D1989E2" w14:textId="77777777">
            <w:r>
              <w:t>3</w:t>
            </w:r>
          </w:p>
        </w:tc>
        <w:tc>
          <w:tcPr>
            <w:tcW w:w="6521" w:type="dxa"/>
          </w:tcPr>
          <w:p w:rsidR="00B16471" w:rsidRDefault="00B16471" w14:paraId="37CB8EED" w14:textId="77777777">
            <w:r>
              <w:t>Waarom is niet bekend of de maatregelen voor de extra banen werken?</w:t>
            </w:r>
          </w:p>
        </w:tc>
      </w:tr>
      <w:tr w:rsidR="00B16471" w:rsidTr="00B16471" w14:paraId="2D7BBD1A" w14:textId="77777777">
        <w:tc>
          <w:tcPr>
            <w:tcW w:w="567" w:type="dxa"/>
          </w:tcPr>
          <w:p w:rsidR="00B16471" w:rsidRDefault="00B16471" w14:paraId="712C55A9" w14:textId="77777777">
            <w:r>
              <w:t>4</w:t>
            </w:r>
          </w:p>
        </w:tc>
        <w:tc>
          <w:tcPr>
            <w:tcW w:w="6521" w:type="dxa"/>
          </w:tcPr>
          <w:p w:rsidR="00B16471" w:rsidRDefault="00B16471" w14:paraId="4CDF3100" w14:textId="77777777">
            <w:r>
              <w:t>In hoeverre ligt het kabinet op schema om het doel dat in 2030 de helft minder vrouwen, mannen en kinderen in armoede leven dan in 2015 te bereiken?</w:t>
            </w:r>
          </w:p>
        </w:tc>
      </w:tr>
      <w:tr w:rsidR="00B16471" w:rsidTr="00B16471" w14:paraId="1C0F3F12" w14:textId="77777777">
        <w:tc>
          <w:tcPr>
            <w:tcW w:w="567" w:type="dxa"/>
          </w:tcPr>
          <w:p w:rsidR="00B16471" w:rsidRDefault="00B16471" w14:paraId="7F124E81" w14:textId="77777777">
            <w:r>
              <w:t>5</w:t>
            </w:r>
          </w:p>
        </w:tc>
        <w:tc>
          <w:tcPr>
            <w:tcW w:w="6521" w:type="dxa"/>
          </w:tcPr>
          <w:p w:rsidR="00B16471" w:rsidRDefault="00B16471" w14:paraId="7C5AB6AD" w14:textId="77777777">
            <w:r>
              <w:t>Hoe aannemelijk is het dat een dergelijke stijging van 31% van de verplichtingen en uitgaven wederom plaats zal vinden in 2025?</w:t>
            </w:r>
          </w:p>
        </w:tc>
      </w:tr>
      <w:tr w:rsidR="00B16471" w:rsidTr="00B16471" w14:paraId="437ADA75" w14:textId="77777777">
        <w:tc>
          <w:tcPr>
            <w:tcW w:w="567" w:type="dxa"/>
          </w:tcPr>
          <w:p w:rsidR="00B16471" w:rsidRDefault="00B16471" w14:paraId="0FF3512F" w14:textId="77777777">
            <w:r>
              <w:t>6</w:t>
            </w:r>
          </w:p>
        </w:tc>
        <w:tc>
          <w:tcPr>
            <w:tcW w:w="6521" w:type="dxa"/>
          </w:tcPr>
          <w:p w:rsidR="00B16471" w:rsidRDefault="00B16471" w14:paraId="047E4208" w14:textId="77777777">
            <w:r>
              <w:t>Welke vorm van externe audit op de premiegefinancierde uitgaven bestaat er als de Algemene Rekenkamer dit niet controleert?</w:t>
            </w:r>
          </w:p>
        </w:tc>
      </w:tr>
      <w:tr w:rsidR="00B16471" w:rsidTr="00B16471" w14:paraId="54C2B996" w14:textId="77777777">
        <w:tc>
          <w:tcPr>
            <w:tcW w:w="567" w:type="dxa"/>
          </w:tcPr>
          <w:p w:rsidR="00B16471" w:rsidRDefault="00B16471" w14:paraId="5B1B843B" w14:textId="77777777">
            <w:r>
              <w:t>7</w:t>
            </w:r>
          </w:p>
        </w:tc>
        <w:tc>
          <w:tcPr>
            <w:tcW w:w="6521" w:type="dxa"/>
          </w:tcPr>
          <w:p w:rsidR="00B16471" w:rsidRDefault="00B16471" w14:paraId="49ACC172" w14:textId="77777777">
            <w:r>
              <w:t>Wat is het begrotings- en verantwoordingsproces voor de premiegefinancierde uitgaven?</w:t>
            </w:r>
          </w:p>
        </w:tc>
      </w:tr>
      <w:tr w:rsidR="00B16471" w:rsidTr="00B16471" w14:paraId="2A6FF851" w14:textId="77777777">
        <w:tc>
          <w:tcPr>
            <w:tcW w:w="567" w:type="dxa"/>
          </w:tcPr>
          <w:p w:rsidR="00B16471" w:rsidRDefault="00B16471" w14:paraId="4D56A3A2" w14:textId="77777777">
            <w:r>
              <w:t>8</w:t>
            </w:r>
          </w:p>
        </w:tc>
        <w:tc>
          <w:tcPr>
            <w:tcW w:w="6521" w:type="dxa"/>
          </w:tcPr>
          <w:p w:rsidR="00B16471" w:rsidRDefault="00B16471" w14:paraId="0FD051A0" w14:textId="77777777">
            <w:r>
              <w:t>Zijn er meer voorbeelden van collectieve uitgaven waar het parlement geen formeel budgetrecht bij heeft?</w:t>
            </w:r>
          </w:p>
        </w:tc>
      </w:tr>
      <w:tr w:rsidR="00B16471" w:rsidTr="00B16471" w14:paraId="5DF9A1C0" w14:textId="77777777">
        <w:tc>
          <w:tcPr>
            <w:tcW w:w="567" w:type="dxa"/>
          </w:tcPr>
          <w:p w:rsidR="00B16471" w:rsidRDefault="00B16471" w14:paraId="2495F499" w14:textId="77777777">
            <w:r>
              <w:t>9</w:t>
            </w:r>
          </w:p>
        </w:tc>
        <w:tc>
          <w:tcPr>
            <w:tcW w:w="6521" w:type="dxa"/>
          </w:tcPr>
          <w:p w:rsidR="00B16471" w:rsidRDefault="00B16471" w14:paraId="27D55BC3" w14:textId="77777777">
            <w:r>
              <w:t>Wat voor gevolgen heeft het laten vervallen van het uitgavenplafond sociale zekerheid volgens de Algemene Rekenkamer? Welke handvatten heeft het parlement om goed haar controlefunctie te kunnen blijven uitvoeren?</w:t>
            </w:r>
          </w:p>
        </w:tc>
      </w:tr>
      <w:tr w:rsidR="00B16471" w:rsidTr="00B16471" w14:paraId="435833DA" w14:textId="77777777">
        <w:tc>
          <w:tcPr>
            <w:tcW w:w="567" w:type="dxa"/>
          </w:tcPr>
          <w:p w:rsidR="00B16471" w:rsidRDefault="00B16471" w14:paraId="4CBF188B" w14:textId="77777777">
            <w:r>
              <w:t>10</w:t>
            </w:r>
          </w:p>
        </w:tc>
        <w:tc>
          <w:tcPr>
            <w:tcW w:w="6521" w:type="dxa"/>
          </w:tcPr>
          <w:p w:rsidR="00B16471" w:rsidRDefault="00B16471" w14:paraId="5A1D6582" w14:textId="77777777">
            <w:r>
              <w:t>Wat zijn de belemmeringen voor het inzichtelijk maken van de volledige uitgaven voor de banenafspraak?</w:t>
            </w:r>
          </w:p>
        </w:tc>
      </w:tr>
      <w:tr w:rsidR="00B16471" w:rsidTr="00B16471" w14:paraId="48B1130B" w14:textId="77777777">
        <w:tc>
          <w:tcPr>
            <w:tcW w:w="567" w:type="dxa"/>
          </w:tcPr>
          <w:p w:rsidR="00B16471" w:rsidRDefault="00B16471" w14:paraId="29C9FAA7" w14:textId="77777777">
            <w:r>
              <w:t>11</w:t>
            </w:r>
          </w:p>
        </w:tc>
        <w:tc>
          <w:tcPr>
            <w:tcW w:w="6521" w:type="dxa"/>
          </w:tcPr>
          <w:p w:rsidR="00B16471" w:rsidRDefault="00B16471" w14:paraId="44A1A4F2" w14:textId="77777777">
            <w:r>
              <w:t>Hoe wordt de effectiviteit van re-integratieprogramma’s voor mensen met complexe problematiek gemeten?</w:t>
            </w:r>
          </w:p>
        </w:tc>
      </w:tr>
      <w:tr w:rsidR="00B16471" w:rsidTr="00B16471" w14:paraId="3348FA0C" w14:textId="77777777">
        <w:tc>
          <w:tcPr>
            <w:tcW w:w="567" w:type="dxa"/>
          </w:tcPr>
          <w:p w:rsidR="00B16471" w:rsidRDefault="00B16471" w14:paraId="4C34614A" w14:textId="77777777">
            <w:r>
              <w:t>12</w:t>
            </w:r>
          </w:p>
        </w:tc>
        <w:tc>
          <w:tcPr>
            <w:tcW w:w="6521" w:type="dxa"/>
          </w:tcPr>
          <w:p w:rsidR="00B16471" w:rsidRDefault="00B16471" w14:paraId="10853AFD" w14:textId="77777777">
            <w:r>
              <w:t>Is het mogelijk om met cijfermatige voorbeelden te onderbouwen wat de maatschappelijke baten zijn van een baan voor mensen met een arbeidsbeperking ten opzichte van de maatschappelijke lasten?</w:t>
            </w:r>
          </w:p>
        </w:tc>
      </w:tr>
      <w:tr w:rsidR="00B16471" w:rsidTr="00B16471" w14:paraId="0D0230CE" w14:textId="77777777">
        <w:tc>
          <w:tcPr>
            <w:tcW w:w="567" w:type="dxa"/>
          </w:tcPr>
          <w:p w:rsidR="00B16471" w:rsidRDefault="00B16471" w14:paraId="11AD67B8" w14:textId="77777777">
            <w:r>
              <w:t>13</w:t>
            </w:r>
          </w:p>
        </w:tc>
        <w:tc>
          <w:tcPr>
            <w:tcW w:w="6521" w:type="dxa"/>
          </w:tcPr>
          <w:p w:rsidR="00B16471" w:rsidRDefault="00B16471" w14:paraId="4470AAA7" w14:textId="77777777">
            <w:r>
              <w:t>Valt er een prognose te maken van het aantal verzekeringsartsen afgezet tegen de verwachte WIA-instroom voor de komende vijf jaar?</w:t>
            </w:r>
          </w:p>
        </w:tc>
      </w:tr>
      <w:tr w:rsidR="00B16471" w:rsidTr="00B16471" w14:paraId="2D08A9AA" w14:textId="77777777">
        <w:tc>
          <w:tcPr>
            <w:tcW w:w="567" w:type="dxa"/>
          </w:tcPr>
          <w:p w:rsidR="00B16471" w:rsidRDefault="00B16471" w14:paraId="2817133F" w14:textId="77777777">
            <w:r>
              <w:t>14</w:t>
            </w:r>
          </w:p>
        </w:tc>
        <w:tc>
          <w:tcPr>
            <w:tcW w:w="6521" w:type="dxa"/>
          </w:tcPr>
          <w:p w:rsidR="00B16471" w:rsidRDefault="00B16471" w14:paraId="184A2B82" w14:textId="77777777">
            <w:r>
              <w:t>Valt er een prognose te maken van hoe het aantal WIA-aanvragen zich naar schatting de komende vijf jaar zal ontwikkelen?</w:t>
            </w:r>
          </w:p>
        </w:tc>
      </w:tr>
      <w:tr w:rsidR="00B16471" w:rsidTr="00B16471" w14:paraId="0B75265B" w14:textId="77777777">
        <w:tc>
          <w:tcPr>
            <w:tcW w:w="567" w:type="dxa"/>
          </w:tcPr>
          <w:p w:rsidR="00B16471" w:rsidRDefault="00B16471" w14:paraId="4061B8BF" w14:textId="77777777">
            <w:r>
              <w:t>15</w:t>
            </w:r>
          </w:p>
        </w:tc>
        <w:tc>
          <w:tcPr>
            <w:tcW w:w="6521" w:type="dxa"/>
          </w:tcPr>
          <w:p w:rsidR="00B16471" w:rsidRDefault="00B16471" w14:paraId="7FF956FE" w14:textId="4137451C">
            <w:r>
              <w:t xml:space="preserve">Hoeveel hoger is de instroom doordat het </w:t>
            </w:r>
            <w:r w:rsidRPr="00FE4C1D">
              <w:t xml:space="preserve">Uitvoeringsinstituut Werknemersverzekeringen </w:t>
            </w:r>
            <w:r>
              <w:t>(UWV) minder prioriteit geeft aan beoordelingen van mensen in de Ziektewet-periode vóór hun WIA-aanvraag?</w:t>
            </w:r>
          </w:p>
        </w:tc>
      </w:tr>
      <w:tr w:rsidR="00B16471" w:rsidTr="00B16471" w14:paraId="153E54E6" w14:textId="77777777">
        <w:tc>
          <w:tcPr>
            <w:tcW w:w="567" w:type="dxa"/>
          </w:tcPr>
          <w:p w:rsidR="00B16471" w:rsidRDefault="00B16471" w14:paraId="284D2FB3" w14:textId="77777777">
            <w:r>
              <w:t>16</w:t>
            </w:r>
          </w:p>
        </w:tc>
        <w:tc>
          <w:tcPr>
            <w:tcW w:w="6521" w:type="dxa"/>
          </w:tcPr>
          <w:p w:rsidR="00B16471" w:rsidRDefault="00B16471" w14:paraId="342BBA2C" w14:textId="77777777">
            <w:r>
              <w:t>Kan de stelling “Het is dus maar de vraag wat duurder is” verder worden onderbouwd?</w:t>
            </w:r>
          </w:p>
        </w:tc>
      </w:tr>
      <w:tr w:rsidR="00B16471" w:rsidTr="00B16471" w14:paraId="44464A6D" w14:textId="77777777">
        <w:tc>
          <w:tcPr>
            <w:tcW w:w="567" w:type="dxa"/>
          </w:tcPr>
          <w:p w:rsidR="00B16471" w:rsidRDefault="00B16471" w14:paraId="134BC0A4" w14:textId="77777777">
            <w:r>
              <w:t>17</w:t>
            </w:r>
          </w:p>
        </w:tc>
        <w:tc>
          <w:tcPr>
            <w:tcW w:w="6521" w:type="dxa"/>
          </w:tcPr>
          <w:p w:rsidR="00B16471" w:rsidRDefault="00B16471" w14:paraId="5C2A192F" w14:textId="186A8F0B">
            <w:r>
              <w:t>Hoe wordt de effectiviteit van de Wet inburgering 2021 ten opzichte van de Wet inburgering 2013 geëvalueerd en wanneer worden de eerste resultaten verwacht?</w:t>
            </w:r>
          </w:p>
        </w:tc>
      </w:tr>
      <w:tr w:rsidR="00B16471" w:rsidTr="00B16471" w14:paraId="23C6A58F" w14:textId="77777777">
        <w:tc>
          <w:tcPr>
            <w:tcW w:w="567" w:type="dxa"/>
          </w:tcPr>
          <w:p w:rsidR="00B16471" w:rsidRDefault="00B16471" w14:paraId="57A21B53" w14:textId="77777777">
            <w:r>
              <w:lastRenderedPageBreak/>
              <w:t>18</w:t>
            </w:r>
          </w:p>
        </w:tc>
        <w:tc>
          <w:tcPr>
            <w:tcW w:w="6521" w:type="dxa"/>
          </w:tcPr>
          <w:p w:rsidR="00B16471" w:rsidRDefault="00B16471" w14:paraId="00FF364B" w14:textId="484D3144">
            <w:r>
              <w:t>Hoe zou het toezicht van de minister op de rechtmatigheidspercentages van het UWV en de Sociale Verzekeringsbank (SVB) (wettelijk) kunnen worden versterkt?</w:t>
            </w:r>
          </w:p>
        </w:tc>
      </w:tr>
      <w:tr w:rsidR="00B16471" w:rsidTr="00B16471" w14:paraId="0E9BCF87" w14:textId="77777777">
        <w:tc>
          <w:tcPr>
            <w:tcW w:w="567" w:type="dxa"/>
          </w:tcPr>
          <w:p w:rsidR="00B16471" w:rsidRDefault="00B16471" w14:paraId="16CA19D8" w14:textId="77777777">
            <w:r>
              <w:t>19</w:t>
            </w:r>
          </w:p>
        </w:tc>
        <w:tc>
          <w:tcPr>
            <w:tcW w:w="6521" w:type="dxa"/>
          </w:tcPr>
          <w:p w:rsidR="00B16471" w:rsidRDefault="00B16471" w14:paraId="624E4477" w14:textId="77777777">
            <w:r>
              <w:t>Waarom is de driejaarlijkse review op de auditdiensten van SVB en UWV in 2023 geschrapt?</w:t>
            </w:r>
          </w:p>
        </w:tc>
      </w:tr>
      <w:tr w:rsidR="00B16471" w:rsidTr="00B16471" w14:paraId="1B6FA371" w14:textId="77777777">
        <w:tc>
          <w:tcPr>
            <w:tcW w:w="567" w:type="dxa"/>
          </w:tcPr>
          <w:p w:rsidR="00B16471" w:rsidRDefault="00B16471" w14:paraId="0A751E13" w14:textId="77777777">
            <w:r>
              <w:t>20</w:t>
            </w:r>
          </w:p>
        </w:tc>
        <w:tc>
          <w:tcPr>
            <w:tcW w:w="6521" w:type="dxa"/>
          </w:tcPr>
          <w:p w:rsidR="00B16471" w:rsidRDefault="00B16471" w14:paraId="4A0F82F0" w14:textId="77777777">
            <w:r>
              <w:t>Welke lessen zijn tot nu toe getrokken uit de WIA-problematiek over het belang van bestuurlijk toezicht en verantwoording?</w:t>
            </w:r>
          </w:p>
        </w:tc>
      </w:tr>
      <w:tr w:rsidR="00B16471" w:rsidTr="00B16471" w14:paraId="6CBD87DE" w14:textId="77777777">
        <w:tc>
          <w:tcPr>
            <w:tcW w:w="567" w:type="dxa"/>
          </w:tcPr>
          <w:p w:rsidR="00B16471" w:rsidRDefault="00B16471" w14:paraId="24DDD721" w14:textId="77777777">
            <w:r>
              <w:t>21</w:t>
            </w:r>
          </w:p>
        </w:tc>
        <w:tc>
          <w:tcPr>
            <w:tcW w:w="6521" w:type="dxa"/>
          </w:tcPr>
          <w:p w:rsidR="00B16471" w:rsidRDefault="00B16471" w14:paraId="6D92E5DA" w14:textId="18ACD861">
            <w:r>
              <w:t>In wat verschilt de controle die Sociale Zaken en Werkgelegenheid nu laat uitvoeren bij UWV en SVB met de controle die daar idealiter plaatsvindt?</w:t>
            </w:r>
          </w:p>
        </w:tc>
      </w:tr>
    </w:tbl>
    <w:p w:rsidR="00076611" w:rsidRDefault="00076611" w14:paraId="3E1241B1" w14:textId="77777777"/>
    <w:sectPr w:rsidR="00076611" w:rsidSect="00B915EC">
      <w:pgSz w:w="11900" w:h="16840"/>
      <w:pgMar w:top="1440" w:right="1800" w:bottom="1440" w:left="1800" w:header="708" w:footer="708" w:gutter="0"/>
      <w:cols w:space="708"/>
      <w:docGrid w:linePitch="360"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AD1575" w14:textId="77777777" w:rsidR="001A47AF" w:rsidRDefault="001A47AF">
      <w:pPr>
        <w:spacing w:before="0" w:after="0"/>
      </w:pPr>
      <w:r>
        <w:separator/>
      </w:r>
    </w:p>
  </w:endnote>
  <w:endnote w:type="continuationSeparator" w:id="0">
    <w:p w14:paraId="21C6D856" w14:textId="77777777" w:rsidR="001A47AF" w:rsidRDefault="001A47AF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D8C373" w14:textId="77777777" w:rsidR="001A47AF" w:rsidRDefault="001A47AF">
      <w:pPr>
        <w:spacing w:before="0" w:after="0"/>
      </w:pPr>
      <w:r>
        <w:separator/>
      </w:r>
    </w:p>
  </w:footnote>
  <w:footnote w:type="continuationSeparator" w:id="0">
    <w:p w14:paraId="2581D558" w14:textId="77777777" w:rsidR="001A47AF" w:rsidRDefault="001A47AF">
      <w:pPr>
        <w:spacing w:before="0"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7C3E"/>
    <w:rsid w:val="00076611"/>
    <w:rsid w:val="001856D0"/>
    <w:rsid w:val="001A47AF"/>
    <w:rsid w:val="001A56AB"/>
    <w:rsid w:val="003D44DD"/>
    <w:rsid w:val="005543A7"/>
    <w:rsid w:val="005D04AC"/>
    <w:rsid w:val="00894624"/>
    <w:rsid w:val="009B7D84"/>
    <w:rsid w:val="00A7134E"/>
    <w:rsid w:val="00A77C3E"/>
    <w:rsid w:val="00AB2A1E"/>
    <w:rsid w:val="00B16471"/>
    <w:rsid w:val="00B454F6"/>
    <w:rsid w:val="00B915EC"/>
    <w:rsid w:val="00D10D0C"/>
    <w:rsid w:val="00E7153D"/>
    <w:rsid w:val="00FE4C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41"/>
    <o:shapelayout v:ext="edit">
      <o:idmap v:ext="edit" data="1"/>
    </o:shapelayout>
  </w:shapeDefaults>
  <w:decimalSymbol w:val=","/>
  <w:listSeparator w:val=";"/>
  <w14:docId w14:val="13BC8761"/>
  <w15:docId w15:val="{AEA7C343-1B29-498F-9CE2-C27832378B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B915EC"/>
    <w:pPr>
      <w:spacing w:before="60" w:after="60"/>
    </w:pPr>
    <w:rPr>
      <w:rFonts w:ascii="Times New Roman" w:eastAsia="Times New Roman" w:hAnsi="Times New Roman" w:cs="Times New Roman"/>
      <w:sz w:val="20"/>
      <w:szCs w:val="20"/>
      <w:lang w:val="nl-NL"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B915EC"/>
    <w:pPr>
      <w:tabs>
        <w:tab w:val="center" w:pos="4513"/>
        <w:tab w:val="right" w:pos="9026"/>
      </w:tabs>
      <w:spacing w:before="0" w:after="0"/>
    </w:pPr>
  </w:style>
  <w:style w:type="character" w:customStyle="1" w:styleId="KoptekstChar">
    <w:name w:val="Koptekst Char"/>
    <w:basedOn w:val="Standaardalinea-lettertype"/>
    <w:link w:val="Koptekst"/>
    <w:uiPriority w:val="99"/>
    <w:rsid w:val="00B915EC"/>
    <w:rPr>
      <w:rFonts w:ascii="Times New Roman" w:eastAsia="Times New Roman" w:hAnsi="Times New Roman" w:cs="Times New Roman"/>
      <w:sz w:val="20"/>
      <w:szCs w:val="20"/>
      <w:lang w:val="nl-NL" w:eastAsia="nl-NL"/>
    </w:rPr>
  </w:style>
  <w:style w:type="paragraph" w:styleId="Voettekst">
    <w:name w:val="footer"/>
    <w:basedOn w:val="Standaard"/>
    <w:link w:val="VoettekstChar"/>
    <w:uiPriority w:val="99"/>
    <w:unhideWhenUsed/>
    <w:rsid w:val="00B915EC"/>
    <w:pPr>
      <w:tabs>
        <w:tab w:val="center" w:pos="4513"/>
        <w:tab w:val="right" w:pos="9026"/>
      </w:tabs>
      <w:spacing w:before="0" w:after="0"/>
    </w:pPr>
  </w:style>
  <w:style w:type="character" w:customStyle="1" w:styleId="VoettekstChar">
    <w:name w:val="Voettekst Char"/>
    <w:basedOn w:val="Standaardalinea-lettertype"/>
    <w:link w:val="Voettekst"/>
    <w:uiPriority w:val="99"/>
    <w:rsid w:val="00B915EC"/>
    <w:rPr>
      <w:rFonts w:ascii="Times New Roman" w:eastAsia="Times New Roman" w:hAnsi="Times New Roman" w:cs="Times New Roman"/>
      <w:sz w:val="20"/>
      <w:szCs w:val="20"/>
      <w:lang w:val="nl-NL" w:eastAsia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webSettings" Target="webSettings.xml" Id="rId7" /><Relationship Type="http://schemas.openxmlformats.org/officeDocument/2006/relationships/settings" Target="settings.xml" Id="rId6" /><Relationship Type="http://schemas.openxmlformats.org/officeDocument/2006/relationships/theme" Target="theme/theme1.xml" Id="rId11" /><Relationship Type="http://schemas.openxmlformats.org/officeDocument/2006/relationships/styles" Target="styles.xml" Id="rId5" /><Relationship Type="http://schemas.openxmlformats.org/officeDocument/2006/relationships/fontTable" Target="fontTable.xml" Id="rId10" /><Relationship Type="http://schemas.openxmlformats.org/officeDocument/2006/relationships/endnotes" Target="endnotes.xml" Id="rId9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2</ap:Pages>
  <ap:Words>499</ap:Words>
  <ap:Characters>2747</ap:Characters>
  <ap:DocSecurity>0</ap:DocSecurity>
  <ap:Lines>22</ap:Lines>
  <ap:Paragraphs>6</ap:Paragraphs>
  <ap:ScaleCrop>false</ap:ScaleCrop>
  <ap:HeadingPairs>
    <vt:vector baseType="variant" size="2">
      <vt:variant>
        <vt:lpstr>Title</vt:lpstr>
      </vt:variant>
      <vt:variant>
        <vt:i4>1</vt:i4>
      </vt:variant>
    </vt:vector>
  </ap:HeadingPairs>
  <ap:TitlesOfParts>
    <vt:vector baseType="lpstr" size="1">
      <vt:lpstr/>
    </vt:vector>
  </ap:TitlesOfParts>
  <ap:LinksUpToDate>false</ap:LinksUpToDate>
  <ap:CharactersWithSpaces>3240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/>
  <lastModifiedBy/>
  <revision/>
  <dcterms:created xsi:type="dcterms:W3CDTF">2025-06-02T13:36:00.0000000Z</dcterms:created>
  <dcterms:modified xsi:type="dcterms:W3CDTF">2025-06-02T13:38:00.0000000Z</dcterms:modified>
  <dc:description>------------------------</dc:description>
  <dc:subject/>
  <dc:title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0x01010075EC728BD2AE4340BD99198ACEA22D2B</vt:lpwstr>
  </property>
  <property fmtid="{D5CDD505-2E9C-101B-9397-08002B2CF9AE}" pid="3" name="_dlc_DocIdItemGuid">
    <vt:lpwstr>a25020e9-ddcb-4823-a544-0803d78a0569</vt:lpwstr>
  </property>
</Properties>
</file>